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3622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关于部分理财产品销售文件</w:t>
      </w:r>
    </w:p>
    <w:p w14:paraId="1A3DAF0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val="en-US" w:eastAsia="zh-CN"/>
        </w:rPr>
        <w:t>补充说明的公告</w:t>
      </w:r>
    </w:p>
    <w:p w14:paraId="504466B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p>
    <w:p w14:paraId="49F8575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rPr>
        <w:t>尊敬的投资者：</w:t>
      </w:r>
    </w:p>
    <w:p w14:paraId="16051CAF">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为充分保护投资者利益</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向</w:t>
      </w:r>
      <w:r>
        <w:rPr>
          <w:rFonts w:hint="eastAsia" w:ascii="仿宋_GB2312" w:hAnsi="仿宋_GB2312" w:eastAsia="仿宋_GB2312" w:cs="仿宋_GB2312"/>
          <w:i w:val="0"/>
          <w:iCs w:val="0"/>
          <w:caps w:val="0"/>
          <w:color w:val="auto"/>
          <w:spacing w:val="0"/>
          <w:sz w:val="32"/>
          <w:szCs w:val="32"/>
          <w:shd w:val="clear" w:fill="FFFFFF"/>
          <w:lang w:eastAsia="zh-CN"/>
        </w:rPr>
        <w:t>投资者</w:t>
      </w:r>
      <w:r>
        <w:rPr>
          <w:rFonts w:hint="eastAsia" w:ascii="仿宋_GB2312" w:hAnsi="仿宋_GB2312" w:eastAsia="仿宋_GB2312" w:cs="仿宋_GB2312"/>
          <w:i w:val="0"/>
          <w:iCs w:val="0"/>
          <w:caps w:val="0"/>
          <w:color w:val="auto"/>
          <w:spacing w:val="0"/>
          <w:sz w:val="32"/>
          <w:szCs w:val="32"/>
          <w:shd w:val="clear" w:fill="FFFFFF"/>
        </w:rPr>
        <w:t>提供更好的服务，</w:t>
      </w:r>
      <w:r>
        <w:rPr>
          <w:rFonts w:hint="eastAsia" w:ascii="仿宋_GB2312" w:hAnsi="仿宋_GB2312" w:eastAsia="仿宋_GB2312" w:cs="仿宋_GB2312"/>
          <w:i w:val="0"/>
          <w:iCs w:val="0"/>
          <w:caps w:val="0"/>
          <w:color w:val="auto"/>
          <w:spacing w:val="0"/>
          <w:sz w:val="32"/>
          <w:szCs w:val="32"/>
          <w:shd w:val="clear" w:fill="FFFFFF"/>
          <w:lang w:eastAsia="zh-CN"/>
        </w:rPr>
        <w:t>浙银理财</w:t>
      </w:r>
      <w:r>
        <w:rPr>
          <w:rFonts w:hint="eastAsia" w:ascii="仿宋_GB2312" w:hAnsi="仿宋_GB2312" w:eastAsia="仿宋_GB2312" w:cs="仿宋_GB2312"/>
          <w:i w:val="0"/>
          <w:iCs w:val="0"/>
          <w:caps w:val="0"/>
          <w:color w:val="auto"/>
          <w:spacing w:val="0"/>
          <w:sz w:val="32"/>
          <w:szCs w:val="32"/>
          <w:shd w:val="clear" w:fill="FFFFFF"/>
          <w:lang w:val="en-US" w:eastAsia="zh-CN"/>
        </w:rPr>
        <w:t>将</w:t>
      </w:r>
      <w:r>
        <w:rPr>
          <w:rFonts w:hint="eastAsia" w:ascii="仿宋_GB2312" w:hAnsi="仿宋_GB2312" w:eastAsia="仿宋_GB2312" w:cs="仿宋_GB2312"/>
          <w:i w:val="0"/>
          <w:iCs w:val="0"/>
          <w:caps w:val="0"/>
          <w:color w:val="auto"/>
          <w:spacing w:val="0"/>
          <w:sz w:val="32"/>
          <w:szCs w:val="32"/>
          <w:shd w:val="clear" w:fill="FFFFFF"/>
        </w:rPr>
        <w:t>对部分</w:t>
      </w:r>
      <w:r>
        <w:rPr>
          <w:rFonts w:hint="eastAsia" w:ascii="仿宋_GB2312" w:hAnsi="仿宋_GB2312" w:eastAsia="仿宋_GB2312" w:cs="仿宋_GB2312"/>
          <w:i w:val="0"/>
          <w:iCs w:val="0"/>
          <w:caps w:val="0"/>
          <w:color w:val="auto"/>
          <w:spacing w:val="0"/>
          <w:sz w:val="32"/>
          <w:szCs w:val="32"/>
          <w:shd w:val="clear" w:fill="FFFFFF"/>
          <w:lang w:eastAsia="zh-CN"/>
        </w:rPr>
        <w:t>存量产品</w:t>
      </w:r>
      <w:r>
        <w:rPr>
          <w:rFonts w:hint="eastAsia" w:ascii="仿宋_GB2312" w:hAnsi="仿宋_GB2312" w:eastAsia="仿宋_GB2312" w:cs="仿宋_GB2312"/>
          <w:i w:val="0"/>
          <w:iCs w:val="0"/>
          <w:caps w:val="0"/>
          <w:color w:val="auto"/>
          <w:spacing w:val="0"/>
          <w:sz w:val="32"/>
          <w:szCs w:val="32"/>
          <w:shd w:val="clear" w:fill="FFFFFF"/>
        </w:rPr>
        <w:t>（所涉及的理财产品详见</w:t>
      </w:r>
      <w:r>
        <w:rPr>
          <w:rFonts w:hint="eastAsia" w:ascii="仿宋_GB2312" w:hAnsi="仿宋_GB2312" w:eastAsia="仿宋_GB2312" w:cs="仿宋_GB2312"/>
          <w:i w:val="0"/>
          <w:iCs w:val="0"/>
          <w:caps w:val="0"/>
          <w:color w:val="auto"/>
          <w:spacing w:val="0"/>
          <w:sz w:val="32"/>
          <w:szCs w:val="32"/>
          <w:shd w:val="clear" w:fill="FFFFFF"/>
          <w:lang w:val="en-US" w:eastAsia="zh-CN"/>
        </w:rPr>
        <w:t>本公告正文中理财产品</w:t>
      </w:r>
      <w:r>
        <w:rPr>
          <w:rFonts w:hint="eastAsia" w:ascii="仿宋_GB2312" w:hAnsi="仿宋_GB2312" w:eastAsia="仿宋_GB2312" w:cs="仿宋_GB2312"/>
          <w:i w:val="0"/>
          <w:iCs w:val="0"/>
          <w:caps w:val="0"/>
          <w:color w:val="auto"/>
          <w:spacing w:val="0"/>
          <w:sz w:val="32"/>
          <w:szCs w:val="32"/>
          <w:shd w:val="clear" w:fill="FFFFFF"/>
        </w:rPr>
        <w:t>清单）</w:t>
      </w:r>
      <w:r>
        <w:rPr>
          <w:rFonts w:hint="eastAsia" w:ascii="仿宋_GB2312" w:hAnsi="仿宋_GB2312" w:eastAsia="仿宋_GB2312" w:cs="仿宋_GB2312"/>
          <w:i w:val="0"/>
          <w:iCs w:val="0"/>
          <w:caps w:val="0"/>
          <w:color w:val="auto"/>
          <w:spacing w:val="0"/>
          <w:sz w:val="32"/>
          <w:szCs w:val="32"/>
          <w:shd w:val="clear" w:fill="FFFFFF"/>
          <w:lang w:eastAsia="zh-CN"/>
        </w:rPr>
        <w:t>补充说明</w:t>
      </w:r>
      <w:r>
        <w:rPr>
          <w:rFonts w:hint="eastAsia" w:ascii="仿宋_GB2312" w:hAnsi="仿宋_GB2312" w:eastAsia="仿宋_GB2312" w:cs="仿宋_GB2312"/>
          <w:i w:val="0"/>
          <w:iCs w:val="0"/>
          <w:caps w:val="0"/>
          <w:color w:val="auto"/>
          <w:spacing w:val="0"/>
          <w:sz w:val="32"/>
          <w:szCs w:val="32"/>
          <w:shd w:val="clear" w:fill="FFFFFF"/>
        </w:rPr>
        <w:t>内容如下：</w:t>
      </w:r>
    </w:p>
    <w:p w14:paraId="76147D4A">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1.封闭式</w:t>
      </w:r>
      <w:r>
        <w:rPr>
          <w:rFonts w:hint="eastAsia" w:ascii="仿宋_GB2312" w:hAnsi="仿宋_GB2312" w:eastAsia="仿宋_GB2312" w:cs="仿宋_GB2312"/>
          <w:i w:val="0"/>
          <w:iCs w:val="0"/>
          <w:caps w:val="0"/>
          <w:color w:val="auto"/>
          <w:spacing w:val="0"/>
          <w:sz w:val="32"/>
          <w:szCs w:val="32"/>
          <w:shd w:val="clear" w:fill="FFFFFF"/>
        </w:rPr>
        <w:t>《产品说明书》</w:t>
      </w:r>
      <w:r>
        <w:rPr>
          <w:rFonts w:hint="eastAsia" w:ascii="仿宋_GB2312" w:hAnsi="仿宋_GB2312" w:eastAsia="仿宋_GB2312" w:cs="仿宋_GB2312"/>
          <w:i w:val="0"/>
          <w:iCs w:val="0"/>
          <w:caps w:val="0"/>
          <w:color w:val="auto"/>
          <w:spacing w:val="0"/>
          <w:sz w:val="32"/>
          <w:szCs w:val="32"/>
          <w:shd w:val="clear" w:fill="FFFFFF"/>
          <w:lang w:eastAsia="zh-CN"/>
        </w:rPr>
        <w:t>补充说明</w:t>
      </w:r>
      <w:r>
        <w:rPr>
          <w:rFonts w:hint="eastAsia" w:ascii="仿宋_GB2312" w:hAnsi="仿宋_GB2312" w:eastAsia="仿宋_GB2312" w:cs="仿宋_GB2312"/>
          <w:i w:val="0"/>
          <w:iCs w:val="0"/>
          <w:caps w:val="0"/>
          <w:color w:val="auto"/>
          <w:spacing w:val="0"/>
          <w:sz w:val="32"/>
          <w:szCs w:val="32"/>
          <w:shd w:val="clear" w:fill="FFFFFF"/>
          <w:lang w:val="en-US" w:eastAsia="zh-CN"/>
        </w:rPr>
        <w:t>风险揭示如下：</w:t>
      </w:r>
    </w:p>
    <w:p w14:paraId="25F16DBB">
      <w:pPr>
        <w:widowControl/>
        <w:tabs>
          <w:tab w:val="left" w:pos="709"/>
        </w:tabs>
        <w:adjustRightInd w:val="0"/>
        <w:snapToGrid w:val="0"/>
        <w:spacing w:line="360" w:lineRule="auto"/>
        <w:rPr>
          <w:rFonts w:hint="default" w:ascii="仿宋_GB2312" w:hAnsi="宋体" w:cs="宋体"/>
          <w:b w:val="0"/>
          <w:color w:val="auto"/>
          <w:kern w:val="0"/>
          <w:szCs w:val="24"/>
          <w:highlight w:val="yellow"/>
          <w:u w:val="none"/>
        </w:rPr>
      </w:pPr>
    </w:p>
    <w:p w14:paraId="034FFFF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eastAsia" w:ascii="仿宋_GB2312" w:hAnsi="宋体" w:cs="宋体"/>
          <w:b w:val="0"/>
          <w:color w:val="auto"/>
          <w:kern w:val="0"/>
          <w:szCs w:val="24"/>
          <w:highlight w:val="none"/>
          <w:u w:val="none"/>
          <w:lang w:eastAsia="zh-CN"/>
        </w:rPr>
        <w:t>“</w:t>
      </w:r>
      <w:r>
        <w:rPr>
          <w:rFonts w:hint="default" w:ascii="仿宋_GB2312" w:hAnsi="宋体" w:cs="宋体"/>
          <w:b w:val="0"/>
          <w:color w:val="auto"/>
          <w:kern w:val="0"/>
          <w:szCs w:val="24"/>
          <w:highlight w:val="none"/>
          <w:u w:val="none"/>
        </w:rPr>
        <w:t>本产品不保证本金和收益，投资者的本金有可能蒙受损失，极端情况下，可能全部或部分受损。投资者应充分认识投资风险，谨慎投资。</w:t>
      </w:r>
      <w:r>
        <w:rPr>
          <w:rFonts w:hint="eastAsia" w:ascii="仿宋_GB2312" w:hAnsi="宋体" w:cs="宋体"/>
          <w:b w:val="0"/>
          <w:color w:val="auto"/>
          <w:kern w:val="0"/>
          <w:szCs w:val="24"/>
          <w:highlight w:val="none"/>
          <w:u w:val="none"/>
          <w:lang w:eastAsia="zh-CN"/>
        </w:rPr>
        <w:t>风险列示</w:t>
      </w:r>
      <w:r>
        <w:rPr>
          <w:rFonts w:hint="default" w:ascii="仿宋_GB2312" w:hAnsi="宋体" w:cs="宋体"/>
          <w:b w:val="0"/>
          <w:color w:val="auto"/>
          <w:kern w:val="0"/>
          <w:szCs w:val="24"/>
          <w:highlight w:val="none"/>
          <w:u w:val="none"/>
        </w:rPr>
        <w:t>如下：</w:t>
      </w:r>
    </w:p>
    <w:p w14:paraId="6A4971F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（一）政策风险</w:t>
      </w:r>
    </w:p>
    <w:p w14:paraId="00DE2F5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17C4480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（二）信用风险</w:t>
      </w:r>
    </w:p>
    <w:p w14:paraId="323378B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本理财产品所投资的资产或资产组合项下义务人可能出现信用违约情形，无法如期偿付融资本金与利息，则投资者可能面临本金和收益遭受部分甚至全部损失的风险。</w:t>
      </w:r>
    </w:p>
    <w:p w14:paraId="50B908A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（三）市场风险</w:t>
      </w:r>
    </w:p>
    <w:p w14:paraId="4554035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7348A9B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（四）流动性风险</w:t>
      </w:r>
    </w:p>
    <w:p w14:paraId="2358AE8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当市场出现极端情况或开放式产品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27E1FEB4">
      <w:pPr>
        <w:widowControl/>
        <w:tabs>
          <w:tab w:val="left" w:pos="709"/>
        </w:tabs>
        <w:adjustRightInd w:val="0"/>
        <w:snapToGrid w:val="0"/>
        <w:spacing w:line="360" w:lineRule="auto"/>
        <w:ind w:firstLine="422" w:firstLineChars="200"/>
        <w:rPr>
          <w:rFonts w:hint="default" w:ascii="仿宋_GB2312" w:hAnsi="宋体" w:cs="宋体"/>
          <w:b w:val="0"/>
          <w:color w:val="auto"/>
          <w:kern w:val="0"/>
          <w:szCs w:val="24"/>
          <w:highlight w:val="none"/>
          <w:u w:val="none"/>
        </w:rPr>
      </w:pPr>
      <w:r>
        <w:rPr>
          <w:rFonts w:hint="default" w:ascii="仿宋_GB2312" w:hAnsi="宋体" w:cs="宋体"/>
          <w:b/>
          <w:bCs/>
          <w:color w:val="auto"/>
          <w:kern w:val="0"/>
          <w:szCs w:val="24"/>
          <w:highlight w:val="none"/>
          <w:u w:val="none"/>
        </w:rPr>
        <w:t>投资者在本理财产品说明书约定的封闭期、最短持有期及/或其他不可赎回时段内不享有提前赎回权。</w:t>
      </w:r>
      <w:r>
        <w:rPr>
          <w:rFonts w:hint="default" w:ascii="仿宋_GB2312" w:hAnsi="宋体" w:cs="宋体"/>
          <w:b w:val="0"/>
          <w:color w:val="auto"/>
          <w:kern w:val="0"/>
          <w:szCs w:val="24"/>
          <w:highlight w:val="none"/>
          <w:u w:val="none"/>
        </w:rPr>
        <w:t>如果投资者面临用款需求与其他投资机会，可能因所持有的理财产品不能随时赎回或变现，存在用款需求无法满足或错过其他投资机会的风险。</w:t>
      </w:r>
    </w:p>
    <w:p w14:paraId="2BC3A59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（五）经营管理风险</w:t>
      </w:r>
    </w:p>
    <w:p w14:paraId="59AC346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在本理财产品运作过程中，投资管理各方受经验、技能、判断力、执行力等综合因素的限制，可能对本理财产品的运作与管理形成一定影响，投资者可能面临本金和收益遭受部分甚至全部损失的风险。</w:t>
      </w:r>
    </w:p>
    <w:p w14:paraId="3432E27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（六）交易对手风险</w:t>
      </w:r>
    </w:p>
    <w:p w14:paraId="619BF5A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由于交易对手受偿付能力、流动性管理能力以及及时履约意愿等因素影响，导致交易对手不履约，可能影响本理财产品的投资管理，则投资者可能面临本金和收益遭受部分甚至全部损失的风险。</w:t>
      </w:r>
    </w:p>
    <w:p w14:paraId="2DAA17C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（七）操作风险</w:t>
      </w:r>
    </w:p>
    <w:p w14:paraId="6660340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产品运作过程中，由于理财产品管理人及理财合作机构因技术系统故障、内部控制存在缺陷或人为因素，导致操作失误或违反操作规程等引起的风险，如内部作业、人员管理、系统操作及事务处理不当或失误等，则投资者可能面临本金和收益遭受部分甚至全部损失的风险。</w:t>
      </w:r>
    </w:p>
    <w:p w14:paraId="6B639BE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（八）代销风险（如有）</w:t>
      </w:r>
    </w:p>
    <w:p w14:paraId="2D71712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如本理财产品通过代理销售渠道销售，投资者购买理财产品的资金将由销售机构从投资者清算账户扣收并划付产品管理人，产品到期/终止/赎回时理财本金及收益相应款项由产品管理人按理财产品销售文件约定划付至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6615C4F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（九）募集期延长/缩短风险</w:t>
      </w:r>
    </w:p>
    <w:p w14:paraId="5F78538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在本理财产品募集期内，国家宏观政策以及市场相关法律法规政策发生变化、产品募集状况未达到/已达到产品说明书约定的成立条件，或其他经理财产品管理人合理判断需延长/缩短募集期的情形，产品管理人有权宣布本理财产品募集期延长/缩短，本理财产品可能延后/提前成立。</w:t>
      </w:r>
    </w:p>
    <w:p w14:paraId="7936E60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（十）产品不成立风险</w:t>
      </w:r>
    </w:p>
    <w:p w14:paraId="40EFAE1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51F484D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（十一）提前终止风险</w:t>
      </w:r>
    </w:p>
    <w:p w14:paraId="657D212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71CAC2A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（十二）延期分配风险</w:t>
      </w:r>
    </w:p>
    <w:p w14:paraId="232B4A1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2CD34D1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（十三）信息传递风险</w:t>
      </w:r>
    </w:p>
    <w:p w14:paraId="1B28B47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理财产品管理人将按照理财产品销售文件中约定的信息披露方式、披露途径向投资者披露涉及本理财产品的各类信息和重大事件，投资者应及时查询了解。如投资者未及时查询相关信息或由于不可抗力（包括但不限于政府行为、自然灾害、疫情等）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742A563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（十四）关联关系及关联交易风险</w:t>
      </w:r>
    </w:p>
    <w:p w14:paraId="01E5433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双方存在关联关系。</w:t>
      </w:r>
    </w:p>
    <w:p w14:paraId="1D40119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可能投资于管理人、个别销售机构或托管人的主要股东、实际控制人、一致行动人、最终受益人，托管人，同一股东或托管人控股的机构，或者与管理人或托管人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提请投资者充分知悉、关注本理财产品关联关系和关联交易风险，投资者签署本理财产品销售文件即代表投资者认可且同意上述可能发生的关联交易并自愿承担相关风险。</w:t>
      </w:r>
    </w:p>
    <w:p w14:paraId="0AEE218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（十五）再投资风险</w:t>
      </w:r>
    </w:p>
    <w:p w14:paraId="0780EE4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由于浙银理财有权根据市场状况和产品余额情况提前终止本理财产品，因市场利率下滑，投资者可能面临本金和收益再投资收益率降低的风险。</w:t>
      </w:r>
    </w:p>
    <w:p w14:paraId="5212CF4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（十六）估值风险</w:t>
      </w:r>
    </w:p>
    <w:p w14:paraId="59206ED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1173BDB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w:t>
      </w:r>
      <w:r>
        <w:rPr>
          <w:rFonts w:hint="eastAsia" w:ascii="仿宋_GB2312" w:hAnsi="宋体" w:cs="宋体"/>
          <w:b w:val="0"/>
          <w:color w:val="auto"/>
          <w:kern w:val="0"/>
          <w:szCs w:val="24"/>
          <w:highlight w:val="none"/>
          <w:u w:val="none"/>
          <w:lang w:eastAsia="zh-CN"/>
        </w:rPr>
        <w:t>浮动管理费</w:t>
      </w:r>
      <w:r>
        <w:rPr>
          <w:rFonts w:hint="default" w:ascii="仿宋_GB2312" w:hAnsi="宋体" w:cs="宋体"/>
          <w:b w:val="0"/>
          <w:color w:val="auto"/>
          <w:kern w:val="0"/>
          <w:szCs w:val="24"/>
          <w:highlight w:val="none"/>
          <w:u w:val="none"/>
        </w:rPr>
        <w:t>，当前述资产管理产品计提</w:t>
      </w:r>
      <w:r>
        <w:rPr>
          <w:rFonts w:hint="eastAsia" w:ascii="仿宋_GB2312" w:hAnsi="宋体" w:cs="宋体"/>
          <w:b w:val="0"/>
          <w:color w:val="auto"/>
          <w:kern w:val="0"/>
          <w:szCs w:val="24"/>
          <w:highlight w:val="none"/>
          <w:u w:val="none"/>
          <w:lang w:eastAsia="zh-CN"/>
        </w:rPr>
        <w:t>浮动管理费</w:t>
      </w:r>
      <w:r>
        <w:rPr>
          <w:rFonts w:hint="default" w:ascii="仿宋_GB2312" w:hAnsi="宋体" w:cs="宋体"/>
          <w:b w:val="0"/>
          <w:color w:val="auto"/>
          <w:kern w:val="0"/>
          <w:szCs w:val="24"/>
          <w:highlight w:val="none"/>
          <w:u w:val="none"/>
        </w:rPr>
        <w:t>时，本理财产品的产品份额净值存在下跌风险。</w:t>
      </w:r>
    </w:p>
    <w:p w14:paraId="14802C8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（十七）托管及清算风险</w:t>
      </w:r>
    </w:p>
    <w:p w14:paraId="4A17CBE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本理财产品存在托管人，若因托管人操作失误或因任何原因未能按约履行托管人职责，或丧失进行托管的能力或法定资格，均可能给本理财产品带来风险。</w:t>
      </w:r>
    </w:p>
    <w:p w14:paraId="0CB424F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（十八）税务风险</w:t>
      </w:r>
    </w:p>
    <w:p w14:paraId="401C7CA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27F8AD1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（十九）不同理财产品份额类别存在差异的风险</w:t>
      </w:r>
    </w:p>
    <w:p w14:paraId="0AF2740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管理人有权根据投资者购买理财产品的金额、销售渠道、客户类型等因素，对投资者所持有的理财产品份额设置不同的理财产品份额类别。不同类别的理财产品份额可能在产品销售名称、产品</w:t>
      </w:r>
      <w:r>
        <w:rPr>
          <w:rFonts w:hint="eastAsia" w:ascii="仿宋_GB2312" w:hAnsi="宋体" w:cs="宋体"/>
          <w:b w:val="0"/>
          <w:color w:val="auto"/>
          <w:kern w:val="0"/>
          <w:szCs w:val="24"/>
          <w:highlight w:val="none"/>
          <w:u w:val="none"/>
          <w:lang w:eastAsia="zh-CN"/>
        </w:rPr>
        <w:t>份额</w:t>
      </w:r>
      <w:r>
        <w:rPr>
          <w:rFonts w:hint="default" w:ascii="仿宋_GB2312" w:hAnsi="宋体" w:cs="宋体"/>
          <w:b w:val="0"/>
          <w:color w:val="auto"/>
          <w:kern w:val="0"/>
          <w:szCs w:val="24"/>
          <w:highlight w:val="none"/>
          <w:u w:val="none"/>
        </w:rPr>
        <w:t>代码、销售渠道、销售</w:t>
      </w:r>
      <w:r>
        <w:rPr>
          <w:rFonts w:hint="eastAsia" w:ascii="仿宋_GB2312" w:hAnsi="宋体" w:cs="宋体"/>
          <w:b w:val="0"/>
          <w:color w:val="auto"/>
          <w:kern w:val="0"/>
          <w:szCs w:val="24"/>
          <w:highlight w:val="none"/>
          <w:u w:val="none"/>
          <w:lang w:eastAsia="zh-CN"/>
        </w:rPr>
        <w:t>对象</w:t>
      </w:r>
      <w:r>
        <w:rPr>
          <w:rFonts w:hint="default" w:ascii="仿宋_GB2312" w:hAnsi="宋体" w:cs="宋体"/>
          <w:b w:val="0"/>
          <w:color w:val="auto"/>
          <w:kern w:val="0"/>
          <w:szCs w:val="24"/>
          <w:highlight w:val="none"/>
          <w:u w:val="none"/>
        </w:rPr>
        <w:t>、销售服务费率、托管费率、收费方式、业绩比较基准、起点</w:t>
      </w:r>
      <w:r>
        <w:rPr>
          <w:rFonts w:hint="eastAsia" w:ascii="仿宋_GB2312" w:hAnsi="宋体" w:cs="宋体"/>
          <w:b w:val="0"/>
          <w:color w:val="auto"/>
          <w:kern w:val="0"/>
          <w:szCs w:val="24"/>
          <w:highlight w:val="none"/>
          <w:u w:val="none"/>
          <w:lang w:eastAsia="zh-CN"/>
        </w:rPr>
        <w:t>销售</w:t>
      </w:r>
      <w:r>
        <w:rPr>
          <w:rFonts w:hint="default" w:ascii="仿宋_GB2312" w:hAnsi="宋体" w:cs="宋体"/>
          <w:b w:val="0"/>
          <w:color w:val="auto"/>
          <w:kern w:val="0"/>
          <w:szCs w:val="24"/>
          <w:highlight w:val="none"/>
          <w:u w:val="none"/>
        </w:rPr>
        <w:t>金额及</w:t>
      </w:r>
      <w:r>
        <w:rPr>
          <w:rFonts w:hint="eastAsia" w:ascii="仿宋_GB2312" w:hAnsi="宋体" w:cs="宋体"/>
          <w:b w:val="0"/>
          <w:color w:val="auto"/>
          <w:kern w:val="0"/>
          <w:szCs w:val="24"/>
          <w:highlight w:val="none"/>
          <w:u w:val="none"/>
          <w:lang w:eastAsia="zh-CN"/>
        </w:rPr>
        <w:t>追加</w:t>
      </w:r>
      <w:r>
        <w:rPr>
          <w:rFonts w:hint="default" w:ascii="仿宋_GB2312" w:hAnsi="宋体" w:cs="宋体"/>
          <w:b w:val="0"/>
          <w:color w:val="auto"/>
          <w:kern w:val="0"/>
          <w:szCs w:val="24"/>
          <w:highlight w:val="none"/>
          <w:u w:val="none"/>
        </w:rPr>
        <w:t>递增金额、认/申购上限金额、认/申购和赎回数量限制、持有金额上/下限、单一投资者持有份额占比上限、产品规模上限、产品份额净值的计算结果及信息披露等方面存在差异。</w:t>
      </w:r>
    </w:p>
    <w:p w14:paraId="10C5830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（二十）投资特定风险</w:t>
      </w:r>
    </w:p>
    <w:p w14:paraId="0AD307A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本理财产品因拟投资市场和资产类别可能面临的特定风险如下：</w:t>
      </w:r>
    </w:p>
    <w:p w14:paraId="62B6C38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1.投资于固定收益类资产</w:t>
      </w:r>
      <w:r>
        <w:rPr>
          <w:rFonts w:hint="eastAsia" w:ascii="仿宋_GB2312" w:hAnsi="宋体" w:cs="宋体"/>
          <w:b/>
          <w:bCs/>
          <w:color w:val="auto"/>
          <w:kern w:val="0"/>
          <w:szCs w:val="24"/>
          <w:highlight w:val="none"/>
          <w:u w:val="none"/>
          <w:lang w:eastAsia="zh-CN"/>
        </w:rPr>
        <w:t>（如有）</w:t>
      </w:r>
      <w:r>
        <w:rPr>
          <w:rFonts w:hint="default" w:ascii="仿宋_GB2312" w:hAnsi="宋体" w:cs="宋体"/>
          <w:b/>
          <w:bCs/>
          <w:color w:val="auto"/>
          <w:kern w:val="0"/>
          <w:szCs w:val="24"/>
          <w:highlight w:val="none"/>
          <w:u w:val="none"/>
        </w:rPr>
        <w:t>的可能风险：</w:t>
      </w:r>
    </w:p>
    <w:p w14:paraId="25485C4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7CF5F36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2.投资于股票等权益类资产（如有）的可能风险：</w:t>
      </w:r>
    </w:p>
    <w:p w14:paraId="24851D3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452D350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628A418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3.投资于商品及金融衍生品类资产（如有）的可能风险：</w:t>
      </w:r>
    </w:p>
    <w:p w14:paraId="21E1C71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基差风险。</w:t>
      </w:r>
    </w:p>
    <w:p w14:paraId="02F9B99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（二十一）其他风险</w:t>
      </w:r>
    </w:p>
    <w:p w14:paraId="1DEC073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70366573">
      <w:pPr>
        <w:widowControl/>
        <w:tabs>
          <w:tab w:val="left" w:pos="709"/>
        </w:tabs>
        <w:adjustRightInd w:val="0"/>
        <w:snapToGrid w:val="0"/>
        <w:spacing w:line="360" w:lineRule="auto"/>
        <w:ind w:firstLine="420" w:firstLineChars="200"/>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Fonts w:hint="default" w:ascii="仿宋_GB2312" w:hAnsi="宋体" w:cs="宋体"/>
          <w:b w:val="0"/>
          <w:color w:val="auto"/>
          <w:kern w:val="0"/>
          <w:szCs w:val="24"/>
          <w:highlight w:val="none"/>
          <w:u w:val="none"/>
        </w:rPr>
        <w:t>以上所揭示事项仅为列举性质，未能尽述列明投资者投资本理财产品所面临的全部风险和可能导致投资者资产损失的所有因素。投资者应充分认识投资风险，谨慎投资</w:t>
      </w:r>
      <w:r>
        <w:rPr>
          <w:rFonts w:hint="default" w:ascii="仿宋_GB2312" w:hAnsi="宋体" w:eastAsia="仿宋_GB2312" w:cs="宋体"/>
          <w:b w:val="0"/>
          <w:bCs w:val="0"/>
          <w:color w:val="auto"/>
          <w:kern w:val="0"/>
          <w:sz w:val="24"/>
          <w:szCs w:val="24"/>
          <w:highlight w:val="none"/>
          <w:u w:val="none"/>
        </w:rPr>
        <w:t>。</w:t>
      </w:r>
      <w:r>
        <w:rPr>
          <w:rFonts w:hint="eastAsia" w:ascii="仿宋_GB2312" w:hAnsi="宋体" w:eastAsia="仿宋_GB2312" w:cs="宋体"/>
          <w:b w:val="0"/>
          <w:bCs w:val="0"/>
          <w:color w:val="auto"/>
          <w:kern w:val="0"/>
          <w:sz w:val="24"/>
          <w:szCs w:val="24"/>
          <w:highlight w:val="none"/>
          <w:u w:val="none"/>
          <w:lang w:eastAsia="zh-CN"/>
        </w:rPr>
        <w:t>”</w:t>
      </w:r>
    </w:p>
    <w:p w14:paraId="453E57D2">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2.定开型产品</w:t>
      </w:r>
      <w:r>
        <w:rPr>
          <w:rFonts w:hint="eastAsia" w:ascii="仿宋_GB2312" w:hAnsi="仿宋_GB2312" w:eastAsia="仿宋_GB2312" w:cs="仿宋_GB2312"/>
          <w:i w:val="0"/>
          <w:iCs w:val="0"/>
          <w:caps w:val="0"/>
          <w:color w:val="auto"/>
          <w:spacing w:val="0"/>
          <w:sz w:val="32"/>
          <w:szCs w:val="32"/>
          <w:shd w:val="clear" w:fill="FFFFFF"/>
        </w:rPr>
        <w:t>《产品说明书》</w:t>
      </w:r>
      <w:r>
        <w:rPr>
          <w:rFonts w:hint="eastAsia" w:ascii="仿宋_GB2312" w:hAnsi="仿宋_GB2312" w:eastAsia="仿宋_GB2312" w:cs="仿宋_GB2312"/>
          <w:i w:val="0"/>
          <w:iCs w:val="0"/>
          <w:caps w:val="0"/>
          <w:color w:val="auto"/>
          <w:spacing w:val="0"/>
          <w:sz w:val="32"/>
          <w:szCs w:val="32"/>
          <w:shd w:val="clear" w:fill="FFFFFF"/>
          <w:lang w:eastAsia="zh-CN"/>
        </w:rPr>
        <w:t>补充说明</w:t>
      </w:r>
      <w:r>
        <w:rPr>
          <w:rFonts w:hint="eastAsia" w:ascii="仿宋_GB2312" w:hAnsi="仿宋_GB2312" w:eastAsia="仿宋_GB2312" w:cs="仿宋_GB2312"/>
          <w:i w:val="0"/>
          <w:iCs w:val="0"/>
          <w:caps w:val="0"/>
          <w:color w:val="auto"/>
          <w:spacing w:val="0"/>
          <w:sz w:val="32"/>
          <w:szCs w:val="32"/>
          <w:shd w:val="clear" w:fill="FFFFFF"/>
          <w:lang w:val="en-US" w:eastAsia="zh-CN"/>
        </w:rPr>
        <w:t>风险揭示如下：</w:t>
      </w:r>
    </w:p>
    <w:p w14:paraId="7D487A82">
      <w:pPr>
        <w:widowControl/>
        <w:tabs>
          <w:tab w:val="left" w:pos="709"/>
        </w:tabs>
        <w:adjustRightInd w:val="0"/>
        <w:snapToGrid w:val="0"/>
        <w:spacing w:line="360" w:lineRule="auto"/>
        <w:ind w:firstLine="420" w:firstLineChars="200"/>
        <w:rPr>
          <w:rFonts w:hint="eastAsia" w:ascii="仿宋_GB2312" w:hAnsi="宋体" w:cs="宋体"/>
          <w:b w:val="0"/>
          <w:color w:val="auto"/>
          <w:kern w:val="0"/>
          <w:szCs w:val="24"/>
          <w:highlight w:val="none"/>
          <w:u w:val="none"/>
          <w:lang w:eastAsia="zh-CN"/>
        </w:rPr>
      </w:pPr>
    </w:p>
    <w:p w14:paraId="0E9FF1E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eastAsia" w:ascii="仿宋_GB2312" w:hAnsi="宋体" w:cs="宋体"/>
          <w:b w:val="0"/>
          <w:color w:val="auto"/>
          <w:kern w:val="0"/>
          <w:szCs w:val="24"/>
          <w:highlight w:val="none"/>
          <w:u w:val="none"/>
          <w:lang w:eastAsia="zh-CN"/>
        </w:rPr>
        <w:t>“</w:t>
      </w:r>
      <w:r>
        <w:rPr>
          <w:rFonts w:hint="default" w:ascii="仿宋_GB2312" w:hAnsi="宋体" w:cs="宋体"/>
          <w:b w:val="0"/>
          <w:color w:val="auto"/>
          <w:kern w:val="0"/>
          <w:szCs w:val="24"/>
          <w:highlight w:val="none"/>
          <w:u w:val="none"/>
        </w:rPr>
        <w:t>本产品不保证本金和收益，投资者的本金有可能蒙受损失，极端情况下，可能全部或部分受损。投资者应充分认识投资风险，谨慎投资。</w:t>
      </w:r>
      <w:r>
        <w:rPr>
          <w:rFonts w:hint="eastAsia" w:ascii="仿宋_GB2312" w:hAnsi="宋体" w:cs="宋体"/>
          <w:b w:val="0"/>
          <w:color w:val="auto"/>
          <w:kern w:val="0"/>
          <w:szCs w:val="24"/>
          <w:highlight w:val="none"/>
          <w:u w:val="none"/>
          <w:lang w:eastAsia="zh-CN"/>
        </w:rPr>
        <w:t>风险列示</w:t>
      </w:r>
      <w:r>
        <w:rPr>
          <w:rFonts w:hint="default" w:ascii="仿宋_GB2312" w:hAnsi="宋体" w:cs="宋体"/>
          <w:b w:val="0"/>
          <w:color w:val="auto"/>
          <w:kern w:val="0"/>
          <w:szCs w:val="24"/>
          <w:highlight w:val="none"/>
          <w:u w:val="none"/>
        </w:rPr>
        <w:t>如下：</w:t>
      </w:r>
    </w:p>
    <w:p w14:paraId="144F427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（一）政策风险</w:t>
      </w:r>
    </w:p>
    <w:p w14:paraId="18586A8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59B784A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（二）信用风险</w:t>
      </w:r>
    </w:p>
    <w:p w14:paraId="2907F82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本理财产品所投资的资产或资产组合项下义务人可能出现信用违约情形，无法如期偿付融资本金与利息，则投资者可能面临本金和收益遭受部分甚至全部损失的风险。</w:t>
      </w:r>
    </w:p>
    <w:p w14:paraId="6303DC4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（三）市场风险</w:t>
      </w:r>
    </w:p>
    <w:p w14:paraId="671E6A5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083F842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（四）流动性风险</w:t>
      </w:r>
    </w:p>
    <w:p w14:paraId="24A181E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当市场出现极端情况或开放式产品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4FEBFD45">
      <w:pPr>
        <w:widowControl/>
        <w:tabs>
          <w:tab w:val="left" w:pos="709"/>
        </w:tabs>
        <w:adjustRightInd w:val="0"/>
        <w:snapToGrid w:val="0"/>
        <w:spacing w:line="360" w:lineRule="auto"/>
        <w:ind w:firstLine="422" w:firstLineChars="200"/>
        <w:rPr>
          <w:rFonts w:hint="default" w:ascii="仿宋_GB2312" w:hAnsi="宋体" w:cs="宋体"/>
          <w:b w:val="0"/>
          <w:color w:val="auto"/>
          <w:kern w:val="0"/>
          <w:szCs w:val="24"/>
          <w:highlight w:val="none"/>
          <w:u w:val="none"/>
        </w:rPr>
      </w:pPr>
      <w:r>
        <w:rPr>
          <w:rFonts w:hint="default" w:ascii="仿宋_GB2312" w:hAnsi="宋体" w:cs="宋体"/>
          <w:b/>
          <w:bCs/>
          <w:color w:val="auto"/>
          <w:kern w:val="0"/>
          <w:szCs w:val="24"/>
          <w:highlight w:val="none"/>
          <w:u w:val="none"/>
        </w:rPr>
        <w:t>投资者在本理财产品说明书约定的封闭期、最短持有期及/或其他不可赎回时段内不享有提前赎回权。</w:t>
      </w:r>
      <w:r>
        <w:rPr>
          <w:rFonts w:hint="default" w:ascii="仿宋_GB2312" w:hAnsi="宋体" w:cs="宋体"/>
          <w:b w:val="0"/>
          <w:color w:val="auto"/>
          <w:kern w:val="0"/>
          <w:szCs w:val="24"/>
          <w:highlight w:val="none"/>
          <w:u w:val="none"/>
        </w:rPr>
        <w:t>如果投资者面临用款需求与其他投资机会，可能因所持有的理财产品不能随时赎回或变现，存在用款需求无法满足或错过其他投资机会的风险。</w:t>
      </w:r>
    </w:p>
    <w:p w14:paraId="45238C6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拟投资市场、资产的流动性风险评估：</w:t>
      </w:r>
    </w:p>
    <w:p w14:paraId="5EDA5EF6">
      <w:pPr>
        <w:tabs>
          <w:tab w:val="left" w:pos="3119"/>
        </w:tabs>
        <w:autoSpaceDE w:val="0"/>
        <w:autoSpaceDN w:val="0"/>
        <w:spacing w:line="360" w:lineRule="auto"/>
        <w:ind w:right="31" w:rightChars="15"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本理财产品投资范围包括</w:t>
      </w:r>
      <w:r>
        <w:rPr>
          <w:rFonts w:hint="eastAsia" w:ascii="仿宋_GB2312" w:hAnsi="宋体" w:cs="宋体"/>
          <w:b w:val="0"/>
          <w:color w:val="auto"/>
          <w:kern w:val="0"/>
          <w:szCs w:val="24"/>
          <w:highlight w:val="none"/>
          <w:u w:val="none"/>
          <w:lang w:eastAsia="zh-CN"/>
        </w:rPr>
        <w:t>【】。</w:t>
      </w:r>
      <w:r>
        <w:rPr>
          <w:rFonts w:hint="default" w:ascii="仿宋_GB2312" w:hAnsi="宋体" w:cs="宋体"/>
          <w:b w:val="0"/>
          <w:color w:val="auto"/>
          <w:kern w:val="0"/>
          <w:szCs w:val="24"/>
          <w:highlight w:val="none"/>
          <w:u w:val="none"/>
        </w:rPr>
        <w:t>标的资产主要为标准化债券金融工具，一般情况下具有较好的流动性，同时，本理财产品严格控制开放期内投资于流动性受限资产的投资品种比例。本理财产品管理人会进行标的的分散化投资并结合对各类标的资产的预期流动性状况进行合理配置，以防范流动性风险。</w:t>
      </w:r>
    </w:p>
    <w:p w14:paraId="7D7F36C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流动性应对措施及对投资者的潜在影响：</w:t>
      </w:r>
    </w:p>
    <w:p w14:paraId="36B8F89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本理财产品管理人将合理安排组合流动性，统筹考虑产品期限、各类标的资产的预期流动性，合理进行资产配置，最大程度防范流动性风险。</w:t>
      </w:r>
    </w:p>
    <w:p w14:paraId="5534388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产品管理人可依照法律法规及理财产品销售文件的约定，综合运用各类流动性应对措施，作为特定情形下流动性风险管理的辅助手段，包括但不限于：</w:t>
      </w:r>
    </w:p>
    <w:p w14:paraId="52144E7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（1）认购/申购风险应对措施，包括:设定单一投资者认购/申购金额上限、设定本理财产品单日净认购/申购比例上限、拒绝大额认购/申购、暂停认购/申购，以及国家金融监督管理总局规定的其他措施。</w:t>
      </w:r>
    </w:p>
    <w:p w14:paraId="091A7D6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（2）赎回风险应对措施，包括：设置赎回上限、延期办理巨额赎回申请、暂停接受赎回申请、延缓支付赎回款项、收取短期赎回费、暂停理财产品估值、摆动定价，以及国家金融监督管理总局规定的其他措施。</w:t>
      </w:r>
    </w:p>
    <w:p w14:paraId="58BB07E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1)延期办理巨额赎回申请</w:t>
      </w:r>
    </w:p>
    <w:p w14:paraId="2B4E062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若理财产品管理人采用延期办理巨额赎回申请的流动性风险应对措施，投资者的赎回申请将无法按时全额获得确认，投资者自身的流动性可能受到影响，并将额外承担市场波动对本理财产品净值的影响。</w:t>
      </w:r>
    </w:p>
    <w:p w14:paraId="1502372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2）暂停接受赎回申请或延缓支付赎回款项</w:t>
      </w:r>
    </w:p>
    <w:p w14:paraId="4742330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若理财产品管理人采用暂停接受赎回申请或延缓支付赎回款项的流动性风险应对措施，投资者面临在暂停赎回期间将无法赎回其持有的产品份额的风险，接收赎回款项的时间将可能比一般正常情形下有所延迟。</w:t>
      </w:r>
    </w:p>
    <w:p w14:paraId="47476F6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3</w:t>
      </w:r>
      <w:r>
        <w:rPr>
          <w:rFonts w:hint="eastAsia" w:ascii="仿宋_GB2312" w:hAnsi="宋体" w:cs="宋体"/>
          <w:b/>
          <w:bCs/>
          <w:color w:val="auto"/>
          <w:kern w:val="0"/>
          <w:szCs w:val="24"/>
          <w:highlight w:val="none"/>
          <w:u w:val="none"/>
          <w:lang w:eastAsia="zh-CN"/>
        </w:rPr>
        <w:t>）</w:t>
      </w:r>
      <w:r>
        <w:rPr>
          <w:rFonts w:hint="default" w:ascii="仿宋_GB2312" w:hAnsi="宋体" w:cs="宋体"/>
          <w:b/>
          <w:bCs/>
          <w:color w:val="auto"/>
          <w:kern w:val="0"/>
          <w:szCs w:val="24"/>
          <w:highlight w:val="none"/>
          <w:u w:val="none"/>
        </w:rPr>
        <w:t>暂停理财产品估值</w:t>
      </w:r>
    </w:p>
    <w:p w14:paraId="7AAD329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若理财产品管理人采用暂停理财产品估值的流动性风险应对措施，投资人没有可供参考的产品份额净值，同时赎回申请可能被暂停接受，或被延缓支付赎回款项。</w:t>
      </w:r>
    </w:p>
    <w:p w14:paraId="3FB463B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4</w:t>
      </w:r>
      <w:r>
        <w:rPr>
          <w:rFonts w:hint="eastAsia" w:ascii="仿宋_GB2312" w:hAnsi="宋体" w:cs="宋体"/>
          <w:b/>
          <w:bCs/>
          <w:color w:val="auto"/>
          <w:kern w:val="0"/>
          <w:szCs w:val="24"/>
          <w:highlight w:val="none"/>
          <w:u w:val="none"/>
          <w:lang w:eastAsia="zh-CN"/>
        </w:rPr>
        <w:t>）</w:t>
      </w:r>
      <w:r>
        <w:rPr>
          <w:rFonts w:hint="default" w:ascii="仿宋_GB2312" w:hAnsi="宋体" w:cs="宋体"/>
          <w:b/>
          <w:bCs/>
          <w:color w:val="auto"/>
          <w:kern w:val="0"/>
          <w:szCs w:val="24"/>
          <w:highlight w:val="none"/>
          <w:u w:val="none"/>
        </w:rPr>
        <w:t>摆动定价</w:t>
      </w:r>
    </w:p>
    <w:p w14:paraId="21ACBE5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若理财产品管理人采用摆动定价机制的流动性风险应对措施，则通过调整理财产品份额净值的方式，将理财产品调整投资组合的市场冲击成本分配给实际申购、赎回的投资者，以期减少对存量投资者利益的不利影响。</w:t>
      </w:r>
    </w:p>
    <w:p w14:paraId="7B1A6915">
      <w:pPr>
        <w:widowControl/>
        <w:numPr>
          <w:ilvl w:val="0"/>
          <w:numId w:val="2"/>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lang w:val="en-US" w:eastAsia="zh-CN"/>
        </w:rPr>
      </w:pPr>
      <w:r>
        <w:rPr>
          <w:rFonts w:hint="default" w:ascii="仿宋_GB2312" w:hAnsi="宋体" w:cs="宋体"/>
          <w:b/>
          <w:bCs/>
          <w:color w:val="auto"/>
          <w:kern w:val="0"/>
          <w:szCs w:val="24"/>
          <w:highlight w:val="none"/>
          <w:u w:val="none"/>
          <w:lang w:val="en-US" w:eastAsia="zh-CN"/>
        </w:rPr>
        <w:t>收取短期赎回费</w:t>
      </w:r>
    </w:p>
    <w:p w14:paraId="61878ED1">
      <w:pPr>
        <w:widowControl/>
        <w:numPr>
          <w:ilvl w:val="0"/>
          <w:numId w:val="0"/>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lang w:val="en-US" w:eastAsia="zh-CN"/>
        </w:rPr>
        <w:t>对持续持有期少于</w:t>
      </w:r>
      <w:r>
        <w:rPr>
          <w:rFonts w:hint="eastAsia" w:ascii="仿宋_GB2312" w:hAnsi="宋体" w:cs="宋体"/>
          <w:b/>
          <w:bCs/>
          <w:color w:val="auto"/>
          <w:kern w:val="0"/>
          <w:szCs w:val="24"/>
          <w:highlight w:val="none"/>
          <w:u w:val="none"/>
          <w:lang w:val="en-US" w:eastAsia="zh-CN"/>
        </w:rPr>
        <w:t>7日</w:t>
      </w:r>
      <w:r>
        <w:rPr>
          <w:rFonts w:hint="default" w:ascii="仿宋_GB2312" w:hAnsi="宋体" w:cs="宋体"/>
          <w:b/>
          <w:bCs/>
          <w:color w:val="auto"/>
          <w:kern w:val="0"/>
          <w:szCs w:val="24"/>
          <w:highlight w:val="none"/>
          <w:u w:val="none"/>
          <w:lang w:val="en-US" w:eastAsia="zh-CN"/>
        </w:rPr>
        <w:t>的投资者收取一定比例的赎回费，并全额计入理财财产。在此情形下，投资者在提交赎回申请时，实际赎回金额可能少于按照赎回申请当日理财产品份额净值计算出的赎回金额。若实施收取短期赎回费措施，管理人应于3个交易日内告知本理财产品的相关投资者。</w:t>
      </w:r>
    </w:p>
    <w:p w14:paraId="46FC6EE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（五）经营管理风险</w:t>
      </w:r>
    </w:p>
    <w:p w14:paraId="433AA79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在本理财产品运作过程中，投资管理各方受经验、技能、判断力、执行力等综合因素的限制，可能对本理财产品的运作与管理形成一定影响，投资者可能面临本金和收益遭受部分甚至全部损失的风险。</w:t>
      </w:r>
    </w:p>
    <w:p w14:paraId="7560173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（六）交易对手风险</w:t>
      </w:r>
    </w:p>
    <w:p w14:paraId="690B974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由于交易对手受偿付能力、流动性管理能力以及及时履约意愿等因素影响，导致交易对手不履约，可能影响本理财产品的投资管理，则投资者可能面临本金和收益遭受部分甚至全部损失的风险。</w:t>
      </w:r>
    </w:p>
    <w:p w14:paraId="6921407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（七）操作风险</w:t>
      </w:r>
    </w:p>
    <w:p w14:paraId="0515EB2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产品运作过程中，由于理财产品管理人及理财合作机构因技术系统故障、内部控制存在缺陷或人为因素，导致操作失误或违反操作规程等引起的风险，如内部作业、人员管理、系统操作及事务处理不当或失误等，则投资者可能面临本金和收益遭受部分甚至全部损失的风险。</w:t>
      </w:r>
    </w:p>
    <w:p w14:paraId="7A2E87C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（八）代销风险（如有）</w:t>
      </w:r>
    </w:p>
    <w:p w14:paraId="12C36D4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如本理财产品通过代理销售渠道销售，投资者购买理财产品的资金将由销售机构从投资者清算账户扣收并划付产品管理人，产品到期/终止/赎回时理财本金及收益相应款项由产品管理人按理财产品销售文件约定划付至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1A882C9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（九）募集期延长/缩短风险</w:t>
      </w:r>
    </w:p>
    <w:p w14:paraId="48561A1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在本理财产品募集期内，国家宏观政策以及市场相关法律法规政策发生变化、产品募集状况未达到/已达到产品说明书约定的成立条件，或其他经理财产品管理人合理判断需延长/缩短募集期的情形，产品管理人有权宣布本理财产品募集期延长/缩短，本理财产品可能延后/提前成立。</w:t>
      </w:r>
    </w:p>
    <w:p w14:paraId="513920C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（十）产品不成立风险</w:t>
      </w:r>
    </w:p>
    <w:p w14:paraId="0C6BFB0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0E6989E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（十一）提前终止风险</w:t>
      </w:r>
    </w:p>
    <w:p w14:paraId="42A25D7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442F45D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（十二）延期分配风险</w:t>
      </w:r>
    </w:p>
    <w:p w14:paraId="5B84B71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7695F03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（十三）信息传递风险</w:t>
      </w:r>
    </w:p>
    <w:p w14:paraId="0611248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理财产品管理人将按照理财产品销售文件中约定的信息披露方式、披露途径向投资者披露涉及本理财产品的各类信息和重大事件，投资者应及时查询了解。如投资者未及时查询相关信息或由于不可抗力（包括但不限于政府行为、自然灾害、疫情等）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7CA5626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（十四）关联关系及关联交易风险</w:t>
      </w:r>
    </w:p>
    <w:p w14:paraId="62E2F8C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双方存在关联关系。</w:t>
      </w:r>
    </w:p>
    <w:p w14:paraId="723C79E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可能投资于管理人、个别销售机构或托管人的主要股东、实际控制人、一致行动人、最终受益人，托管人，同一股东或托管人控股的机构，或者与管理人或托管人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提请投资者充分知悉、关注本理财产品关联关系和关联交易风险，投资者签署本理财产品销售文件即代表投资者认可且同意上述可能发生的关联交易并自愿承担相关风险。</w:t>
      </w:r>
    </w:p>
    <w:p w14:paraId="3E12684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（十五）再投资风险</w:t>
      </w:r>
    </w:p>
    <w:p w14:paraId="78FAA2E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由于浙银理财有权根据市场状况和产品余额情况提前终止本理财产品，因市场利率下滑，投资者可能面临本金和收益再投资收益率降低的风险。</w:t>
      </w:r>
    </w:p>
    <w:p w14:paraId="7FCD22E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（十六）估值风险</w:t>
      </w:r>
    </w:p>
    <w:p w14:paraId="6048BC8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0A6164B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w:t>
      </w:r>
      <w:r>
        <w:rPr>
          <w:rFonts w:hint="eastAsia" w:ascii="仿宋_GB2312" w:hAnsi="宋体" w:cs="宋体"/>
          <w:b w:val="0"/>
          <w:color w:val="auto"/>
          <w:kern w:val="0"/>
          <w:szCs w:val="24"/>
          <w:highlight w:val="none"/>
          <w:u w:val="none"/>
          <w:lang w:eastAsia="zh-CN"/>
        </w:rPr>
        <w:t>浮动管理费</w:t>
      </w:r>
      <w:r>
        <w:rPr>
          <w:rFonts w:hint="default" w:ascii="仿宋_GB2312" w:hAnsi="宋体" w:cs="宋体"/>
          <w:b w:val="0"/>
          <w:color w:val="auto"/>
          <w:kern w:val="0"/>
          <w:szCs w:val="24"/>
          <w:highlight w:val="none"/>
          <w:u w:val="none"/>
        </w:rPr>
        <w:t>，当前述资产管理产品计提</w:t>
      </w:r>
      <w:r>
        <w:rPr>
          <w:rFonts w:hint="eastAsia" w:ascii="仿宋_GB2312" w:hAnsi="宋体" w:cs="宋体"/>
          <w:b w:val="0"/>
          <w:color w:val="auto"/>
          <w:kern w:val="0"/>
          <w:szCs w:val="24"/>
          <w:highlight w:val="none"/>
          <w:u w:val="none"/>
          <w:lang w:eastAsia="zh-CN"/>
        </w:rPr>
        <w:t>浮动管理费</w:t>
      </w:r>
      <w:r>
        <w:rPr>
          <w:rFonts w:hint="default" w:ascii="仿宋_GB2312" w:hAnsi="宋体" w:cs="宋体"/>
          <w:b w:val="0"/>
          <w:color w:val="auto"/>
          <w:kern w:val="0"/>
          <w:szCs w:val="24"/>
          <w:highlight w:val="none"/>
          <w:u w:val="none"/>
        </w:rPr>
        <w:t>时，本理财产品的产品份额净值存在下跌风险。</w:t>
      </w:r>
    </w:p>
    <w:p w14:paraId="143FC09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（十七）托管及清算风险</w:t>
      </w:r>
    </w:p>
    <w:p w14:paraId="2CDF82C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本理财产品存在托管人，若因托管人操作失误或因任何原因未能按约履行托管人职责，或丧失进行托管的能力或法定资格，均可能给本理财产品带来风险。</w:t>
      </w:r>
    </w:p>
    <w:p w14:paraId="5C25941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（十八）税务风险</w:t>
      </w:r>
    </w:p>
    <w:p w14:paraId="4B9E46A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10D8621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（十九）不同理财产品份额类别存在差异的风险</w:t>
      </w:r>
    </w:p>
    <w:p w14:paraId="5F32936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管理人有权根据投资者购买理财产品的金额、销售渠道、客户类型等因素，对投资者所持有的理财产品份额设置不同的理财产品份额类别。不同类别的理财产品份额可能在产品销售名称、产品</w:t>
      </w:r>
      <w:r>
        <w:rPr>
          <w:rFonts w:hint="eastAsia" w:ascii="仿宋_GB2312" w:hAnsi="宋体" w:cs="宋体"/>
          <w:b w:val="0"/>
          <w:color w:val="auto"/>
          <w:kern w:val="0"/>
          <w:szCs w:val="24"/>
          <w:highlight w:val="none"/>
          <w:u w:val="none"/>
          <w:lang w:eastAsia="zh-CN"/>
        </w:rPr>
        <w:t>份额</w:t>
      </w:r>
      <w:r>
        <w:rPr>
          <w:rFonts w:hint="default" w:ascii="仿宋_GB2312" w:hAnsi="宋体" w:cs="宋体"/>
          <w:b w:val="0"/>
          <w:color w:val="auto"/>
          <w:kern w:val="0"/>
          <w:szCs w:val="24"/>
          <w:highlight w:val="none"/>
          <w:u w:val="none"/>
        </w:rPr>
        <w:t>代码、销售渠道、销售</w:t>
      </w:r>
      <w:r>
        <w:rPr>
          <w:rFonts w:hint="eastAsia" w:ascii="仿宋_GB2312" w:hAnsi="宋体" w:cs="宋体"/>
          <w:b w:val="0"/>
          <w:color w:val="auto"/>
          <w:kern w:val="0"/>
          <w:szCs w:val="24"/>
          <w:highlight w:val="none"/>
          <w:u w:val="none"/>
          <w:lang w:eastAsia="zh-CN"/>
        </w:rPr>
        <w:t>对象</w:t>
      </w:r>
      <w:r>
        <w:rPr>
          <w:rFonts w:hint="default" w:ascii="仿宋_GB2312" w:hAnsi="宋体" w:cs="宋体"/>
          <w:b w:val="0"/>
          <w:color w:val="auto"/>
          <w:kern w:val="0"/>
          <w:szCs w:val="24"/>
          <w:highlight w:val="none"/>
          <w:u w:val="none"/>
        </w:rPr>
        <w:t>、销售服务费率、托管费率、收费方式、业绩比较基准、起点</w:t>
      </w:r>
      <w:r>
        <w:rPr>
          <w:rFonts w:hint="eastAsia" w:ascii="仿宋_GB2312" w:hAnsi="宋体" w:cs="宋体"/>
          <w:b w:val="0"/>
          <w:color w:val="auto"/>
          <w:kern w:val="0"/>
          <w:szCs w:val="24"/>
          <w:highlight w:val="none"/>
          <w:u w:val="none"/>
          <w:lang w:eastAsia="zh-CN"/>
        </w:rPr>
        <w:t>销售</w:t>
      </w:r>
      <w:r>
        <w:rPr>
          <w:rFonts w:hint="default" w:ascii="仿宋_GB2312" w:hAnsi="宋体" w:cs="宋体"/>
          <w:b w:val="0"/>
          <w:color w:val="auto"/>
          <w:kern w:val="0"/>
          <w:szCs w:val="24"/>
          <w:highlight w:val="none"/>
          <w:u w:val="none"/>
        </w:rPr>
        <w:t>金额及</w:t>
      </w:r>
      <w:r>
        <w:rPr>
          <w:rFonts w:hint="eastAsia" w:ascii="仿宋_GB2312" w:hAnsi="宋体" w:cs="宋体"/>
          <w:b w:val="0"/>
          <w:color w:val="auto"/>
          <w:kern w:val="0"/>
          <w:szCs w:val="24"/>
          <w:highlight w:val="none"/>
          <w:u w:val="none"/>
          <w:lang w:eastAsia="zh-CN"/>
        </w:rPr>
        <w:t>追加</w:t>
      </w:r>
      <w:r>
        <w:rPr>
          <w:rFonts w:hint="default" w:ascii="仿宋_GB2312" w:hAnsi="宋体" w:cs="宋体"/>
          <w:b w:val="0"/>
          <w:color w:val="auto"/>
          <w:kern w:val="0"/>
          <w:szCs w:val="24"/>
          <w:highlight w:val="none"/>
          <w:u w:val="none"/>
        </w:rPr>
        <w:t>递增金额、认/申购上限金额、认/申购和赎回数量限制、持有金额上/下限、单一投资者持有份额占比上限、产品规模上限、产品份额净值的计算结果及信息披露等方面存在差异。</w:t>
      </w:r>
    </w:p>
    <w:p w14:paraId="79ABC3F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（二十）投资特定风险</w:t>
      </w:r>
    </w:p>
    <w:p w14:paraId="3D1C750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本理财产品因拟投资市场和资产类别可能面临的特定风险如下：</w:t>
      </w:r>
    </w:p>
    <w:p w14:paraId="3F69732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1.投资于固定收益类资产</w:t>
      </w:r>
      <w:r>
        <w:rPr>
          <w:rFonts w:hint="eastAsia" w:ascii="仿宋_GB2312" w:hAnsi="宋体" w:cs="宋体"/>
          <w:b/>
          <w:bCs/>
          <w:color w:val="auto"/>
          <w:kern w:val="0"/>
          <w:szCs w:val="24"/>
          <w:highlight w:val="none"/>
          <w:u w:val="none"/>
          <w:lang w:eastAsia="zh-CN"/>
        </w:rPr>
        <w:t>（如有）</w:t>
      </w:r>
      <w:r>
        <w:rPr>
          <w:rFonts w:hint="default" w:ascii="仿宋_GB2312" w:hAnsi="宋体" w:cs="宋体"/>
          <w:b/>
          <w:bCs/>
          <w:color w:val="auto"/>
          <w:kern w:val="0"/>
          <w:szCs w:val="24"/>
          <w:highlight w:val="none"/>
          <w:u w:val="none"/>
        </w:rPr>
        <w:t>的可能风险：</w:t>
      </w:r>
    </w:p>
    <w:p w14:paraId="3983958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121BDA4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2.投资于股票等权益类资产（如有）的可能风险：</w:t>
      </w:r>
    </w:p>
    <w:p w14:paraId="4B71558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4F9AFEA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0FBAE2E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3.投资于商品及金融衍生品类资产（如有）的可能风险：</w:t>
      </w:r>
    </w:p>
    <w:p w14:paraId="507106A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基差风险。</w:t>
      </w:r>
    </w:p>
    <w:p w14:paraId="08DF31D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（二十一）其他风险</w:t>
      </w:r>
    </w:p>
    <w:p w14:paraId="65E27F8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55A7285F">
      <w:pPr>
        <w:widowControl/>
        <w:tabs>
          <w:tab w:val="left" w:pos="709"/>
        </w:tabs>
        <w:adjustRightInd w:val="0"/>
        <w:snapToGrid w:val="0"/>
        <w:spacing w:line="360" w:lineRule="auto"/>
        <w:ind w:firstLine="420" w:firstLineChars="200"/>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Fonts w:hint="default" w:ascii="仿宋_GB2312" w:hAnsi="宋体" w:cs="宋体"/>
          <w:b w:val="0"/>
          <w:color w:val="auto"/>
          <w:kern w:val="0"/>
          <w:szCs w:val="24"/>
          <w:highlight w:val="none"/>
          <w:u w:val="none"/>
        </w:rPr>
        <w:t>以上所揭示事项仅为列举性质，未能尽述列明投资者投资本理财产品所面临的全部风险和可能导致投资者资产损失的所有因素。投资者应充分认识投资风险，谨慎投资</w:t>
      </w:r>
      <w:r>
        <w:rPr>
          <w:rFonts w:hint="default" w:ascii="仿宋_GB2312" w:hAnsi="宋体" w:eastAsia="仿宋_GB2312" w:cs="宋体"/>
          <w:b w:val="0"/>
          <w:bCs w:val="0"/>
          <w:color w:val="auto"/>
          <w:kern w:val="0"/>
          <w:sz w:val="24"/>
          <w:szCs w:val="24"/>
          <w:highlight w:val="none"/>
          <w:u w:val="none"/>
        </w:rPr>
        <w:t>。</w:t>
      </w:r>
      <w:r>
        <w:rPr>
          <w:rFonts w:hint="eastAsia" w:ascii="仿宋_GB2312" w:hAnsi="宋体" w:eastAsia="仿宋_GB2312" w:cs="宋体"/>
          <w:b w:val="0"/>
          <w:bCs w:val="0"/>
          <w:color w:val="auto"/>
          <w:kern w:val="0"/>
          <w:sz w:val="24"/>
          <w:szCs w:val="24"/>
          <w:highlight w:val="none"/>
          <w:u w:val="none"/>
          <w:lang w:eastAsia="zh-CN"/>
        </w:rPr>
        <w:t>”</w:t>
      </w:r>
    </w:p>
    <w:p w14:paraId="01098853">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3.封闭式和定开型产品《产品说明书》信息披露章节补充完善如下：</w:t>
      </w:r>
    </w:p>
    <w:p w14:paraId="37DC6A45">
      <w:pPr>
        <w:pStyle w:val="3"/>
        <w:numPr>
          <w:ilvl w:val="1"/>
          <w:numId w:val="0"/>
        </w:numPr>
        <w:tabs>
          <w:tab w:val="left" w:pos="709"/>
        </w:tabs>
        <w:ind w:left="482" w:leftChars="0"/>
        <w:rPr>
          <w:color w:val="auto"/>
          <w:highlight w:val="none"/>
        </w:rPr>
      </w:pPr>
      <w:r>
        <w:rPr>
          <w:rFonts w:hint="eastAsia"/>
          <w:color w:val="auto"/>
          <w:highlight w:val="none"/>
          <w:lang w:eastAsia="zh-CN"/>
        </w:rPr>
        <w:t>“</w:t>
      </w:r>
      <w:r>
        <w:rPr>
          <w:rFonts w:hint="eastAsia"/>
          <w:color w:val="auto"/>
          <w:highlight w:val="none"/>
        </w:rPr>
        <w:t>信息披露频率</w:t>
      </w:r>
    </w:p>
    <w:p w14:paraId="0E58151C">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rPr>
      </w:pPr>
      <w:r>
        <w:rPr>
          <w:rFonts w:ascii="仿宋_GB2312" w:hAnsi="宋体" w:cs="宋体"/>
          <w:color w:val="auto"/>
          <w:kern w:val="0"/>
          <w:szCs w:val="24"/>
          <w:highlight w:val="none"/>
        </w:rPr>
        <w:t>1.发行公告：本产品成立后5个工作日（含）内，将发布本理财产品成立公告；如</w:t>
      </w:r>
      <w:r>
        <w:rPr>
          <w:rFonts w:hint="eastAsia" w:ascii="仿宋_GB2312" w:hAnsi="宋体" w:cs="宋体"/>
          <w:color w:val="auto"/>
          <w:kern w:val="0"/>
          <w:szCs w:val="24"/>
          <w:highlight w:val="none"/>
        </w:rPr>
        <w:t>产品</w:t>
      </w:r>
      <w:r>
        <w:rPr>
          <w:rFonts w:ascii="仿宋_GB2312" w:hAnsi="宋体" w:cs="宋体"/>
          <w:color w:val="auto"/>
          <w:kern w:val="0"/>
          <w:szCs w:val="24"/>
          <w:highlight w:val="none"/>
        </w:rPr>
        <w:t>管理人决定本理财产品募集期延长，将于原定成立日前发布理财产品募集期延长公告；</w:t>
      </w:r>
      <w:r>
        <w:rPr>
          <w:rFonts w:hint="eastAsia" w:ascii="仿宋_GB2312" w:hAnsi="宋体" w:cs="宋体"/>
          <w:color w:val="auto"/>
          <w:kern w:val="0"/>
          <w:szCs w:val="24"/>
          <w:highlight w:val="none"/>
        </w:rPr>
        <w:t>产品</w:t>
      </w:r>
      <w:r>
        <w:rPr>
          <w:rFonts w:ascii="仿宋_GB2312" w:hAnsi="宋体" w:cs="宋体"/>
          <w:color w:val="auto"/>
          <w:kern w:val="0"/>
          <w:szCs w:val="24"/>
          <w:highlight w:val="none"/>
        </w:rPr>
        <w:t>管理人决定本理财产品不成立，将在理财产品原定成立日后的2个工作日（含）内发布理财产品不成立公告。</w:t>
      </w:r>
    </w:p>
    <w:p w14:paraId="459C5954">
      <w:pPr>
        <w:widowControl/>
        <w:numPr>
          <w:ilvl w:val="0"/>
          <w:numId w:val="0"/>
        </w:numPr>
        <w:tabs>
          <w:tab w:val="left" w:pos="1261"/>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ascii="仿宋_GB2312" w:hAnsi="宋体" w:cs="宋体"/>
          <w:color w:val="auto"/>
          <w:kern w:val="0"/>
          <w:szCs w:val="24"/>
          <w:highlight w:val="none"/>
          <w:u w:val="none"/>
        </w:rPr>
        <w:t>2.定期公告：本产品在</w:t>
      </w:r>
      <w:r>
        <w:rPr>
          <w:rFonts w:hint="eastAsia" w:ascii="仿宋_GB2312" w:hAnsi="宋体" w:cs="宋体"/>
          <w:color w:val="auto"/>
          <w:kern w:val="0"/>
          <w:szCs w:val="24"/>
          <w:highlight w:val="none"/>
          <w:u w:val="none"/>
        </w:rPr>
        <w:t>每个季度结束之日起十五个工作日内披露产品的季度报告，每年8月31日前披露产品的半年度报告，每年4月30日前披露产品上一年度的年度报告。产品成立不足</w:t>
      </w:r>
      <w:r>
        <w:rPr>
          <w:rFonts w:ascii="仿宋_GB2312" w:hAnsi="宋体" w:cs="宋体"/>
          <w:color w:val="auto"/>
          <w:kern w:val="0"/>
          <w:szCs w:val="24"/>
          <w:highlight w:val="none"/>
          <w:u w:val="none"/>
        </w:rPr>
        <w:t>90</w:t>
      </w:r>
      <w:r>
        <w:rPr>
          <w:rFonts w:hint="eastAsia" w:ascii="仿宋_GB2312" w:hAnsi="宋体" w:cs="宋体"/>
          <w:color w:val="auto"/>
          <w:kern w:val="0"/>
          <w:szCs w:val="24"/>
          <w:highlight w:val="none"/>
          <w:u w:val="none"/>
        </w:rPr>
        <w:t>个</w:t>
      </w:r>
      <w:r>
        <w:rPr>
          <w:rFonts w:hint="eastAsia" w:ascii="仿宋_GB2312" w:hAnsi="宋体" w:cs="宋体"/>
          <w:color w:val="auto"/>
          <w:kern w:val="0"/>
          <w:szCs w:val="24"/>
          <w:highlight w:val="none"/>
          <w:u w:val="none"/>
          <w:lang w:eastAsia="zh-CN"/>
        </w:rPr>
        <w:t>自然日</w:t>
      </w:r>
      <w:r>
        <w:rPr>
          <w:rFonts w:hint="eastAsia" w:ascii="仿宋_GB2312" w:hAnsi="宋体" w:cs="宋体"/>
          <w:color w:val="auto"/>
          <w:kern w:val="0"/>
          <w:szCs w:val="24"/>
          <w:highlight w:val="none"/>
          <w:u w:val="none"/>
        </w:rPr>
        <w:t>或者</w:t>
      </w:r>
      <w:r>
        <w:rPr>
          <w:rFonts w:hint="eastAsia" w:ascii="仿宋_GB2312"/>
          <w:color w:val="auto"/>
          <w:szCs w:val="32"/>
          <w:highlight w:val="none"/>
        </w:rPr>
        <w:t>理财产品剩余存续期不足完整报告期，且到期公告或清算报告包括对应定期报告内容的</w:t>
      </w:r>
      <w:r>
        <w:rPr>
          <w:rFonts w:hint="eastAsia" w:ascii="仿宋_GB2312" w:hAnsi="宋体" w:cs="宋体"/>
          <w:color w:val="auto"/>
          <w:kern w:val="0"/>
          <w:szCs w:val="24"/>
          <w:highlight w:val="none"/>
          <w:u w:val="none"/>
        </w:rPr>
        <w:t>，</w:t>
      </w:r>
      <w:r>
        <w:rPr>
          <w:rFonts w:hint="eastAsia" w:ascii="仿宋_GB2312" w:hAnsi="宋体" w:cs="宋体"/>
          <w:color w:val="auto"/>
          <w:kern w:val="0"/>
          <w:szCs w:val="24"/>
          <w:highlight w:val="none"/>
          <w:u w:val="none"/>
          <w:lang w:eastAsia="zh-CN"/>
        </w:rPr>
        <w:t>可</w:t>
      </w:r>
      <w:r>
        <w:rPr>
          <w:rFonts w:hint="eastAsia" w:ascii="仿宋_GB2312" w:hAnsi="宋体" w:cs="宋体"/>
          <w:color w:val="auto"/>
          <w:kern w:val="0"/>
          <w:szCs w:val="24"/>
          <w:highlight w:val="none"/>
          <w:u w:val="none"/>
        </w:rPr>
        <w:t>不编制本产品当期的季度、半年和年度报告。</w:t>
      </w:r>
    </w:p>
    <w:p w14:paraId="68C761E4">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3.到期公告：本产品在终止后5</w:t>
      </w:r>
      <w:r>
        <w:rPr>
          <w:rFonts w:hint="eastAsia" w:ascii="仿宋_GB2312" w:hAnsi="宋体" w:cs="宋体"/>
          <w:color w:val="auto"/>
          <w:kern w:val="0"/>
          <w:szCs w:val="24"/>
          <w:highlight w:val="none"/>
          <w:u w:val="none"/>
        </w:rPr>
        <w:t>个工作日内，披露本产品到期公告，包括理财产品的存续期限、终止日期、收费情况和收益分配情况等信息。本产品终止后5个工作日内，产品管理人发布产品到期公告。</w:t>
      </w:r>
    </w:p>
    <w:p w14:paraId="32A83160">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rPr>
      </w:pPr>
      <w:r>
        <w:rPr>
          <w:rFonts w:hint="eastAsia" w:ascii="仿宋_GB2312" w:hAnsi="宋体" w:cs="宋体"/>
          <w:color w:val="auto"/>
          <w:kern w:val="0"/>
          <w:szCs w:val="24"/>
          <w:highlight w:val="none"/>
        </w:rPr>
        <w:t>如果产品管理人提前或</w:t>
      </w:r>
      <w:r>
        <w:rPr>
          <w:rFonts w:ascii="仿宋_GB2312" w:hAnsi="宋体" w:cs="宋体"/>
          <w:color w:val="auto"/>
          <w:kern w:val="0"/>
          <w:szCs w:val="24"/>
          <w:highlight w:val="none"/>
        </w:rPr>
        <w:t>延后</w:t>
      </w:r>
      <w:r>
        <w:rPr>
          <w:rFonts w:hint="eastAsia" w:ascii="仿宋_GB2312" w:hAnsi="宋体" w:cs="宋体"/>
          <w:color w:val="auto"/>
          <w:kern w:val="0"/>
          <w:szCs w:val="24"/>
          <w:highlight w:val="none"/>
        </w:rPr>
        <w:t>终止本产品，产品管理人将提前</w:t>
      </w:r>
      <w:r>
        <w:rPr>
          <w:rFonts w:hint="eastAsia" w:ascii="仿宋_GB2312" w:hAnsi="宋体" w:cs="宋体"/>
          <w:color w:val="auto"/>
          <w:kern w:val="0"/>
          <w:szCs w:val="24"/>
          <w:highlight w:val="none"/>
          <w:lang w:val="en-US" w:eastAsia="zh-CN"/>
        </w:rPr>
        <w:t>1</w:t>
      </w:r>
      <w:r>
        <w:rPr>
          <w:rFonts w:hint="eastAsia" w:ascii="仿宋_GB2312" w:hAnsi="宋体" w:cs="宋体"/>
          <w:color w:val="auto"/>
          <w:kern w:val="0"/>
          <w:szCs w:val="24"/>
          <w:highlight w:val="none"/>
        </w:rPr>
        <w:t>个工作日进行公告。</w:t>
      </w:r>
    </w:p>
    <w:p w14:paraId="5A4C9D76">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rPr>
      </w:pPr>
      <w:r>
        <w:rPr>
          <w:rFonts w:ascii="仿宋_GB2312" w:hAnsi="宋体" w:cs="宋体"/>
          <w:color w:val="auto"/>
          <w:kern w:val="0"/>
          <w:szCs w:val="24"/>
          <w:highlight w:val="none"/>
        </w:rPr>
        <w:t>4.产品</w:t>
      </w:r>
      <w:r>
        <w:rPr>
          <w:rFonts w:hint="eastAsia" w:ascii="仿宋_GB2312" w:hAnsi="宋体" w:cs="宋体"/>
          <w:color w:val="auto"/>
          <w:kern w:val="0"/>
          <w:szCs w:val="24"/>
          <w:highlight w:val="none"/>
        </w:rPr>
        <w:t>估值日公告：本产品存续期内，</w:t>
      </w:r>
      <w:r>
        <w:rPr>
          <w:rFonts w:hint="eastAsia" w:ascii="仿宋_GB2312" w:hAnsi="宋体" w:cs="宋体"/>
          <w:b/>
          <w:color w:val="auto"/>
          <w:kern w:val="0"/>
          <w:szCs w:val="24"/>
          <w:highlight w:val="none"/>
        </w:rPr>
        <w:t>每【周</w:t>
      </w:r>
      <w:r>
        <w:rPr>
          <w:rFonts w:hint="eastAsia" w:ascii="仿宋_GB2312" w:hAnsi="宋体" w:cs="宋体"/>
          <w:b/>
          <w:color w:val="auto"/>
          <w:kern w:val="0"/>
          <w:szCs w:val="24"/>
          <w:highlight w:val="none"/>
          <w:lang w:val="en-US" w:eastAsia="zh-CN"/>
        </w:rPr>
        <w:t>/季</w:t>
      </w:r>
      <w:r>
        <w:rPr>
          <w:rFonts w:hint="eastAsia" w:ascii="仿宋_GB2312" w:hAnsi="宋体" w:cs="宋体"/>
          <w:b/>
          <w:color w:val="auto"/>
          <w:kern w:val="0"/>
          <w:szCs w:val="24"/>
          <w:highlight w:val="none"/>
        </w:rPr>
        <w:t>】</w:t>
      </w:r>
      <w:r>
        <w:rPr>
          <w:rFonts w:hint="eastAsia" w:ascii="仿宋_GB2312" w:hAnsi="宋体" w:cs="宋体"/>
          <w:color w:val="auto"/>
          <w:kern w:val="0"/>
          <w:szCs w:val="24"/>
          <w:highlight w:val="none"/>
        </w:rPr>
        <w:t>向投资者披露一次估值日公告</w:t>
      </w:r>
      <w:r>
        <w:rPr>
          <w:rFonts w:ascii="宋体" w:hAnsi="宋体"/>
          <w:b/>
          <w:color w:val="auto"/>
          <w:szCs w:val="24"/>
          <w:highlight w:val="none"/>
        </w:rPr>
        <w:t>(如遇特殊情况以产品管理人</w:t>
      </w:r>
      <w:r>
        <w:rPr>
          <w:rFonts w:hint="eastAsia" w:ascii="宋体" w:hAnsi="宋体"/>
          <w:b/>
          <w:color w:val="auto"/>
          <w:szCs w:val="24"/>
          <w:highlight w:val="none"/>
        </w:rPr>
        <w:t>披露</w:t>
      </w:r>
      <w:r>
        <w:rPr>
          <w:rFonts w:ascii="宋体" w:hAnsi="宋体"/>
          <w:b/>
          <w:color w:val="auto"/>
          <w:szCs w:val="24"/>
          <w:highlight w:val="none"/>
        </w:rPr>
        <w:t>为准)</w:t>
      </w:r>
      <w:r>
        <w:rPr>
          <w:rFonts w:hint="eastAsia" w:ascii="仿宋_GB2312" w:hAnsi="宋体" w:cs="宋体"/>
          <w:color w:val="auto"/>
          <w:kern w:val="0"/>
          <w:szCs w:val="24"/>
          <w:highlight w:val="none"/>
        </w:rPr>
        <w:t>，估值日公告披露的内容包括估值日的产品份额净值、产品份额累计净值等。如遇法定节假日顺延。如遇产品到期日、季度末、半年度末、年度末等时间节点，产品管理人将增加估值日。此外，如遇其他特殊情况，以产品管理人信息披露为准。</w:t>
      </w:r>
    </w:p>
    <w:p w14:paraId="6D5D445A">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ascii="仿宋_GB2312" w:hAnsi="宋体" w:cs="宋体"/>
          <w:color w:val="auto"/>
          <w:kern w:val="0"/>
          <w:szCs w:val="24"/>
          <w:highlight w:val="none"/>
          <w:u w:val="none"/>
        </w:rPr>
        <w:t>.</w:t>
      </w:r>
      <w:r>
        <w:rPr>
          <w:rFonts w:hint="eastAsia" w:ascii="仿宋_GB2312" w:hAnsi="宋体" w:cs="宋体"/>
          <w:color w:val="auto"/>
          <w:kern w:val="0"/>
          <w:szCs w:val="24"/>
          <w:highlight w:val="none"/>
          <w:u w:val="none"/>
        </w:rPr>
        <w:t>产品临时公告</w:t>
      </w:r>
    </w:p>
    <w:p w14:paraId="69ED87C3">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1</w:t>
      </w:r>
      <w:r>
        <w:rPr>
          <w:rFonts w:hint="eastAsia" w:ascii="仿宋_GB2312" w:hAnsi="宋体" w:cs="宋体"/>
          <w:color w:val="auto"/>
          <w:kern w:val="0"/>
          <w:szCs w:val="24"/>
          <w:highlight w:val="none"/>
          <w:u w:val="none"/>
        </w:rPr>
        <w:t>）产品管理人对产品类型、投资范围、资产种类、投资比例、风险等级、产品期限、运作方式、认（申）购和赎回安排（包含认购或申购赎回时间、金额上下限等）、估值方法、收益分配安排</w:t>
      </w:r>
      <w:r>
        <w:rPr>
          <w:rFonts w:hint="eastAsia" w:ascii="仿宋_GB2312" w:hAnsi="宋体" w:cs="宋体"/>
          <w:color w:val="auto"/>
          <w:kern w:val="0"/>
          <w:szCs w:val="24"/>
          <w:highlight w:val="none"/>
          <w:u w:val="none"/>
          <w:lang w:eastAsia="zh-CN"/>
        </w:rPr>
        <w:t>、</w:t>
      </w:r>
      <w:r>
        <w:rPr>
          <w:rFonts w:hint="eastAsia" w:ascii="仿宋_GB2312"/>
          <w:color w:val="auto"/>
          <w:szCs w:val="32"/>
          <w:highlight w:val="none"/>
        </w:rPr>
        <w:t>份额类别</w:t>
      </w:r>
      <w:r>
        <w:rPr>
          <w:rFonts w:hint="eastAsia" w:ascii="仿宋_GB2312"/>
          <w:color w:val="auto"/>
          <w:szCs w:val="32"/>
          <w:highlight w:val="none"/>
          <w:lang w:eastAsia="zh-CN"/>
        </w:rPr>
        <w:t>、</w:t>
      </w:r>
      <w:r>
        <w:rPr>
          <w:rFonts w:hint="eastAsia" w:ascii="仿宋_GB2312" w:hAnsi="宋体" w:cs="宋体"/>
          <w:color w:val="auto"/>
          <w:kern w:val="0"/>
          <w:szCs w:val="24"/>
          <w:highlight w:val="none"/>
          <w:u w:val="none"/>
        </w:rPr>
        <w:t>收费项目、收费条件、收费标准、收费方式</w:t>
      </w:r>
      <w:r>
        <w:rPr>
          <w:rFonts w:hint="eastAsia" w:ascii="仿宋_GB2312" w:hAnsi="宋体" w:cs="宋体"/>
          <w:color w:val="auto"/>
          <w:kern w:val="0"/>
          <w:szCs w:val="24"/>
          <w:highlight w:val="none"/>
          <w:u w:val="none"/>
          <w:lang w:eastAsia="zh-CN"/>
        </w:rPr>
        <w:t>、费用优惠措施</w:t>
      </w:r>
      <w:r>
        <w:rPr>
          <w:rFonts w:hint="eastAsia" w:ascii="仿宋_GB2312" w:hAnsi="宋体" w:cs="宋体"/>
          <w:color w:val="auto"/>
          <w:kern w:val="0"/>
          <w:szCs w:val="24"/>
          <w:highlight w:val="none"/>
          <w:u w:val="none"/>
        </w:rPr>
        <w:t>等保留调整的权利，如发生调整，调整后的要素以产品管理人发布的公告中所载明的内容为准。产品管理人将提前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个工作日发布公告。</w:t>
      </w:r>
    </w:p>
    <w:p w14:paraId="6090506D">
      <w:pPr>
        <w:widowControl/>
        <w:tabs>
          <w:tab w:val="left" w:pos="709"/>
        </w:tabs>
        <w:adjustRightInd w:val="0"/>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ascii="仿宋_GB2312" w:hAnsi="宋体" w:cs="宋体"/>
          <w:b/>
          <w:bCs/>
          <w:color w:val="auto"/>
          <w:kern w:val="0"/>
          <w:szCs w:val="24"/>
          <w:highlight w:val="none"/>
          <w:u w:val="none"/>
        </w:rPr>
        <w:t>2）在发生产品管理人拒绝或暂停接受投资者认购/申购申请、</w:t>
      </w:r>
      <w:r>
        <w:rPr>
          <w:rFonts w:hint="eastAsia" w:ascii="仿宋_GB2312" w:hAnsi="宋体" w:cs="宋体"/>
          <w:b/>
          <w:bCs/>
          <w:color w:val="auto"/>
          <w:kern w:val="0"/>
          <w:szCs w:val="24"/>
          <w:highlight w:val="none"/>
          <w:u w:val="none"/>
        </w:rPr>
        <w:t>延期办理巨额赎回申请、</w:t>
      </w:r>
      <w:r>
        <w:rPr>
          <w:rFonts w:ascii="仿宋_GB2312" w:hAnsi="宋体" w:cs="宋体"/>
          <w:b/>
          <w:bCs/>
          <w:color w:val="auto"/>
          <w:kern w:val="0"/>
          <w:szCs w:val="24"/>
          <w:highlight w:val="none"/>
          <w:u w:val="none"/>
        </w:rPr>
        <w:t>暂停接受投资者赎回申请、延缓支付赎回款项、暂停理财产品估值、</w:t>
      </w:r>
      <w:r>
        <w:rPr>
          <w:rFonts w:hint="eastAsia" w:ascii="仿宋_GB2312" w:hAnsi="宋体" w:cs="宋体"/>
          <w:b/>
          <w:bCs/>
          <w:color w:val="auto"/>
          <w:kern w:val="0"/>
          <w:szCs w:val="24"/>
          <w:highlight w:val="none"/>
          <w:u w:val="none"/>
          <w:lang w:eastAsia="zh-CN"/>
        </w:rPr>
        <w:t>收取短期赎回费、</w:t>
      </w:r>
      <w:r>
        <w:rPr>
          <w:rFonts w:ascii="仿宋_GB2312" w:hAnsi="宋体" w:cs="宋体"/>
          <w:b/>
          <w:bCs/>
          <w:color w:val="auto"/>
          <w:kern w:val="0"/>
          <w:szCs w:val="24"/>
          <w:highlight w:val="none"/>
          <w:u w:val="none"/>
        </w:rPr>
        <w:t>采用摆动定价等情形时，产品管理人将于</w:t>
      </w:r>
      <w:r>
        <w:rPr>
          <w:rFonts w:hint="eastAsia" w:ascii="仿宋_GB2312" w:hAnsi="宋体" w:cs="宋体"/>
          <w:b/>
          <w:bCs/>
          <w:color w:val="auto"/>
          <w:kern w:val="0"/>
          <w:szCs w:val="24"/>
          <w:highlight w:val="none"/>
          <w:u w:val="none"/>
        </w:rPr>
        <w:t>情形发生</w:t>
      </w:r>
      <w:r>
        <w:rPr>
          <w:rFonts w:hint="eastAsia" w:ascii="仿宋_GB2312" w:hAnsi="宋体" w:cs="宋体"/>
          <w:b/>
          <w:bCs/>
          <w:color w:val="auto"/>
          <w:kern w:val="0"/>
          <w:szCs w:val="24"/>
          <w:highlight w:val="none"/>
          <w:u w:val="none"/>
          <w:lang w:val="en-US" w:eastAsia="zh-CN"/>
        </w:rPr>
        <w:t>后</w:t>
      </w:r>
      <w:r>
        <w:rPr>
          <w:rFonts w:ascii="仿宋_GB2312" w:hAnsi="宋体" w:cs="宋体"/>
          <w:b/>
          <w:bCs/>
          <w:color w:val="auto"/>
          <w:kern w:val="0"/>
          <w:szCs w:val="24"/>
          <w:highlight w:val="none"/>
          <w:u w:val="none"/>
        </w:rPr>
        <w:t>3</w:t>
      </w:r>
      <w:r>
        <w:rPr>
          <w:rFonts w:hint="eastAsia" w:ascii="仿宋_GB2312" w:hAnsi="宋体" w:cs="宋体"/>
          <w:b/>
          <w:bCs/>
          <w:color w:val="auto"/>
          <w:kern w:val="0"/>
          <w:szCs w:val="24"/>
          <w:highlight w:val="none"/>
          <w:u w:val="none"/>
        </w:rPr>
        <w:t>个</w:t>
      </w:r>
      <w:r>
        <w:rPr>
          <w:rFonts w:hint="eastAsia" w:ascii="仿宋_GB2312" w:hAnsi="宋体" w:cs="宋体"/>
          <w:b/>
          <w:bCs/>
          <w:color w:val="auto"/>
          <w:kern w:val="0"/>
          <w:szCs w:val="24"/>
          <w:highlight w:val="none"/>
          <w:u w:val="none"/>
          <w:lang w:eastAsia="zh-CN"/>
        </w:rPr>
        <w:t>交易日</w:t>
      </w:r>
      <w:r>
        <w:rPr>
          <w:rFonts w:hint="eastAsia" w:ascii="仿宋_GB2312" w:hAnsi="宋体" w:cs="宋体"/>
          <w:b/>
          <w:bCs/>
          <w:color w:val="auto"/>
          <w:kern w:val="0"/>
          <w:szCs w:val="24"/>
          <w:highlight w:val="none"/>
          <w:u w:val="none"/>
        </w:rPr>
        <w:t>内告知投资者，并说明运用相关措施的原因和拟采取的应对安排等。在发生涉及产品认购、申购或赎回事项调整或潜在影响投资者赎回等事项时，管理人将发布临时公告。</w:t>
      </w:r>
    </w:p>
    <w:p w14:paraId="65FFE496">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3）理财产品清算期超过5</w:t>
      </w:r>
      <w:r>
        <w:rPr>
          <w:rFonts w:hint="eastAsia" w:ascii="仿宋_GB2312" w:hAnsi="宋体" w:cs="宋体"/>
          <w:color w:val="auto"/>
          <w:kern w:val="0"/>
          <w:szCs w:val="24"/>
          <w:highlight w:val="none"/>
          <w:u w:val="none"/>
        </w:rPr>
        <w:t>个工作日的，产品管理人应当在理财产品终止前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w:t>
      </w:r>
      <w:r>
        <w:rPr>
          <w:rFonts w:ascii="仿宋_GB2312" w:hAnsi="宋体" w:cs="宋体"/>
          <w:color w:val="auto"/>
          <w:kern w:val="0"/>
          <w:szCs w:val="24"/>
          <w:highlight w:val="none"/>
          <w:u w:val="none"/>
        </w:rPr>
        <w:t>工作日</w:t>
      </w:r>
      <w:r>
        <w:rPr>
          <w:rFonts w:hint="eastAsia" w:ascii="仿宋_GB2312" w:hAnsi="宋体" w:cs="宋体"/>
          <w:color w:val="auto"/>
          <w:kern w:val="0"/>
          <w:szCs w:val="24"/>
          <w:highlight w:val="none"/>
          <w:u w:val="none"/>
        </w:rPr>
        <w:t>，根据与投资者约定的渠道向投资者进行信息披露。</w:t>
      </w:r>
    </w:p>
    <w:p w14:paraId="1111A3D5">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（4）在本产品存续期内，如因国家法律法规、监管规定发生变化，或是出于维护本产品正常运营的需要，在不损害投资者权益的前提下，产品管理人有权对理财产品销售文件进行修订，并提前</w:t>
      </w:r>
      <w:r>
        <w:rPr>
          <w:rFonts w:hint="eastAsia" w:ascii="仿宋_GB2312" w:hAnsi="宋体" w:cs="宋体"/>
          <w:b/>
          <w:color w:val="auto"/>
          <w:kern w:val="0"/>
          <w:szCs w:val="24"/>
          <w:highlight w:val="none"/>
          <w:u w:val="none"/>
          <w:lang w:val="en-US" w:eastAsia="zh-CN"/>
        </w:rPr>
        <w:t>1</w:t>
      </w:r>
      <w:r>
        <w:rPr>
          <w:rFonts w:hint="eastAsia" w:ascii="仿宋_GB2312" w:hAnsi="宋体" w:cs="宋体"/>
          <w:b/>
          <w:color w:val="auto"/>
          <w:kern w:val="0"/>
          <w:szCs w:val="24"/>
          <w:highlight w:val="none"/>
          <w:u w:val="none"/>
        </w:rPr>
        <w:t>个工作日进行公告。</w:t>
      </w:r>
    </w:p>
    <w:p w14:paraId="5509CC4F">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5）其他临时性公告</w:t>
      </w:r>
    </w:p>
    <w:p w14:paraId="2568FFDB">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除前述事项外，如出现产品</w:t>
      </w:r>
      <w:r>
        <w:rPr>
          <w:rFonts w:ascii="仿宋_GB2312" w:hAnsi="宋体" w:cs="宋体"/>
          <w:color w:val="auto"/>
          <w:kern w:val="0"/>
          <w:szCs w:val="24"/>
          <w:highlight w:val="none"/>
          <w:u w:val="none"/>
        </w:rPr>
        <w:t>二次清算</w:t>
      </w:r>
      <w:r>
        <w:rPr>
          <w:rFonts w:hint="eastAsia" w:ascii="仿宋_GB2312" w:hAnsi="宋体" w:cs="宋体"/>
          <w:color w:val="auto"/>
          <w:kern w:val="0"/>
          <w:szCs w:val="24"/>
          <w:highlight w:val="none"/>
          <w:u w:val="none"/>
        </w:rPr>
        <w:t>等其他突发事件，应在完成再次清算之日起</w:t>
      </w: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个工作日内，向投资者披露清算资金分配情况等信息。</w:t>
      </w:r>
    </w:p>
    <w:p w14:paraId="4B14BE9A">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在本产品存续期内，当产品管理人对理财产品进行相应调整（包括调整投资范围、投资资产种类、投资比例或收费项目、收费条件、收费标准、收费方式等）时，若构成对投资者利益产生实质性不利影响或涉及当事人权利义务的重大变更的，投资者有权不接受调整，在符合法律法规及监管政策的前提下，可由产品管理人决定投资者提前赎回的方式，并通过公告进行披露。若投资者未选择赎回本产品的，则视为已理解并接受产品管理人的相应调整。</w:t>
      </w:r>
    </w:p>
    <w:p w14:paraId="01B5487C">
      <w:pPr>
        <w:widowControl/>
        <w:tabs>
          <w:tab w:val="left" w:pos="709"/>
        </w:tabs>
        <w:adjustRightInd w:val="0"/>
        <w:snapToGrid w:val="0"/>
        <w:spacing w:line="360" w:lineRule="auto"/>
        <w:ind w:firstLine="422" w:firstLineChars="200"/>
        <w:rPr>
          <w:rFonts w:hint="eastAsia" w:ascii="仿宋_GB2312" w:hAnsi="宋体" w:cs="宋体"/>
          <w:b/>
          <w:bCs/>
          <w:color w:val="auto"/>
          <w:kern w:val="0"/>
          <w:szCs w:val="24"/>
          <w:highlight w:val="none"/>
          <w:u w:val="none"/>
          <w:lang w:eastAsia="zh-CN"/>
        </w:rPr>
      </w:pPr>
      <w:r>
        <w:rPr>
          <w:rFonts w:hint="eastAsia" w:ascii="仿宋_GB2312" w:hAnsi="宋体" w:cs="宋体"/>
          <w:b/>
          <w:bCs/>
          <w:color w:val="auto"/>
          <w:kern w:val="0"/>
          <w:szCs w:val="24"/>
          <w:highlight w:val="none"/>
          <w:u w:val="none"/>
          <w:lang w:eastAsia="zh-CN"/>
        </w:rPr>
        <w:t>产品管理人</w:t>
      </w:r>
      <w:r>
        <w:rPr>
          <w:rFonts w:hint="eastAsia" w:ascii="仿宋_GB2312" w:hAnsi="宋体" w:cs="宋体"/>
          <w:b/>
          <w:bCs/>
          <w:color w:val="auto"/>
          <w:kern w:val="0"/>
          <w:szCs w:val="24"/>
          <w:highlight w:val="none"/>
          <w:u w:val="none"/>
        </w:rPr>
        <w:t>对于理财产品存续期间发生的以下事项，应于知晓或应当知晓相关事项后</w:t>
      </w:r>
      <w:r>
        <w:rPr>
          <w:rFonts w:hint="eastAsia" w:ascii="仿宋_GB2312" w:hAnsi="宋体" w:cs="宋体"/>
          <w:b/>
          <w:bCs/>
          <w:color w:val="auto"/>
          <w:kern w:val="0"/>
          <w:szCs w:val="24"/>
          <w:highlight w:val="none"/>
          <w:u w:val="none"/>
          <w:lang w:val="en-US" w:eastAsia="zh-CN"/>
        </w:rPr>
        <w:t>5</w:t>
      </w:r>
      <w:r>
        <w:rPr>
          <w:rFonts w:hint="eastAsia" w:ascii="仿宋_GB2312" w:hAnsi="宋体" w:cs="宋体"/>
          <w:b/>
          <w:bCs/>
          <w:color w:val="auto"/>
          <w:kern w:val="0"/>
          <w:szCs w:val="24"/>
          <w:highlight w:val="none"/>
          <w:u w:val="none"/>
        </w:rPr>
        <w:t>个工作日内向投资者披露</w:t>
      </w:r>
      <w:r>
        <w:rPr>
          <w:rFonts w:hint="eastAsia" w:ascii="仿宋_GB2312" w:hAnsi="宋体" w:cs="宋体"/>
          <w:b/>
          <w:bCs/>
          <w:color w:val="auto"/>
          <w:kern w:val="0"/>
          <w:szCs w:val="24"/>
          <w:highlight w:val="none"/>
          <w:u w:val="none"/>
          <w:lang w:eastAsia="zh-CN"/>
        </w:rPr>
        <w:t>：</w:t>
      </w:r>
    </w:p>
    <w:p w14:paraId="7A798382">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更换理财产品管理人或</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变更实际控制人，更换托管机构，</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或托管</w:t>
      </w:r>
      <w:r>
        <w:rPr>
          <w:rFonts w:hint="eastAsia" w:ascii="仿宋_GB2312" w:hAnsi="宋体" w:cs="宋体"/>
          <w:color w:val="auto"/>
          <w:kern w:val="0"/>
          <w:szCs w:val="24"/>
          <w:highlight w:val="none"/>
          <w:u w:val="none"/>
          <w:lang w:eastAsia="zh-CN"/>
        </w:rPr>
        <w:t>机构</w:t>
      </w:r>
      <w:r>
        <w:rPr>
          <w:rFonts w:hint="eastAsia" w:ascii="仿宋_GB2312" w:hAnsi="宋体" w:cs="宋体"/>
          <w:color w:val="auto"/>
          <w:kern w:val="0"/>
          <w:szCs w:val="24"/>
          <w:highlight w:val="none"/>
          <w:u w:val="none"/>
        </w:rPr>
        <w:t>的法定名称、住所发生变更。</w:t>
      </w:r>
    </w:p>
    <w:p w14:paraId="1B0B6DA2">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涉及产品穿透后持仓百分之十及以上的单笔资产的诉讼或仲裁，并可能对产品或其投资者权益有重大影响的。</w:t>
      </w:r>
    </w:p>
    <w:p w14:paraId="6D466CD9">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3</w:t>
      </w:r>
      <w:r>
        <w:rPr>
          <w:rFonts w:hint="eastAsia" w:ascii="仿宋_GB2312" w:hAnsi="宋体" w:cs="宋体"/>
          <w:color w:val="auto"/>
          <w:kern w:val="0"/>
          <w:szCs w:val="24"/>
          <w:highlight w:val="none"/>
          <w:u w:val="none"/>
        </w:rPr>
        <w:t>）产品穿透后持仓百分之十及以上的非标准化债权类资产的融资主体、担保主体发生重大行政处罚、重大诉讼或仲裁，或破产、兼并、重组等重大事项，并对其还款能力或担保能力造成重大不利影响；或上述融资主体对其公开市场债务出现不能按时足额还本付息情况的。</w:t>
      </w:r>
    </w:p>
    <w:p w14:paraId="094E55BF">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理财产品投资的非标准化资产本身为不良资产及其收益权的，可以不进行临时披露，但应当在季度、半年度、年度报告中披露相关情况。</w:t>
      </w:r>
    </w:p>
    <w:p w14:paraId="228D6B23">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4）</w:t>
      </w:r>
      <w:r>
        <w:rPr>
          <w:rFonts w:hint="eastAsia" w:ascii="仿宋_GB2312" w:hAnsi="宋体" w:cs="宋体"/>
          <w:color w:val="auto"/>
          <w:kern w:val="0"/>
          <w:szCs w:val="24"/>
          <w:highlight w:val="none"/>
          <w:u w:val="none"/>
        </w:rPr>
        <w:t>涉及产品穿透后持仓百分之十及以上的单笔资产的债券违约、股票停牌或退市的。</w:t>
      </w:r>
    </w:p>
    <w:p w14:paraId="574E9C29">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hint="eastAsia" w:ascii="仿宋_GB2312" w:hAnsi="宋体" w:cs="宋体"/>
          <w:color w:val="auto"/>
          <w:kern w:val="0"/>
          <w:szCs w:val="24"/>
          <w:highlight w:val="none"/>
          <w:u w:val="none"/>
        </w:rPr>
        <w:t>理财产品份额净值计价错误达份额净值百分之零点五。</w:t>
      </w:r>
    </w:p>
    <w:p w14:paraId="6B68F139">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6）</w:t>
      </w:r>
      <w:r>
        <w:rPr>
          <w:rFonts w:hint="eastAsia" w:ascii="仿宋_GB2312" w:hAnsi="宋体" w:cs="宋体"/>
          <w:color w:val="auto"/>
          <w:kern w:val="0"/>
          <w:szCs w:val="24"/>
          <w:highlight w:val="none"/>
          <w:u w:val="none"/>
        </w:rPr>
        <w:t>金融市场发生重大变化导致理财产品投资比例暂时超出浮动区间且可能对理财产品收益产生重大影响的。</w:t>
      </w:r>
    </w:p>
    <w:p w14:paraId="22EF42AC">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lang w:eastAsia="zh-CN"/>
        </w:rPr>
      </w:pPr>
      <w:r>
        <w:rPr>
          <w:rFonts w:hint="eastAsia" w:ascii="仿宋_GB2312" w:hAnsi="宋体" w:cs="宋体"/>
          <w:color w:val="auto"/>
          <w:kern w:val="0"/>
          <w:szCs w:val="24"/>
          <w:highlight w:val="none"/>
          <w:u w:val="none"/>
          <w:lang w:val="en-US" w:eastAsia="zh-CN"/>
        </w:rPr>
        <w:t>7）</w:t>
      </w:r>
      <w:r>
        <w:rPr>
          <w:rFonts w:hint="eastAsia" w:ascii="仿宋_GB2312" w:hAnsi="宋体" w:cs="宋体"/>
          <w:color w:val="auto"/>
          <w:kern w:val="0"/>
          <w:szCs w:val="24"/>
          <w:highlight w:val="none"/>
          <w:u w:val="none"/>
        </w:rPr>
        <w:t>法律法规以及监管规定的其他内容，或者</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认为可能对投资者权益产生重大不利影响的其他事项。</w:t>
      </w:r>
      <w:r>
        <w:rPr>
          <w:rFonts w:hint="eastAsia" w:ascii="仿宋_GB2312" w:hAnsi="宋体" w:cs="宋体"/>
          <w:color w:val="auto"/>
          <w:kern w:val="0"/>
          <w:szCs w:val="24"/>
          <w:highlight w:val="none"/>
          <w:u w:val="none"/>
          <w:lang w:eastAsia="zh-CN"/>
        </w:rPr>
        <w:t>”</w:t>
      </w:r>
    </w:p>
    <w:p w14:paraId="2BEBAD89">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4.封闭式和定开型产品《风险揭示书》补充说明投资者因市场变动等而蒙受损失的程度如下：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6777"/>
      </w:tblGrid>
      <w:tr w14:paraId="3857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23FED937">
            <w:pPr>
              <w:jc w:val="center"/>
              <w:rPr>
                <w:rFonts w:hint="eastAsia"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因市场变动</w:t>
            </w:r>
            <w:r>
              <w:rPr>
                <w:rFonts w:hint="eastAsia" w:ascii="仿宋_GB2312" w:hAnsi="宋体" w:eastAsia="仿宋_GB2312" w:cs="宋体"/>
                <w:b/>
                <w:bCs/>
                <w:color w:val="auto"/>
                <w:kern w:val="0"/>
                <w:sz w:val="24"/>
                <w:szCs w:val="24"/>
                <w:highlight w:val="none"/>
                <w:lang w:eastAsia="zh-CN"/>
              </w:rPr>
              <w:t>等</w:t>
            </w:r>
            <w:r>
              <w:rPr>
                <w:rFonts w:hint="eastAsia" w:ascii="仿宋_GB2312" w:hAnsi="宋体" w:eastAsia="仿宋_GB2312" w:cs="宋体"/>
                <w:b/>
                <w:bCs/>
                <w:color w:val="auto"/>
                <w:kern w:val="0"/>
                <w:sz w:val="24"/>
                <w:szCs w:val="24"/>
                <w:highlight w:val="none"/>
              </w:rPr>
              <w:t>而蒙受损失的程度</w:t>
            </w:r>
          </w:p>
        </w:tc>
        <w:tc>
          <w:tcPr>
            <w:tcW w:w="7654" w:type="dxa"/>
            <w:noWrap w:val="0"/>
            <w:vAlign w:val="top"/>
          </w:tcPr>
          <w:p w14:paraId="1F80FC65">
            <w:pPr>
              <w:pStyle w:val="13"/>
              <w:widowControl/>
              <w:numPr>
                <w:ilvl w:val="0"/>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none"/>
                <w14:textFill>
                  <w14:solidFill>
                    <w14:schemeClr w14:val="tx1"/>
                  </w14:solidFill>
                </w14:textFill>
              </w:rPr>
            </w:pPr>
            <w:r>
              <w:rPr>
                <w:rFonts w:hint="eastAsia" w:ascii="仿宋_GB2312" w:hAnsi="宋体" w:eastAsia="仿宋_GB2312" w:cs="宋体"/>
                <w:b/>
                <w:color w:val="000000" w:themeColor="text1"/>
                <w:kern w:val="0"/>
                <w:sz w:val="24"/>
                <w:szCs w:val="24"/>
                <w:highlight w:val="none"/>
                <w14:textFill>
                  <w14:solidFill>
                    <w14:schemeClr w14:val="tx1"/>
                  </w14:solidFill>
                </w14:textFill>
              </w:rPr>
              <w:t>管理人根据理财产品投资范围、投资资产和投资比例等因素，对理财产品进行内部风险评级，仅供投资者参考，不具有任何法律约束力，</w:t>
            </w:r>
            <w:r>
              <w:rPr>
                <w:rFonts w:hint="eastAsia" w:ascii="仿宋_GB2312" w:hAnsi="宋体" w:eastAsia="仿宋_GB2312" w:cs="宋体"/>
                <w:b/>
                <w:color w:val="000000" w:themeColor="text1"/>
                <w:kern w:val="0"/>
                <w:sz w:val="24"/>
                <w:szCs w:val="24"/>
                <w:highlight w:val="none"/>
                <w:lang w:eastAsia="zh-CN"/>
                <w14:textFill>
                  <w14:solidFill>
                    <w14:schemeClr w14:val="tx1"/>
                  </w14:solidFill>
                </w14:textFill>
              </w:rPr>
              <w:t>投资者可能因本《风险揭示书》揭示的市场风险等风险而蒙受损失，</w:t>
            </w:r>
            <w:r>
              <w:rPr>
                <w:rFonts w:hint="eastAsia" w:ascii="仿宋_GB2312" w:hAnsi="宋体" w:eastAsia="仿宋_GB2312" w:cs="宋体"/>
                <w:b/>
                <w:color w:val="000000" w:themeColor="text1"/>
                <w:kern w:val="0"/>
                <w:sz w:val="24"/>
                <w:szCs w:val="24"/>
                <w:highlight w:val="none"/>
                <w14:textFill>
                  <w14:solidFill>
                    <w14:schemeClr w14:val="tx1"/>
                  </w14:solidFill>
                </w14:textFill>
              </w:rPr>
              <w:t>风险评级由低到高分为以下五级：</w:t>
            </w:r>
          </w:p>
          <w:p w14:paraId="42155DB7">
            <w:pPr>
              <w:pStyle w:val="13"/>
              <w:widowControl/>
              <w:numPr>
                <w:ilvl w:val="-1"/>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none"/>
                <w14:textFill>
                  <w14:solidFill>
                    <w14:schemeClr w14:val="tx1"/>
                  </w14:solidFill>
                </w14:textFill>
              </w:rPr>
            </w:pPr>
            <w:r>
              <w:rPr>
                <w:rFonts w:hint="eastAsia" w:ascii="仿宋_GB2312" w:hAnsi="宋体" w:eastAsia="仿宋_GB2312" w:cs="宋体"/>
                <w:b/>
                <w:color w:val="000000" w:themeColor="text1"/>
                <w:kern w:val="0"/>
                <w:sz w:val="24"/>
                <w:szCs w:val="24"/>
                <w:highlight w:val="none"/>
                <w:lang w:val="en-US" w:eastAsia="zh-CN"/>
                <w14:textFill>
                  <w14:solidFill>
                    <w14:schemeClr w14:val="tx1"/>
                  </w14:solidFill>
                </w14:textFill>
              </w:rPr>
              <w:t>1.</w:t>
            </w:r>
            <w:r>
              <w:rPr>
                <w:rFonts w:hint="eastAsia" w:ascii="仿宋_GB2312" w:hAnsi="宋体" w:eastAsia="仿宋_GB2312" w:cs="宋体"/>
                <w:b/>
                <w:color w:val="000000" w:themeColor="text1"/>
                <w:kern w:val="0"/>
                <w:sz w:val="24"/>
                <w:szCs w:val="24"/>
                <w:highlight w:val="none"/>
                <w14:textFill>
                  <w14:solidFill>
                    <w14:schemeClr w14:val="tx1"/>
                  </w14:solidFill>
                </w14:textFill>
              </w:rPr>
              <w:t xml:space="preserve">低风险产品（R1级）：产品总体风险程度低，本金及收益受风险因素影响很小，有很大可能达到业绩比较基准（如有）的产品。 </w:t>
            </w:r>
          </w:p>
          <w:p w14:paraId="12DD658B">
            <w:pPr>
              <w:pStyle w:val="13"/>
              <w:widowControl/>
              <w:numPr>
                <w:ilvl w:val="-1"/>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none"/>
                <w:lang w:eastAsia="zh-CN"/>
                <w14:textFill>
                  <w14:solidFill>
                    <w14:schemeClr w14:val="tx1"/>
                  </w14:solidFill>
                </w14:textFill>
              </w:rPr>
            </w:pPr>
            <w:r>
              <w:rPr>
                <w:rFonts w:hint="eastAsia" w:ascii="仿宋_GB2312" w:hAnsi="宋体" w:eastAsia="仿宋_GB2312" w:cs="宋体"/>
                <w:b/>
                <w:color w:val="000000" w:themeColor="text1"/>
                <w:kern w:val="0"/>
                <w:sz w:val="24"/>
                <w:szCs w:val="24"/>
                <w:highlight w:val="none"/>
                <w:lang w:val="en-US" w:eastAsia="zh-CN"/>
                <w14:textFill>
                  <w14:solidFill>
                    <w14:schemeClr w14:val="tx1"/>
                  </w14:solidFill>
                </w14:textFill>
              </w:rPr>
              <w:t>2.</w:t>
            </w:r>
            <w:r>
              <w:rPr>
                <w:rFonts w:hint="eastAsia" w:ascii="仿宋_GB2312" w:hAnsi="宋体" w:eastAsia="仿宋_GB2312" w:cs="宋体"/>
                <w:b/>
                <w:color w:val="000000" w:themeColor="text1"/>
                <w:kern w:val="0"/>
                <w:sz w:val="24"/>
                <w:szCs w:val="24"/>
                <w:highlight w:val="none"/>
                <w14:textFill>
                  <w14:solidFill>
                    <w14:schemeClr w14:val="tx1"/>
                  </w14:solidFill>
                </w14:textFill>
              </w:rPr>
              <w:t>中低风险产品（R2级）：产品总体风险程度较低，本金损失的可能性小，业绩比较基准（如有）不能实现的概率较低的产品</w:t>
            </w:r>
            <w:r>
              <w:rPr>
                <w:rFonts w:hint="eastAsia" w:ascii="仿宋_GB2312" w:hAnsi="宋体" w:eastAsia="仿宋_GB2312" w:cs="宋体"/>
                <w:b/>
                <w:color w:val="000000" w:themeColor="text1"/>
                <w:kern w:val="0"/>
                <w:sz w:val="24"/>
                <w:szCs w:val="24"/>
                <w:highlight w:val="none"/>
                <w:lang w:eastAsia="zh-CN"/>
                <w14:textFill>
                  <w14:solidFill>
                    <w14:schemeClr w14:val="tx1"/>
                  </w14:solidFill>
                </w14:textFill>
              </w:rPr>
              <w:t>。</w:t>
            </w:r>
          </w:p>
          <w:p w14:paraId="6B6D81AA">
            <w:pPr>
              <w:pStyle w:val="13"/>
              <w:widowControl/>
              <w:numPr>
                <w:ilvl w:val="-1"/>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none"/>
                <w14:textFill>
                  <w14:solidFill>
                    <w14:schemeClr w14:val="tx1"/>
                  </w14:solidFill>
                </w14:textFill>
              </w:rPr>
            </w:pPr>
            <w:r>
              <w:rPr>
                <w:rFonts w:hint="eastAsia" w:ascii="仿宋_GB2312" w:hAnsi="宋体" w:eastAsia="仿宋_GB2312" w:cs="宋体"/>
                <w:b/>
                <w:color w:val="000000" w:themeColor="text1"/>
                <w:kern w:val="0"/>
                <w:sz w:val="24"/>
                <w:szCs w:val="24"/>
                <w:highlight w:val="none"/>
                <w:lang w:val="en-US" w:eastAsia="zh-CN"/>
                <w14:textFill>
                  <w14:solidFill>
                    <w14:schemeClr w14:val="tx1"/>
                  </w14:solidFill>
                </w14:textFill>
              </w:rPr>
              <w:t>3.</w:t>
            </w:r>
            <w:r>
              <w:rPr>
                <w:rFonts w:hint="eastAsia" w:ascii="仿宋_GB2312" w:hAnsi="宋体" w:eastAsia="仿宋_GB2312" w:cs="宋体"/>
                <w:b/>
                <w:color w:val="000000" w:themeColor="text1"/>
                <w:kern w:val="0"/>
                <w:sz w:val="24"/>
                <w:szCs w:val="24"/>
                <w:highlight w:val="none"/>
                <w14:textFill>
                  <w14:solidFill>
                    <w14:schemeClr w14:val="tx1"/>
                  </w14:solidFill>
                </w14:textFill>
              </w:rPr>
              <w:t>中风险产品（R3级）：产品总体风险程度适中，本金亏损的可能性较小，风险因素对本金及收益会产生一定影响的产品。</w:t>
            </w:r>
          </w:p>
          <w:p w14:paraId="5A1F37ED">
            <w:pPr>
              <w:pStyle w:val="13"/>
              <w:widowControl/>
              <w:numPr>
                <w:ilvl w:val="-1"/>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none"/>
                <w14:textFill>
                  <w14:solidFill>
                    <w14:schemeClr w14:val="tx1"/>
                  </w14:solidFill>
                </w14:textFill>
              </w:rPr>
            </w:pPr>
            <w:r>
              <w:rPr>
                <w:rFonts w:hint="eastAsia" w:ascii="仿宋_GB2312" w:hAnsi="宋体" w:eastAsia="仿宋_GB2312" w:cs="宋体"/>
                <w:b/>
                <w:color w:val="000000" w:themeColor="text1"/>
                <w:kern w:val="0"/>
                <w:sz w:val="24"/>
                <w:szCs w:val="24"/>
                <w:highlight w:val="none"/>
                <w:lang w:val="en-US" w:eastAsia="zh-CN"/>
                <w14:textFill>
                  <w14:solidFill>
                    <w14:schemeClr w14:val="tx1"/>
                  </w14:solidFill>
                </w14:textFill>
              </w:rPr>
              <w:t>4.</w:t>
            </w:r>
            <w:r>
              <w:rPr>
                <w:rFonts w:hint="eastAsia" w:ascii="仿宋_GB2312" w:hAnsi="宋体" w:eastAsia="仿宋_GB2312" w:cs="宋体"/>
                <w:b/>
                <w:color w:val="000000" w:themeColor="text1"/>
                <w:kern w:val="0"/>
                <w:sz w:val="24"/>
                <w:szCs w:val="24"/>
                <w:highlight w:val="none"/>
                <w14:textFill>
                  <w14:solidFill>
                    <w14:schemeClr w14:val="tx1"/>
                  </w14:solidFill>
                </w14:textFill>
              </w:rPr>
              <w:t>中高风险产品（R4级）：产品总体风险程度较高，本金可能存在损失风险，产品收益随投资表现波动的产品。</w:t>
            </w:r>
          </w:p>
          <w:p w14:paraId="50716DBD">
            <w:pPr>
              <w:pStyle w:val="13"/>
              <w:widowControl/>
              <w:numPr>
                <w:ilvl w:val="0"/>
                <w:numId w:val="0"/>
              </w:numPr>
              <w:tabs>
                <w:tab w:val="left" w:pos="1080"/>
              </w:tabs>
              <w:snapToGrid w:val="0"/>
              <w:spacing w:line="240" w:lineRule="auto"/>
              <w:ind w:left="0" w:leftChars="0" w:firstLine="0" w:firstLineChars="0"/>
              <w:jc w:val="left"/>
              <w:outlineLvl w:val="0"/>
              <w:rPr>
                <w:rFonts w:hint="eastAsia" w:ascii="仿宋_GB2312" w:hAnsi="宋体" w:eastAsia="仿宋_GB2312" w:cs="宋体"/>
                <w:b/>
                <w:bCs/>
                <w:color w:val="auto"/>
                <w:kern w:val="0"/>
                <w:sz w:val="24"/>
                <w:szCs w:val="24"/>
                <w:highlight w:val="none"/>
              </w:rPr>
            </w:pPr>
            <w:r>
              <w:rPr>
                <w:rFonts w:hint="eastAsia" w:ascii="仿宋_GB2312" w:hAnsi="宋体" w:eastAsia="仿宋_GB2312" w:cs="宋体"/>
                <w:b/>
                <w:color w:val="000000" w:themeColor="text1"/>
                <w:kern w:val="0"/>
                <w:sz w:val="24"/>
                <w:szCs w:val="24"/>
                <w:highlight w:val="none"/>
                <w:lang w:val="en-US" w:eastAsia="zh-CN"/>
                <w14:textFill>
                  <w14:solidFill>
                    <w14:schemeClr w14:val="tx1"/>
                  </w14:solidFill>
                </w14:textFill>
              </w:rPr>
              <w:t>5.</w:t>
            </w:r>
            <w:r>
              <w:rPr>
                <w:rFonts w:hint="eastAsia" w:ascii="仿宋_GB2312" w:hAnsi="宋体" w:eastAsia="仿宋_GB2312" w:cs="宋体"/>
                <w:b/>
                <w:color w:val="000000" w:themeColor="text1"/>
                <w:kern w:val="0"/>
                <w:sz w:val="24"/>
                <w:szCs w:val="24"/>
                <w:highlight w:val="none"/>
                <w14:textFill>
                  <w14:solidFill>
                    <w14:schemeClr w14:val="tx1"/>
                  </w14:solidFill>
                </w14:textFill>
              </w:rPr>
              <w:t>高风险产品（R5级）：产品总体风险程度高，本金损失风险较高，产品收益随投资表现波动的产品。</w:t>
            </w:r>
          </w:p>
        </w:tc>
      </w:tr>
    </w:tbl>
    <w:p w14:paraId="42C11E6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5.封闭式和定开型产品《风险揭示书》补充说明投资特定风险如下：</w:t>
      </w:r>
    </w:p>
    <w:p w14:paraId="3419F097">
      <w:pPr>
        <w:widowControl/>
        <w:tabs>
          <w:tab w:val="left" w:pos="709"/>
        </w:tabs>
        <w:adjustRightInd w:val="0"/>
        <w:snapToGrid w:val="0"/>
        <w:spacing w:line="360" w:lineRule="auto"/>
        <w:rPr>
          <w:rFonts w:hint="default" w:ascii="仿宋_GB2312" w:hAnsi="宋体" w:cs="宋体"/>
          <w:b/>
          <w:bCs/>
          <w:color w:val="auto"/>
          <w:kern w:val="0"/>
          <w:szCs w:val="24"/>
          <w:highlight w:val="none"/>
          <w:u w:val="none"/>
        </w:rPr>
      </w:pPr>
    </w:p>
    <w:p w14:paraId="1C7DB7C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lang w:eastAsia="zh-CN"/>
        </w:rPr>
        <w:t>“</w:t>
      </w:r>
      <w:r>
        <w:rPr>
          <w:rFonts w:hint="default" w:ascii="仿宋_GB2312" w:hAnsi="宋体" w:cs="宋体"/>
          <w:b/>
          <w:bCs/>
          <w:color w:val="auto"/>
          <w:kern w:val="0"/>
          <w:szCs w:val="24"/>
          <w:highlight w:val="none"/>
          <w:u w:val="none"/>
        </w:rPr>
        <w:t>投资特定风险</w:t>
      </w:r>
    </w:p>
    <w:p w14:paraId="0D91C55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本理财产品因拟投资市场和资产类别可能面临的特定风险如下：</w:t>
      </w:r>
    </w:p>
    <w:p w14:paraId="5CA8645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1.投资于固定收益类资产</w:t>
      </w:r>
      <w:r>
        <w:rPr>
          <w:rFonts w:hint="eastAsia" w:ascii="仿宋_GB2312" w:hAnsi="宋体" w:cs="宋体"/>
          <w:b/>
          <w:bCs/>
          <w:color w:val="auto"/>
          <w:kern w:val="0"/>
          <w:szCs w:val="24"/>
          <w:highlight w:val="none"/>
          <w:u w:val="none"/>
          <w:lang w:eastAsia="zh-CN"/>
        </w:rPr>
        <w:t>（如有）</w:t>
      </w:r>
      <w:r>
        <w:rPr>
          <w:rFonts w:hint="default" w:ascii="仿宋_GB2312" w:hAnsi="宋体" w:cs="宋体"/>
          <w:b/>
          <w:bCs/>
          <w:color w:val="auto"/>
          <w:kern w:val="0"/>
          <w:szCs w:val="24"/>
          <w:highlight w:val="none"/>
          <w:u w:val="none"/>
        </w:rPr>
        <w:t>的可能风险：</w:t>
      </w:r>
    </w:p>
    <w:p w14:paraId="3E0E59B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255DBE8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2.投资于股票等权益类资产（如有）的可能风险：</w:t>
      </w:r>
    </w:p>
    <w:p w14:paraId="5C804ED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691F5C5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05EF4E2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3.投资于商品及金融衍生品类资产（如有）的可能风险：</w:t>
      </w:r>
    </w:p>
    <w:p w14:paraId="56C0AD2F">
      <w:pPr>
        <w:widowControl/>
        <w:tabs>
          <w:tab w:val="left" w:pos="709"/>
        </w:tabs>
        <w:adjustRightInd w:val="0"/>
        <w:snapToGrid w:val="0"/>
        <w:spacing w:line="360" w:lineRule="auto"/>
        <w:ind w:firstLine="420" w:firstLineChars="200"/>
        <w:rPr>
          <w:rFonts w:hint="eastAsia" w:ascii="仿宋_GB2312" w:hAnsi="宋体" w:cs="宋体" w:eastAsiaTheme="minorEastAsia"/>
          <w:b w:val="0"/>
          <w:color w:val="auto"/>
          <w:kern w:val="0"/>
          <w:szCs w:val="24"/>
          <w:highlight w:val="none"/>
          <w:u w:val="none"/>
          <w:lang w:eastAsia="zh-CN"/>
        </w:rPr>
      </w:pPr>
      <w:r>
        <w:rPr>
          <w:rFonts w:hint="default" w:ascii="仿宋_GB2312" w:hAnsi="宋体" w:cs="宋体"/>
          <w:b w:val="0"/>
          <w:color w:val="auto"/>
          <w:kern w:val="0"/>
          <w:szCs w:val="24"/>
          <w:highlight w:val="none"/>
          <w:u w:val="none"/>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基差风险。</w:t>
      </w:r>
      <w:r>
        <w:rPr>
          <w:rFonts w:hint="eastAsia" w:ascii="仿宋_GB2312" w:hAnsi="宋体" w:cs="宋体"/>
          <w:b w:val="0"/>
          <w:color w:val="auto"/>
          <w:kern w:val="0"/>
          <w:szCs w:val="24"/>
          <w:highlight w:val="none"/>
          <w:u w:val="none"/>
          <w:lang w:eastAsia="zh-CN"/>
        </w:rPr>
        <w:t>”</w:t>
      </w:r>
    </w:p>
    <w:p w14:paraId="243EB4A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涉及以上条款说明的产品清单如下：</w:t>
      </w:r>
    </w:p>
    <w:tbl>
      <w:tblPr>
        <w:tblStyle w:val="7"/>
        <w:tblW w:w="86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2"/>
        <w:gridCol w:w="1646"/>
        <w:gridCol w:w="3464"/>
        <w:gridCol w:w="1622"/>
      </w:tblGrid>
      <w:tr w14:paraId="74C26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772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登记编码</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B5D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产品代码</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1D87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产品全称</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736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产品类型</w:t>
            </w:r>
          </w:p>
        </w:tc>
      </w:tr>
      <w:tr w14:paraId="03B4E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F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Z7011825000150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28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JXYA1Y1</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8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浙银理财琮简涌金聚鑫赢A一年定开1号人民币理财产品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F1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r>
      <w:tr w14:paraId="0CC9B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A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Z7011825000143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FB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JXYA18M1</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B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浙银理财琮融九曜聚鑫赢A十八月定开1号人民币理财产品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8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r>
      <w:tr w14:paraId="598B0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B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Z7011825000124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3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JXYA13M9</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1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浙银理财琮融九曜聚鑫赢A十三月定开9号人民币理财产品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E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r>
      <w:tr w14:paraId="602B7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A8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Z7011825000136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9D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JXYA1Y2</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7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浙银理财琮融九曜聚鑫赢A一年定开2号人民币理财产品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1B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r>
      <w:tr w14:paraId="57BB9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B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Z7011825000156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E5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JXYA1Y3</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8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浙银理财琮融九曜聚鑫赢A一年定开3号人民币理财产品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E1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r>
      <w:tr w14:paraId="38CBF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3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Z7011826000121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A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ZYBSG00970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B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浙银理财琮简宝石100号理财产品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75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9A80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5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Z7011826000117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3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ZYBSG00980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4C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浙银理财琮简宝石101号理财产品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3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D5B7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4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Z7011826000116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A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ZYBSG00990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0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浙银理财琮简宝石102号理财产品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EBF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C3BF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1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Z7011826000177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7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ZYBSG01080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3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浙银理财琮简宝石105号理财产品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EF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4F6C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E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Z7011826000188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4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ZYBSG01090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8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浙银理财琮简宝石106号理财产品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C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25DB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8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Z7011826000189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0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ZYBSG01100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8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浙银理财琮简宝石107号理财产品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8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23CF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A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Z7011826000179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61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ZYBSG01110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2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浙银理财琮简宝石108号理财产品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A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5CCD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5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Z7011825000202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C6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ZYBSG00370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5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浙银理财琮简宝石39号理财产品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FF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5FE0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9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Z7011825000200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3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ZYBSG00380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39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浙银理财琮简宝石40号理财产品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1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D07E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FD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Z7011825000197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7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ZYBSG00400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6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浙银理财琮简宝石42号理财产品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7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FBE3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D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Z7011825000203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3F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ZYBSG00410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B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浙银理财琮简宝石43号理财产品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8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4279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5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Z7011825000273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3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ZYBSG00570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50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浙银理财琮简宝石60号理财产品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0C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970A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6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Z7011825000278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56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ZYBSG00580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6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浙银理财琮简宝石61号理财产品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8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EF99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7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Z7011825000281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C6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ZYBSG00600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C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浙银理财琮简宝石63号理财产品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B3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3070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E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Z7011826000022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861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ZYBSG00650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E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浙银理财琮简宝石68号理财产品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8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7906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8B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Z7011826000078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9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ZYBSG00890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7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浙银理财琮简宝石92号理财产品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D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2E14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1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Z7011826000072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E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ZYBSG00900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4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浙银理财琮简宝石93号理财产品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A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B6A9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4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Z7011826000073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69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ZYBSG00910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40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浙银理财琮简宝石94号理财产品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9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1D8D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6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Z7011826000075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50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ZYBSG00930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3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浙银理财琮简宝石96号理财产品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B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101B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6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Z7011826000094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F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ZYBSG00940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2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浙银理财琮简宝石97号理财产品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99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B6D6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5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Z7011826000095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5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ZYBSG00950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7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浙银理财琮简宝石98号理财产品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9E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69AB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5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Z7011826000118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0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ZYBSG00960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3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浙银理财琮简宝石99号理财产品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2B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8B4C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3E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Z7011826000012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0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ZYFCG00930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B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浙银理财琮简富春100号理财产品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1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E504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2D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Z7011826000023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7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ZYFCG00940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D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浙银理财琮简富春101号理财产品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DA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83FF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2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Z7011826000016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8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ZYFCG00960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A0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浙银理财琮简富春103号理财产品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99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EA88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A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Z7011826000046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F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ZYFCG01030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F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浙银理财琮简富春110号理财产品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D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D77F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4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Z7011826000052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1D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ZYFCG01070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4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浙银理财琮简富春114号理财产品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E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8679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8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Z7011826000061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61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ZYFCG01100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8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浙银理财琮简富春117号理财产品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1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38DA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7C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Z7011826000062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6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ZYFCG01110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A0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浙银理财琮简富春118号理财产品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A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E67F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A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Z7011826000068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6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ZYFCG01120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0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浙银理财琮简富春119号理财产品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6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462A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9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Z7011826000112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68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ZYFCG01180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6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浙银理财琮简富春125号理财产品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30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D9C8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E8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Z7011826000115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3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ZYFCG01190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69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浙银理财琮简富春126号理财产品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3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1BE0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3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Z7011826000110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47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ZYFCG01200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F9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浙银理财琮简富春127号理财产品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7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7853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B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Z7011826000113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1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ZYFCG01210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F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浙银理财琮简富春128号理财产品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E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428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7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Z7011826000124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A2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ZYFCG01220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7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浙银理财琮简富春129号理财产品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5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AA29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1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Z7011826000133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4C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ZYFCG01230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8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浙银理财琮简富春130号理财产品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C2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4D1B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36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Z7011826000128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29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ZYFCG01240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3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浙银理财琮简富春131号理财产品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5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0D5B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B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Z7011826000130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65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ZYFCG01250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D0A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浙银理财琮简富春132号理财产品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A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46AC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E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Z7011826000122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C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ZYFCG01300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C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浙银理财琮简富春137号理财产品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F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8A60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2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Z7011826000132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0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ZYFCG01310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C7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浙银理财琮简富春138号理财产品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6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FBD3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C2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Z7011826000134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3D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ZYFCG01320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1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浙银理财琮简富春139号理财产品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1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4668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9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Z7011826000185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72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ZYFCG01450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6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浙银理财琮简富春143号理财产品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9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2435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1F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Z7011826000182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E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ZYFCG01470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CD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浙银理财琮简富春144号理财产品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A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B5F0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F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Z7011826000199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9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ZYFCG01480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4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浙银理财琮简富春145号理财产品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A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5632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D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Z7011826000217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AC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ZYFCG01490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7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浙银理财琮简富春146号理财产品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FD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E5CF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9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Z7011826000218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D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ZYFCG01500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4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浙银理财琮简富春147号理财产品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E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B190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9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Z7011826000213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B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ZYFCG01510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5E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浙银理财琮简富春148号理财产品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A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CCE0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3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Z7011826000206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8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ZYFCG01520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A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浙银理财琮简富春149号理财产品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A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10A4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0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Z7011825000017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D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ZYFCG00090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D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A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223C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A9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Z7011826000203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C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ZYFCG01530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5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浙银理财琮简富春150号理财产品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5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42B6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F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Z7011826000198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5D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ZYFCG01550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8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浙银理财琮简富春152号理财产品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0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6A41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5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Z7011826000209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C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ZYFCG01560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B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浙银理财琮简富春153号理财产品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2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2A72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B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Z7011826000173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98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ZYFCG01350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B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浙银理财琮简富春155号理财产品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5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C82A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6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Z7011826000175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DD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ZYFCG01460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C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浙银理财琮简富春166号理财产品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E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4ABB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5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Z7011826000202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6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ZYFCG01590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5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浙银理财琮简富春167号理财产品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9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3DE6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6D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Z7011826000204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19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ZYFCG01600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25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浙银理财琮简富春168号理财产品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6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BAD2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64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Z7011826000205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8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ZYFCG01610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E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浙银理财琮简富春169号理财产品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A6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087E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3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Z7011826000216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C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ZYFCG01620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D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浙银理财琮简富春170号理财产品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E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ACF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1C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Z7011826000207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A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ZYFCG01630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05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浙银理财琮简富春171号理财产品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A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FF29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D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Z7011826000197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4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ZYFCG01640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F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浙银理财琮简富春172号理财产品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5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DAF4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E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Z7011826000210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4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ZYFCG01650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6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浙银理财琮简富春173号理财产品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1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993D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2CF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Z7011826000211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B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ZYFCG01660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9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浙银理财琮简富春174号理财产品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7D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0716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E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Z7011826000200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56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ZYFCG01670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D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浙银理财琮简富春175号理财产品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B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90EC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4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Z7011826000201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B1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ZYFCG01680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1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浙银理财琮简富春176号理财产品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2B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1C31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85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Z7011826000215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A1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ZYFCG01690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AA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浙银理财琮简富春177号理财产品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C7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7AB6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4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Z7011826000243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E5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ZYFCG01710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3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浙银理财琮简富春178号理财产品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4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9399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30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Z7011826000245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4A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ZYFCG01720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6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浙银理财琮简富春179号理财产品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B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D942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1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Z7011826000246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26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ZYFCG01730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E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浙银理财琮简富春180号理财产品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7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4E38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1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Z7011826000249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1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ZYFCG01740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67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浙银理财琮简富春181号理财产品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14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B034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2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Z7011826000237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7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ZYFCG01750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36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浙银理财琮简富春182号理财产品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8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750B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1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Z7011826000240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D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ZYFCG01760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C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浙银理财琮简富春183号理财产品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1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9340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5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Z7011826000241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B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ZYFCG01770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8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浙银理财琮简富春184号理财产品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4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AF58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4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Z7011826000248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7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ZYFCG01780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5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浙银理财琮简富春185号理财产品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0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C924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68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Z7011826000239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0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ZYFCG01790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B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浙银理财琮简富春186号理财产品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17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F499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A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Z7011826000247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8D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ZYFCG01800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A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浙银理财琮简富春187号理财产品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3A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114E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E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Z7011826000242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8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ZYFCG01810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0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浙银理财琮简富春188号理财产品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8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B18F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E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Z7011826000244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6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ZYFCG01820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0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浙银理财琮简富春189号理财产品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AC5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CACD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A1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Z7011826000260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1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ZYFCG01890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6E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浙银理财琮简富春196号理财产品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5A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7905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2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Z7011826000283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E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ZYFCG01900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9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浙银理财琮简富春197号理财产品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8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AD6B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9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Z7011826000262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A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ZYFCG01910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9B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浙银理财琮简富春198号理财产品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207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26B4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1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Z7011826000276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1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ZYFCG01920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6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浙银理财琮简富春199号理财产品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A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30D4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FD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Z7011826000279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5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ZYFCG01930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8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浙银理财琮简富春200号理财产品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A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97AC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6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Z7011826000272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70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ZYFCG01940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18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浙银理财琮简富春201号理财产品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7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13F8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F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Z7011826000270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0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ZYFCG01950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4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浙银理财琮简富春202号理财产品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6E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CD7B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DF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Z7011826000282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F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ZYFCG01960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F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浙银理财琮简富春203号理财产品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9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3F5C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8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Z7011826000273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88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ZYFCG01970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E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浙银理财琮简富春204号理财产品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D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792A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B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Z7011826000265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B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ZYFCG01980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D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浙银理财琮简富春205号理财产品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1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EFB6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E8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Z7011826000268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2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ZYFCG01990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B1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浙银理财琮简富春206号理财产品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9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8A4B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5C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Z7011826000278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9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ZYFCG02000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5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浙银理财琮简富春207号理财产品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3B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0B61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2A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Z7011826000274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B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ZYFCG02010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1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浙银理财琮简富春208号理财产品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E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C1C9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7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Z7011826000264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0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ZYFCG02020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9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浙银理财琮简富春209号理财产品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4B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68D7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E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Z7011826000277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D5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ZYFCG02030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7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浙银理财琮简富春210号理财产品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D7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255A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0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Z7011826000263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8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ZYFCG02040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C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浙银理财琮简富春211号理财产品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A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3532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2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Z7011826000261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E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ZYFCG02050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6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浙银理财琮简富春212号理财产品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F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DCC6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5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Z7011826000281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E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ZYFCG02060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B2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浙银理财琮简富春213号理财产品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B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8DCE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7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Z7011826000275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2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ZYFCG02070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10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浙银理财琮简富春214号理财产品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A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B831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13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Z7011826000280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2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ZYFCG02080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5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浙银理财琮简富春215号理财产品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0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7298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A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Z7011826000305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E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ZYFCG02190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5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浙银理财琮简富春226号理财产品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40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DFF4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CE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Z7011826000309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C9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ZYFCG02200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2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浙银理财琮简富春227号理财产品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DB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6FC0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5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Z7011826000306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B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ZYFCG02210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E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浙银理财琮简富春228号理财产品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0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3B55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B6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Z7011826000307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C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ZYFCG02220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8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浙银理财琮简富春229号理财产品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C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9EDF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E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Z7011826000311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F56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ZYFCG02250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B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浙银理财琮简富春232号理财产品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7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A5FA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F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Z7011826000320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0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ZYFCG02270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77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浙银理财琮简富春234号理财产品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6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E0AB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3C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Z7011826000315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E5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ZYFCG02280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F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浙银理财琮简富春235号理财产品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E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13F3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F26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Z7011826000314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87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ZYFCG02310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C6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浙银理财琮简富春238号理财产品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1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8975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8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Z7011825000070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7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ZYFCG00180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D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2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BB90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3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Z7011826000316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15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ZYFCG02330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9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浙银理财琮简富春240号理财产品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B9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B85A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9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Z7011826000317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B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ZYFCG02340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B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浙银理财琮简富春241号理财产品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5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D9F8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8C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Z7011825000077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04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ZYFCG00210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8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DF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E968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E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Z7011825000068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6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ZYFCG00230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1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浙银理财琮简富春28号理财产品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E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4C4B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A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Z7011825000056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7E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ZYFCG00250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3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浙银理财琮简富春30号理财产品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7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0FA3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A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Z7011825000078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CC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ZYFCG00260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09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浙银理财琮简富春31号理财产品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5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2A7C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3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Z7011825000063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B1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ZYFCG00270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F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浙银理财琮简富春32号理财产品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9F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EF5F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92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Z7011825000060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8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ZYFCG00320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1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浙银理财琮简富春37号理财产品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E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AFD2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2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Z7011825000057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B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ZYFCG00330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E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浙银理财琮简富春38号理财产品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9B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717D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BB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Z7011825000054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16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ZYFCG00400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B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浙银理财琮简富春46号理财产品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9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DAA0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4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Z7011825000062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9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ZYFCG00410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1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浙银理财琮简富春47号理财产品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6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EA58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1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Z7011825000059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B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ZYFCG00420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0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浙银理财琮简富春48号理财产品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BB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21AE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12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Z7011825000181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A11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ZYFCG00480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6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浙银理财琮简富春54号理财产品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3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E724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4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Z7011825000183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B2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ZYFCG00490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9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浙银理财琮简富春55号理财产品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C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994F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4E0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Z7011825000220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0C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ZYFCG00510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B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浙银理财琮简富春57号理财产品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AC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38C9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9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Z7011825000219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5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ZYFCG00520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7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浙银理财琮简富春58号理财产品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8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6C6F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5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Z7011825000225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B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ZYFCG00530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58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浙银理财琮简富春59号理财产品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6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87D3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4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Z7011825000005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90E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JFC13G00050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1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A0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F503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B7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Z7011825000240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F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ZYFCG00540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8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浙银理财琮简富春60号理财产品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4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70D4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D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Z7011825000238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E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ZYFCG00560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4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浙银理财琮简富春63号理财产品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A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6678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2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Z7011825000243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2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ZYFCG00570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1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浙银理财琮简富春64号理财产品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C3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70B5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6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Z7011825000237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E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ZYFCG00590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5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浙银理财琮简富春66号理财产品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4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E492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0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Z7011825000245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F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ZYFCG00600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72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浙银理财琮简富春67号理财产品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5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5026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F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Z7011825000277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F7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ZYFCG00680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C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浙银理财琮简富春75号理财产品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16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409B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1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Z7011825000270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CD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ZYFCG00690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1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浙银理财琮简富春76号理财产品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0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6A9A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82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Z7011825000275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1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ZYFCG00700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0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浙银理财琮简富春77号理财产品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F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EF6D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F8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Z7011825000276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5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ZYFCG00710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E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浙银理财琮简富春78号理财产品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5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CE67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7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Z7011825000280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6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ZYFCG00720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05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浙银理财琮简富春79号理财产品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9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2681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4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Z7011825000290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7F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ZYFCG00740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B8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浙银理财琮简富春81号理财产品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F2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14C7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D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Z7011825000293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C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ZYFCG00770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1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浙银理财琮简富春84号理财产品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99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B2E8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7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Z7011825000287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0A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ZYFCG00780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3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浙银理财琮简富春85号理财产品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5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64A4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D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Z7011825000286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9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ZYFCG00790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9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浙银理财琮简富春86号理财产品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9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1BD0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9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Z7011825000292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E4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ZYFCG00810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A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浙银理财琮简富春88号理财产品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1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1F1A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8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Z7011825000295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6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ZYFCG00820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2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浙银理财琮简富春89号理财产品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8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8351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D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Z7011826000009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C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ZYFCG00840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6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浙银理财琮简富春91号理财产品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9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9720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1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Z7011826000001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E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ZYFCG00850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44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浙银理财琮简富春92号理财产品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33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DFEC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7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Z7011826000005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5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ZYFCG00860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8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浙银理财琮简富春93号理财产品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F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0192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BD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Z7011826000007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D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ZYFCG00870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3A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浙银理财琮简富春94号理财产品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8D2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A57E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6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Z7011826000253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0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ZYFCG01830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7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浙银理财琮简富春聚益190号理财产品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8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13C1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6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Z7011826000250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D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ZYFCG01840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3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浙银理财琮简富春聚益191号理财产品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2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6D38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E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Z7011826000254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6C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ZYFCG01850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F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浙银理财琮简富春聚益192号理财产品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4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7A3E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1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Z7011826000255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E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ZYFCG01860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8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浙银理财琮简富春聚益193号理财产品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A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F2C0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C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Z7011826000252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7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ZYFCG01870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5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浙银理财琮简富春聚益194号理财产品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5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7DFF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2D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Z7011826A000022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3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ZYFCS00230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1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浙银理财琮简富春甄享24号理财产品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80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1543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B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Z7011826A000025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54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ZYFCS00260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9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浙银理财琮简富春甄享27号理财产品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07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FD51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20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Z7011826A000024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1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ZYFCS00270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B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浙银理财琮简富春甄享28号理财产品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69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47AC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64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Z7011826A000026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D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ZYFCS00280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9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浙银理财琮简富春甄享29号理财产品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8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851E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6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Z7011826A000031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C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ZYFCS00290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7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浙银理财琮简富春甄享30号理财产品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C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9DDE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8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Z7011826A000032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3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ZYFCS00300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2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浙银理财琮简富春甄享31号理财产品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F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4A46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0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Z7011826A000036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E3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ZYFCS00310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B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浙银理财琮简富春甄享32号理财产品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0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323F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0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Z7011826A000049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CB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ZYFCS00440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0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浙银理财琮简富春甄享45号理财产品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1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C6E3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1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Z7011825A000099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3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ZYFCS00100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D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浙银理财琮简富春尊享11号理财产品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5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C2E6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B4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Z7011825A000098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6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ZYFCS00110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3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浙银理财琮简富春尊享12号理财产品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1A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806A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3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Z7011825A000103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FE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ZYFCS00120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D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浙银理财琮简富春尊享13号理财产品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8B0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B043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1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Z7011825A000112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4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ZYFCS00130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6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浙银理财琮简富春尊享14号理财产品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9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AC62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2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Z7011825A000111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E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ZYFCS00140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9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浙银理财琮简富春尊享15号理财产品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2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6B35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1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Z7011825A000160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A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ZYFCS00150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7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w:t>
            </w:r>
            <w:bookmarkStart w:id="0" w:name="_GoBack"/>
            <w:bookmarkEnd w:id="0"/>
            <w:r>
              <w:rPr>
                <w:rFonts w:hint="eastAsia" w:ascii="宋体" w:hAnsi="宋体" w:eastAsia="宋体" w:cs="宋体"/>
                <w:i w:val="0"/>
                <w:iCs w:val="0"/>
                <w:color w:val="000000"/>
                <w:kern w:val="0"/>
                <w:sz w:val="22"/>
                <w:szCs w:val="22"/>
                <w:u w:val="none"/>
                <w:lang w:val="en-US" w:eastAsia="zh-CN" w:bidi="ar"/>
              </w:rPr>
              <w:t>银理财琮简富春尊享16号理财产品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49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E246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6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Z7011825A000161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C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ZYFCS00180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9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浙银理财琮简富春尊享19号理财产品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B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5788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F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Z7011825A000035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1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ZYFCS00010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A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浙银理财琮简富春尊享1号理财产品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9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64B2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3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Z7011826A000017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3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ZYFCS00220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41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浙银理财琮简富春尊享23号理财产品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F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4BA8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C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Z7011825A000055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F6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2025YXTLZX247</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2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浙银理财琮简庆春2025年涌薪添利尊享247号人民币理财产品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28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63BA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BE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Z7011825A000018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4C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2025YXTLZX248</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05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浙银理财琮简庆春2025年涌薪添利尊享248号人民币理财产品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2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A588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B0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Z7011825A000011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F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ZYQCS00100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2B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浙银理财琮简庆春尊享11号理财产品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53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3763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F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Z7011825A000010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A5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ZYQCS00110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5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浙银理财琮简庆春尊享12号理财产品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6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07EC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72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Z7011825A000088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6C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ZYQCS00150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D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浙银理财琮简庆春尊享16号理财产品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E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484C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C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Z7011825A000087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4B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ZYQCS00160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A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浙银理财琮简庆春尊享17号理财产品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6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DED5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2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Z7011825A000090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0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ZYQCS00170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6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浙银理财琮简庆春尊享18号理财产品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4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26F3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B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Z7011825A000086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0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ZYQCS00180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9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浙银理财琮简庆春尊享19号理财产品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F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9741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D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Z7011825A000089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05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ZYQCS00190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8A7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浙银理财琮简庆春尊享20号理财产品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38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59B9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D35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Z7011825A000102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A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ZYQCS00200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A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浙银理财琮简庆春尊享21号理财产品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1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8893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D5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Z7011825A000104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4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ZYQCS00210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8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浙银理财琮简庆春尊享22号理财产品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9A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6ABC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E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Z7011825A000105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6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ZYQCS00220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4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浙银理财琮简庆春尊享23号理财产品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F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40C0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66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Z7011825A000109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A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ZYQCS00230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B9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浙银理财琮简庆春尊享24号理财产品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8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828C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74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Z7011825A000110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59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ZYQCS00240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3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浙银理财琮简庆春尊享25号理财产品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6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2A71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9C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Z7011825A000108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6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ZYQCS00250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4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浙银理财琮简庆春尊享26号理财产品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9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F2F3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D0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Z7011825A000107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3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ZYQCS00260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7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浙银理财琮简庆春尊享27号理财产品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DE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E9E7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5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Z7011825A000119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3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ZYQCS00270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4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浙银理财琮简庆春尊享28号理财产品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D7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66F9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8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Z7011825A000116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5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ZYQCS00280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5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浙银理财琮简庆春尊享29号理财产品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0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C3E2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71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Z7011825A000114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E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ZYQCS00290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3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浙银理财琮简庆春尊享30号理财产品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1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59D0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2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Z7011825A000118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6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ZYQCS00300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D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浙银理财琮简庆春尊享31号理财产品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7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7499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7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Z7011825A000120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F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ZYQCS00320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3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浙银理财琮简庆春尊享33号理财产品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1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0EB7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B3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Z7011825A000123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7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ZYQCS00330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F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浙银理财琮简庆春尊享34号理财产品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C06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670D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E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Z7011825A000130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7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ZYQCS00340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5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浙银理财琮简庆春尊享35号理财产品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F1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1E00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C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Z7011825A000121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B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ZYQCS00350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6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浙银理财琮简庆春尊享36号理财产品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A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7F19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0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Z7011825A000125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E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ZYQCS00370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D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浙银理财琮简庆春尊享38号理财产品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DF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9976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C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Z7011825A000129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4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ZYQCS00380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A7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浙银理财琮简庆春尊享39号理财产品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6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D078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8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Z7011825A000127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A1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ZYQCS00390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4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浙银理财琮简庆春尊享40号理财产品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D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677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7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Z7011825A000124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7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ZYQCS00400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7E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浙银理财琮简庆春尊享41号理财产品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6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C5A7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D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Z7011825A000138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D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ZYQCS00470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D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浙银理财琮简庆春尊享48号理财产品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3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F26C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A5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Z7011825A000141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60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ZYQCS00480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0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浙银理财琮简庆春尊享49号理财产品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6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FC2E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5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Z7011825A000136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B5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ZYQCS00490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94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浙银理财琮简庆春尊享50号理财产品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1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F4B1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8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Z7011825A000142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4F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ZYQCS00500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26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浙银理财琮简庆春尊享51号理财产品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75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0BEF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5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Z7011825A000140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5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ZYQCS00510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0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浙银理财琮简庆春尊享52号理财产品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0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69DA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9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Z7011825A000137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0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ZYQCS00520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C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浙银理财琮简庆春尊享53号理财产品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F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E518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A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Z7011825A000146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6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ZYQCS00530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3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浙银理财琮简庆春尊享54号理财产品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C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C317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0C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Z7011825A000147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5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ZYQCS00540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9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浙银理财琮简庆春尊享55号理财产品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D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3645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3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Z7011825A000144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7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ZYQCS00550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6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浙银理财琮简庆春尊享56号理财产品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3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1ABD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F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Z7011825A000145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3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ZYQCS00560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55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浙银理财琮简庆春尊享57号理财产品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1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0408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9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Z7011825A000151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5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ZYQCS00570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02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浙银理财琮简庆春尊享58号理财产品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5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287D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6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Z7011825A000157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6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ZYQCS00580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C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浙银理财琮简庆春尊享59号理财产品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7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1A6D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EE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Z7011825A000156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6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ZYQCS00590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1E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浙银理财琮简庆春尊享60号理财产品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F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101A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D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Z7011825A000154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8D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ZYQCS00610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9D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浙银理财琮简庆春尊享62号理财产品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3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CB00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3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Z7011825A000149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7F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ZYQCS00620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4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浙银理财琮简庆春尊享63号理财产品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A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4C3B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72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Z7011825A000167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34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ZYQCS00650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C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浙银理财琮简庆春尊享66号理财产品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79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CDC2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6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Z7011825A000177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F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ZYQCS00670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AF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浙银理财琮简庆春尊享68号理财产品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E9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67DF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3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Z7011826A000033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9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ZYQCS00810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7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浙银理财琮简庆春尊享82号理财产品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F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25EE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4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Z7011825000213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0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ZYJXG00150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BF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浙银理财琮融九溪添利10号全天候策略增强理财产品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B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9021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2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Z7011825000216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2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ZYJXG00160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17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浙银理财琮融九溪添利11号全天候策略增强理财产品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1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1102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9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Z7011825000215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33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ZYJXG00170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5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浙银理财琮融九溪添利12号全天候策略增强理财产品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7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2D36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9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Z7011826000029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4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ZYJXG00280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4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浙银理财琮融九溪添利16号全天候策略增强理财产品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C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A99C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8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Z7011826000084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4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ZYJXG00310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C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浙银理财琮融九溪添利17号全天候策略增强理财产品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5F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FAC7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E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Z7011826000091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A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ZYJXG00320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1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浙银理财琮融九溪添利18号全天候策略增强理财产品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6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0484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9F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Z7011826000087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0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ZYJXG00350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C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浙银理财琮融九溪添利21号全天候策略增强理财产品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D5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2A1B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C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Z7011826000079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B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ZYJXG00360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D0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浙银理财琮融九溪添利22号全天候策略增强理财产品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A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BA66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8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Z7011826000086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0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ZYJXG00370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5C6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浙银理财琮融九溪添利23号全天候策略增强理财产品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7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D4C9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1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Z7011826000089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5C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ZYJXG00380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3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浙银理财琮融九溪添利24号全天候策略增强理财产品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6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11D3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A1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Z7011826000155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1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ZYJXG00470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2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浙银理财琮融九溪添利25号全天候策略增强理财产品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0B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8154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C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Z7011826000148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5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ZYJXG00480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1F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浙银理财琮融九溪添利26号全天候策略增强理财产品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2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D678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4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Z7011826000147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E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ZYJXG00510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41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浙银理财琮融九溪添利29号全天候策略增强理财产品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C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D074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BC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Z7011826000154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3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ZYJXG00520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7D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浙银理财琮融九溪添利30号全天候策略增强理财产品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5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636A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56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Z7011826000174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E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ZYJXG00540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4A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浙银理财琮融九溪添利31号全天候策略增强理财产品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3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AD5E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F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Z7011826000190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2A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ZYJXG00550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A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浙银理财琮融九溪添利32号全天候策略增强理财产品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C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F23B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B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Z7011826000180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8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ZYJXG00560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DA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浙银理财琮融九溪添利33号全天候策略增强理财产品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4A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107B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E7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Z7011825000164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A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ZYJXG00040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1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浙银理财琮融九溪添利5号全天候策略增强理财产品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2C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6AEB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4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Z7011825000174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D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ZYJXG00070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5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浙银理财琮融九溪添利7号全天候策略增强理财产品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5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15AA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3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Z7011825000189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2C3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ZYJXG00090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8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浙银理财琮融九溪添利8号全天候策略增强理财产品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5C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1B03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C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Z7011825000214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0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ZYJXG00130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F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浙银理财琮融九溪添利9号全天候策略增强理财产品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93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C50D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0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Z7011825A000106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2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ZYJXS00100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0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浙银理财琮融九溪添利尊享11号全天候策略增强理财产品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8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E1FF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C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Z7011825A000148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4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ZYJXS00150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8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浙银理财琮融九溪添利尊享15号全天候策略增强理财产品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3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37BD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B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Z7011825A000155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1A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ZYJXS00160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5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浙银理财琮融九溪添利尊享16号双利增强理财产品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E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E28D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F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Z7011825A000159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94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ZYJXS00170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5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浙银理财琮融九溪添利尊享17号双利增强理财产品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6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C78A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4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Z7011825A000150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5E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ZYJXS00180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1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浙银理财琮融九溪添利尊享18号双利增强理财产品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F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CD8E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2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Z7011826A000005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4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ZYJXS00210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41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浙银理财琮融九溪添利尊享21号双利增强理财产品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A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2B76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D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Z7011826A000013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B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ZYJXS00310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5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浙银理财琮融九溪添利尊享31号转债多策略增强理财产品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4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1516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7B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Z7011826A000021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3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ZYJXS00330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0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浙银理财琮融九溪添利尊享33号转债多策略增强理财产品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8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2F89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C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Z7011825A000084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8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ZYJXS00060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1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浙银理财琮融九溪添利尊享7号大类资产配置策略增强理财产品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C0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1BF1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3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Z7011825000212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38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ZYJXG00100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8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浙银理财琮融九溪增利1号多策略增强理财产品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C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FBD9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CA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Z7011825000248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F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ZYJXG00220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4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浙银理财琮融九溪增利2号目标盈黄金策略增强理财产品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C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2AFE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2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Z7011826000114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7D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ZYJYG00330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BF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浙银理财琮融九曜添利10号行业精选增强理财产品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F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7858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4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Z7011826000152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6A6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ZYJYG00350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C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浙银理财琮融九曜添利11号行业精选增强理财产品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3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C091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0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Z7011826000157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61E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ZYJYG00360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D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浙银理财琮融九曜添利12号行业精选增强理财产品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4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2930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77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Z7011826000226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C4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ZYJYG00470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62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浙银理财琮融九曜添利17号行业精选增强理财产品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EE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FF19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4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Z7011826000223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C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ZYJYG00480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F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浙银理财琮融九曜添利18号行业精选增强理财产品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8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791B7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6A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Z7011826000269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F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ZYJYG00600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6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浙银理财琮融九曜添利28号行业精选增强理财产品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7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1D9CF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E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Z7011826000271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4E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ZYJYG00610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0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浙银理财琮融九曜添利29号行业精选增强理财产品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82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83D1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0E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Z7011826000289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7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ZYJYG00620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21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浙银理财琮融九曜添利30号行业精选增强理财产品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93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C7AB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24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Z7011826000290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9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ZYJYG00630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3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浙银理财琮融九曜添利31号行业精选增强理财产品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2D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7BBC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00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Z7011826000292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1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ZYJYG00640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D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浙银理财琮融九曜添利32号行业精选增强理财产品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2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5BEF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5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Z7011826000013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1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ZYJYG00240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BD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浙银理财琮融九曜添利3号行业精选增强理财产品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2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D583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32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Z7011826000090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4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ZYJYG00260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1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浙银理财琮融九曜添利5号轮动策略增强理财产品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3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2100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6B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Z7011826000083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8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ZYJYG00300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4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浙银理财琮融九曜添利9号轮动策略增强理财产品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A8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E70B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9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Z7011826A000029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D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ZYJYS00050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C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浙银理财琮融九曜添利悦享5号行业精选增强理财产品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1CF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3D628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C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Z7011826A000030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E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ZYJYS00060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A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浙银理财琮融九曜添利悦享6号行业精选增强理财产品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5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6254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0C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Z7011826A000052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3A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ZYJYS00100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39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浙银理财琮融九曜添利甄享10号轮动策略增强理财产品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8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0A988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C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Z7011826A000053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4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ZYJYS00080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4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浙银理财琮融九曜添利甄享8号轮动策略增强理财产品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5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98FA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3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Z7011826A000055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8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ZYJYS00090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A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浙银理财琮融九曜添利甄享9号轮动策略增强理财产品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7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63BBB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9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Z7011825A000101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E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ZYJYS00010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0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浙银理财琮融九曜添利尊享1号固收增强理财产品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B5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50346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3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Z7011825A000100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DF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ZYJYS00020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C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浙银理财琮融九曜添利尊享2号固收增强理财产品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5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4B270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3B8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Z7011825A000122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6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ZYJYS00030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1F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浙银理财琮融九曜添利尊享3号固收增强理财产品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5C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r w14:paraId="25053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A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Z7011825000217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0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ZYJYG00150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06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浙银理财琮融九曜增利2号红利优选策略增强理财产品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5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封闭式产品</w:t>
            </w:r>
          </w:p>
        </w:tc>
      </w:tr>
    </w:tbl>
    <w:p w14:paraId="3E6DC0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本</w:t>
      </w:r>
      <w:r>
        <w:rPr>
          <w:rFonts w:hint="eastAsia" w:ascii="仿宋_GB2312" w:hAnsi="仿宋_GB2312" w:eastAsia="仿宋_GB2312" w:cs="仿宋_GB2312"/>
          <w:i w:val="0"/>
          <w:iCs w:val="0"/>
          <w:caps w:val="0"/>
          <w:color w:val="auto"/>
          <w:spacing w:val="0"/>
          <w:sz w:val="32"/>
          <w:szCs w:val="32"/>
          <w:shd w:val="clear" w:fill="FFFFFF"/>
        </w:rPr>
        <w:t>次条款</w:t>
      </w:r>
      <w:r>
        <w:rPr>
          <w:rFonts w:hint="eastAsia" w:ascii="仿宋_GB2312" w:hAnsi="仿宋_GB2312" w:eastAsia="仿宋_GB2312" w:cs="仿宋_GB2312"/>
          <w:i w:val="0"/>
          <w:iCs w:val="0"/>
          <w:caps w:val="0"/>
          <w:color w:val="auto"/>
          <w:spacing w:val="0"/>
          <w:sz w:val="32"/>
          <w:szCs w:val="32"/>
          <w:shd w:val="clear" w:fill="FFFFFF"/>
          <w:lang w:eastAsia="zh-CN"/>
        </w:rPr>
        <w:t>补充说明</w:t>
      </w:r>
      <w:r>
        <w:rPr>
          <w:rFonts w:hint="eastAsia" w:ascii="仿宋_GB2312" w:hAnsi="仿宋_GB2312" w:eastAsia="仿宋_GB2312" w:cs="仿宋_GB2312"/>
          <w:i w:val="0"/>
          <w:iCs w:val="0"/>
          <w:caps w:val="0"/>
          <w:color w:val="auto"/>
          <w:spacing w:val="0"/>
          <w:sz w:val="32"/>
          <w:szCs w:val="32"/>
          <w:shd w:val="clear" w:fill="FFFFFF"/>
        </w:rPr>
        <w:t>不涉及产品投资策略变化，不</w:t>
      </w:r>
      <w:r>
        <w:rPr>
          <w:rFonts w:hint="eastAsia" w:ascii="仿宋_GB2312" w:hAnsi="仿宋_GB2312" w:eastAsia="仿宋_GB2312" w:cs="仿宋_GB2312"/>
          <w:i w:val="0"/>
          <w:iCs w:val="0"/>
          <w:caps w:val="0"/>
          <w:color w:val="auto"/>
          <w:spacing w:val="0"/>
          <w:sz w:val="32"/>
          <w:szCs w:val="32"/>
          <w:shd w:val="clear" w:fill="FFFFFF"/>
          <w:lang w:eastAsia="zh-CN"/>
        </w:rPr>
        <w:t>会</w:t>
      </w:r>
      <w:r>
        <w:rPr>
          <w:rFonts w:hint="eastAsia" w:ascii="仿宋_GB2312" w:hAnsi="仿宋_GB2312" w:eastAsia="仿宋_GB2312" w:cs="仿宋_GB2312"/>
          <w:i w:val="0"/>
          <w:iCs w:val="0"/>
          <w:caps w:val="0"/>
          <w:color w:val="auto"/>
          <w:spacing w:val="0"/>
          <w:sz w:val="32"/>
          <w:szCs w:val="32"/>
          <w:shd w:val="clear" w:fill="FFFFFF"/>
        </w:rPr>
        <w:t>对产品的投资运作造成不利影响，</w:t>
      </w:r>
      <w:r>
        <w:rPr>
          <w:rFonts w:hint="eastAsia" w:ascii="仿宋_GB2312" w:hAnsi="仿宋_GB2312" w:eastAsia="仿宋_GB2312" w:cs="仿宋_GB2312"/>
          <w:i w:val="0"/>
          <w:iCs w:val="0"/>
          <w:caps w:val="0"/>
          <w:color w:val="auto"/>
          <w:spacing w:val="0"/>
          <w:sz w:val="32"/>
          <w:szCs w:val="32"/>
          <w:shd w:val="clear" w:fill="FFFFFF"/>
          <w:lang w:eastAsia="zh-CN"/>
        </w:rPr>
        <w:t>相关补充说明</w:t>
      </w:r>
      <w:r>
        <w:rPr>
          <w:rFonts w:hint="eastAsia" w:ascii="Times New Roman" w:hAnsi="Times New Roman" w:eastAsia="仿宋_GB2312" w:cs="仿宋_GB2312"/>
          <w:i w:val="0"/>
          <w:iCs w:val="0"/>
          <w:caps w:val="0"/>
          <w:color w:val="auto"/>
          <w:spacing w:val="0"/>
          <w:sz w:val="32"/>
          <w:szCs w:val="32"/>
          <w:shd w:val="clear" w:fill="FFFFFF"/>
          <w:lang w:val="en-US" w:eastAsia="zh-CN"/>
        </w:rPr>
        <w:t>2026</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Times New Roman" w:hAnsi="Times New Roman" w:eastAsia="仿宋_GB2312" w:cs="仿宋_GB2312"/>
          <w:i w:val="0"/>
          <w:iCs w:val="0"/>
          <w:caps w:val="0"/>
          <w:color w:val="auto"/>
          <w:spacing w:val="0"/>
          <w:sz w:val="32"/>
          <w:szCs w:val="32"/>
          <w:shd w:val="clear" w:fill="FFFFFF"/>
          <w:lang w:val="en-US" w:eastAsia="zh-CN"/>
        </w:rPr>
        <w:t>9</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Times New Roman" w:hAnsi="Times New Roman"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日（含）起</w:t>
      </w:r>
      <w:r>
        <w:rPr>
          <w:rFonts w:hint="eastAsia" w:ascii="仿宋_GB2312" w:hAnsi="仿宋_GB2312" w:eastAsia="仿宋_GB2312" w:cs="仿宋_GB2312"/>
          <w:i w:val="0"/>
          <w:iCs w:val="0"/>
          <w:caps w:val="0"/>
          <w:color w:val="auto"/>
          <w:spacing w:val="0"/>
          <w:sz w:val="32"/>
          <w:szCs w:val="32"/>
          <w:highlight w:val="none"/>
          <w:shd w:val="clear" w:fill="FFFFFF"/>
        </w:rPr>
        <w:t>生效。</w:t>
      </w:r>
    </w:p>
    <w:p w14:paraId="0F23C8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感谢您一直以来对浙银理财的信赖与支持！浙银理财将继续为您提供更优质的理财服务。</w:t>
      </w:r>
    </w:p>
    <w:p w14:paraId="1D7B69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特此公告。</w:t>
      </w:r>
    </w:p>
    <w:p w14:paraId="3CAC29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p>
    <w:p w14:paraId="0C5DA2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浙银理财有限责任公司</w:t>
      </w:r>
    </w:p>
    <w:p w14:paraId="7D3640E9">
      <w:pPr>
        <w:ind w:firstLine="640" w:firstLineChars="200"/>
        <w:jc w:val="right"/>
        <w:rPr>
          <w:rFonts w:hint="eastAsia" w:ascii="黑体" w:hAnsi="黑体" w:eastAsia="黑体" w:cs="黑体"/>
          <w:i w:val="0"/>
          <w:iCs w:val="0"/>
          <w:caps w:val="0"/>
          <w:color w:val="auto"/>
          <w:spacing w:val="0"/>
          <w:sz w:val="32"/>
          <w:szCs w:val="32"/>
          <w:shd w:val="clear" w:fill="FFFFFF"/>
          <w:lang w:val="en-US" w:eastAsia="zh-CN"/>
        </w:rPr>
      </w:pPr>
      <w:r>
        <w:rPr>
          <w:rFonts w:hint="eastAsia" w:ascii="Times New Roman" w:hAnsi="Times New Roman" w:eastAsia="仿宋_GB2312" w:cs="仿宋_GB2312"/>
          <w:i w:val="0"/>
          <w:iCs w:val="0"/>
          <w:caps w:val="0"/>
          <w:color w:val="auto"/>
          <w:spacing w:val="0"/>
          <w:sz w:val="32"/>
          <w:szCs w:val="32"/>
          <w:shd w:val="clear" w:fill="FFFFFF"/>
          <w:lang w:val="en-US" w:eastAsia="zh-CN"/>
        </w:rPr>
        <w:t xml:space="preserve">   2026</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Times New Roman" w:hAnsi="Times New Roman" w:eastAsia="仿宋_GB2312" w:cs="仿宋_GB2312"/>
          <w:i w:val="0"/>
          <w:iCs w:val="0"/>
          <w:caps w:val="0"/>
          <w:color w:val="auto"/>
          <w:spacing w:val="0"/>
          <w:sz w:val="32"/>
          <w:szCs w:val="32"/>
          <w:shd w:val="clear" w:fill="FFFFFF"/>
          <w:lang w:val="en-US" w:eastAsia="zh-CN"/>
        </w:rPr>
        <w:t>8</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Times New Roman" w:hAnsi="Times New Roman" w:eastAsia="仿宋_GB2312" w:cs="仿宋_GB2312"/>
          <w:i w:val="0"/>
          <w:iCs w:val="0"/>
          <w:caps w:val="0"/>
          <w:color w:val="auto"/>
          <w:spacing w:val="0"/>
          <w:sz w:val="32"/>
          <w:szCs w:val="32"/>
          <w:shd w:val="clear" w:fill="FFFFFF"/>
          <w:lang w:val="en-US" w:eastAsia="zh-CN"/>
        </w:rPr>
        <w:t>28</w:t>
      </w:r>
      <w:r>
        <w:rPr>
          <w:rFonts w:hint="eastAsia" w:ascii="仿宋_GB2312" w:hAnsi="仿宋_GB2312" w:eastAsia="仿宋_GB2312" w:cs="仿宋_GB2312"/>
          <w:i w:val="0"/>
          <w:iCs w:val="0"/>
          <w:caps w:val="0"/>
          <w:color w:val="auto"/>
          <w:spacing w:val="0"/>
          <w:sz w:val="32"/>
          <w:szCs w:val="32"/>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7D72AC"/>
    <w:multiLevelType w:val="multilevel"/>
    <w:tmpl w:val="6E7D72AC"/>
    <w:lvl w:ilvl="0" w:tentative="0">
      <w:start w:val="1"/>
      <w:numFmt w:val="chineseCounting"/>
      <w:pStyle w:val="2"/>
      <w:suff w:val="nothing"/>
      <w:lvlText w:val="第%1节 "/>
      <w:lvlJc w:val="left"/>
      <w:pPr>
        <w:tabs>
          <w:tab w:val="left" w:pos="0"/>
        </w:tabs>
        <w:ind w:left="0" w:firstLine="0"/>
      </w:pPr>
      <w:rPr>
        <w:rFonts w:hint="eastAsia" w:ascii="宋体" w:hAnsi="宋体" w:eastAsia="黑体" w:cs="宋体"/>
        <w:sz w:val="28"/>
      </w:rPr>
    </w:lvl>
    <w:lvl w:ilvl="1" w:tentative="0">
      <w:start w:val="1"/>
      <w:numFmt w:val="chineseCounting"/>
      <w:pStyle w:val="3"/>
      <w:suff w:val="nothing"/>
      <w:lvlText w:val="（%2）"/>
      <w:lvlJc w:val="left"/>
      <w:pPr>
        <w:ind w:left="0" w:leftChars="0" w:firstLine="482" w:firstLineChars="0"/>
      </w:pPr>
      <w:rPr>
        <w:rFonts w:hint="eastAsia" w:ascii="宋体" w:hAnsi="宋体" w:eastAsia="仿宋_GB2312" w:cs="宋体"/>
        <w:b/>
        <w:sz w:val="24"/>
      </w:rPr>
    </w:lvl>
    <w:lvl w:ilvl="2" w:tentative="0">
      <w:start w:val="1"/>
      <w:numFmt w:val="decimal"/>
      <w:suff w:val="nothing"/>
      <w:lvlText w:val="%3．"/>
      <w:lvlJc w:val="left"/>
      <w:pPr>
        <w:ind w:left="0" w:firstLine="400"/>
      </w:pPr>
      <w:rPr>
        <w:rFonts w:hint="eastAsia" w:ascii="宋体" w:hAnsi="宋体" w:eastAsia="宋体" w:cs="宋体"/>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7CFCF8DE"/>
    <w:multiLevelType w:val="singleLevel"/>
    <w:tmpl w:val="7CFCF8DE"/>
    <w:lvl w:ilvl="0" w:tentative="0">
      <w:start w:val="5"/>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5E2147"/>
    <w:rsid w:val="1DF7AA2B"/>
    <w:rsid w:val="1FFF9C33"/>
    <w:rsid w:val="2BE68851"/>
    <w:rsid w:val="2F793946"/>
    <w:rsid w:val="325FE53B"/>
    <w:rsid w:val="33320CEF"/>
    <w:rsid w:val="34863E70"/>
    <w:rsid w:val="3BB72965"/>
    <w:rsid w:val="3D7BF03B"/>
    <w:rsid w:val="3DE7AD18"/>
    <w:rsid w:val="3EFED059"/>
    <w:rsid w:val="3F434E11"/>
    <w:rsid w:val="3FBF8E3A"/>
    <w:rsid w:val="3FD755D8"/>
    <w:rsid w:val="535E2147"/>
    <w:rsid w:val="575F1CDB"/>
    <w:rsid w:val="5FE53A31"/>
    <w:rsid w:val="62405129"/>
    <w:rsid w:val="6BAF8D1E"/>
    <w:rsid w:val="6FD7BF4A"/>
    <w:rsid w:val="71FDF483"/>
    <w:rsid w:val="73F6DFAA"/>
    <w:rsid w:val="74FDC931"/>
    <w:rsid w:val="767624FB"/>
    <w:rsid w:val="77B909BB"/>
    <w:rsid w:val="77C7B9B7"/>
    <w:rsid w:val="77E9641F"/>
    <w:rsid w:val="78ADFD90"/>
    <w:rsid w:val="7A7A57CB"/>
    <w:rsid w:val="7B7DA654"/>
    <w:rsid w:val="7BD6CA80"/>
    <w:rsid w:val="7BD721BD"/>
    <w:rsid w:val="7BF75834"/>
    <w:rsid w:val="7CC21B68"/>
    <w:rsid w:val="7DF1CF57"/>
    <w:rsid w:val="7DFFBFB2"/>
    <w:rsid w:val="7EFD8E74"/>
    <w:rsid w:val="7F7F1EF6"/>
    <w:rsid w:val="7FAD611A"/>
    <w:rsid w:val="7FAFDE3B"/>
    <w:rsid w:val="7FB3D1F7"/>
    <w:rsid w:val="7FEDE7B7"/>
    <w:rsid w:val="7FEDFBFB"/>
    <w:rsid w:val="7FFF4FCE"/>
    <w:rsid w:val="98F746A5"/>
    <w:rsid w:val="9FED2B13"/>
    <w:rsid w:val="AE7F0E83"/>
    <w:rsid w:val="BB7DAC01"/>
    <w:rsid w:val="BFB6F5D1"/>
    <w:rsid w:val="CD3EB6F4"/>
    <w:rsid w:val="CEBF5080"/>
    <w:rsid w:val="D373E292"/>
    <w:rsid w:val="DBD72207"/>
    <w:rsid w:val="DDEC0C7B"/>
    <w:rsid w:val="DFEFD07C"/>
    <w:rsid w:val="E5FF7677"/>
    <w:rsid w:val="E9EFCEBE"/>
    <w:rsid w:val="EEEFBE06"/>
    <w:rsid w:val="EFEF32F0"/>
    <w:rsid w:val="EFFF0019"/>
    <w:rsid w:val="F5FFA126"/>
    <w:rsid w:val="F7EDC883"/>
    <w:rsid w:val="F8DC4580"/>
    <w:rsid w:val="F9CB3B71"/>
    <w:rsid w:val="FA4FF9C9"/>
    <w:rsid w:val="FA9F1352"/>
    <w:rsid w:val="FABC75DE"/>
    <w:rsid w:val="FB9F079A"/>
    <w:rsid w:val="FB9FA207"/>
    <w:rsid w:val="FCAFF179"/>
    <w:rsid w:val="FCEA112E"/>
    <w:rsid w:val="FD5F24D7"/>
    <w:rsid w:val="FDBF4758"/>
    <w:rsid w:val="FE3F9B99"/>
    <w:rsid w:val="FF3DA3E9"/>
    <w:rsid w:val="FF76962A"/>
    <w:rsid w:val="FFED554C"/>
    <w:rsid w:val="FFEF3C92"/>
    <w:rsid w:val="FFEF4650"/>
    <w:rsid w:val="FFFBFF0F"/>
    <w:rsid w:val="FFFC06A6"/>
    <w:rsid w:val="FFFEA685"/>
    <w:rsid w:val="FFFEF542"/>
    <w:rsid w:val="FFFF5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line="360" w:lineRule="auto"/>
      <w:jc w:val="center"/>
      <w:outlineLvl w:val="0"/>
    </w:pPr>
    <w:rPr>
      <w:rFonts w:eastAsia="黑体"/>
      <w:kern w:val="44"/>
      <w:sz w:val="28"/>
    </w:rPr>
  </w:style>
  <w:style w:type="paragraph" w:styleId="3">
    <w:name w:val="heading 2"/>
    <w:basedOn w:val="1"/>
    <w:next w:val="1"/>
    <w:link w:val="15"/>
    <w:unhideWhenUsed/>
    <w:qFormat/>
    <w:uiPriority w:val="0"/>
    <w:pPr>
      <w:keepNext/>
      <w:keepLines/>
      <w:numPr>
        <w:ilvl w:val="1"/>
        <w:numId w:val="1"/>
      </w:numPr>
      <w:tabs>
        <w:tab w:val="left" w:pos="1134"/>
      </w:tabs>
      <w:spacing w:line="360" w:lineRule="auto"/>
      <w:ind w:left="0" w:firstLine="482" w:firstLineChars="0"/>
      <w:jc w:val="left"/>
      <w:outlineLvl w:val="1"/>
    </w:pPr>
    <w:rPr>
      <w:rFonts w:ascii="Arial" w:hAnsi="Arial"/>
      <w:b/>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qFormat/>
    <w:uiPriority w:val="0"/>
    <w:rPr>
      <w:color w:val="0000FF"/>
      <w:u w:val="single"/>
    </w:rPr>
  </w:style>
  <w:style w:type="character" w:styleId="12">
    <w:name w:val="annotation reference"/>
    <w:basedOn w:val="9"/>
    <w:qFormat/>
    <w:uiPriority w:val="0"/>
    <w:rPr>
      <w:sz w:val="21"/>
      <w:szCs w:val="21"/>
    </w:rPr>
  </w:style>
  <w:style w:type="paragraph" w:styleId="13">
    <w:name w:val="List Paragraph"/>
    <w:basedOn w:val="1"/>
    <w:unhideWhenUsed/>
    <w:qFormat/>
    <w:uiPriority w:val="99"/>
    <w:pPr>
      <w:ind w:firstLine="420" w:firstLineChars="200"/>
    </w:pPr>
  </w:style>
  <w:style w:type="paragraph" w:customStyle="1" w:styleId="1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
    <w:name w:val="标题 2 字符"/>
    <w:link w:val="3"/>
    <w:qFormat/>
    <w:uiPriority w:val="0"/>
    <w:rPr>
      <w:rFonts w:ascii="Arial" w:hAnsi="Arial"/>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3</TotalTime>
  <ScaleCrop>false</ScaleCrop>
  <LinksUpToDate>false</LinksUpToDate>
  <CharactersWithSpaces>0</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2026-01-20T06:21:00Z</dcterms:created>
  <dc:creator>C73A</dc:creator>
  <cp:lastModifiedBy>C73A</cp:lastModifiedBy>
  <dcterms:modified xsi:type="dcterms:W3CDTF">2026-08-24T23:56:48Z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ICV">
    <vt:lpwstr>728D04A4E5F437BD00D9696952185028_41</vt:lpwstr>
  </property>
</Properties>
</file>