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89266">
      <w:pPr>
        <w:widowControl/>
        <w:snapToGrid w:val="0"/>
        <w:jc w:val="center"/>
        <w:rPr>
          <w:rFonts w:ascii="方正小标宋简体" w:hAnsi="宋体" w:eastAsia="方正小标宋简体" w:cs="宋体"/>
          <w:bCs/>
          <w:color w:val="auto"/>
          <w:kern w:val="0"/>
          <w:sz w:val="36"/>
          <w:szCs w:val="36"/>
          <w:highlight w:val="none"/>
        </w:rPr>
      </w:pPr>
      <w:r>
        <w:rPr>
          <w:rFonts w:hint="eastAsia" w:ascii="方正小标宋简体" w:hAnsi="宋体" w:eastAsia="方正小标宋简体" w:cs="宋体"/>
          <w:bCs/>
          <w:color w:val="auto"/>
          <w:kern w:val="0"/>
          <w:sz w:val="36"/>
          <w:szCs w:val="36"/>
          <w:highlight w:val="none"/>
        </w:rPr>
        <w:t>浙银理财琮简涌金丰收日开2号</w:t>
      </w:r>
    </w:p>
    <w:p w14:paraId="2BE49ABF">
      <w:pPr>
        <w:widowControl/>
        <w:snapToGrid w:val="0"/>
        <w:jc w:val="center"/>
        <w:rPr>
          <w:rFonts w:hint="eastAsia" w:ascii="方正小标宋简体" w:hAnsi="宋体" w:eastAsia="方正小标宋简体" w:cs="宋体"/>
          <w:bCs/>
          <w:color w:val="auto"/>
          <w:kern w:val="0"/>
          <w:sz w:val="36"/>
          <w:szCs w:val="36"/>
          <w:highlight w:val="none"/>
        </w:rPr>
      </w:pPr>
      <w:r>
        <w:rPr>
          <w:rFonts w:hint="eastAsia" w:ascii="方正小标宋简体" w:hAnsi="宋体" w:eastAsia="方正小标宋简体" w:cs="宋体"/>
          <w:bCs/>
          <w:color w:val="auto"/>
          <w:kern w:val="0"/>
          <w:sz w:val="36"/>
          <w:szCs w:val="36"/>
          <w:highlight w:val="none"/>
        </w:rPr>
        <w:t>理财产品说明书</w:t>
      </w:r>
    </w:p>
    <w:p w14:paraId="34379F29">
      <w:pPr>
        <w:keepNext w:val="0"/>
        <w:keepLines w:val="0"/>
        <w:widowControl/>
        <w:suppressLineNumbers w:val="0"/>
        <w:jc w:val="center"/>
        <w:rPr>
          <w:color w:val="auto"/>
          <w:highlight w:val="none"/>
        </w:rPr>
      </w:pPr>
      <w:r>
        <w:rPr>
          <w:rFonts w:hint="eastAsia" w:ascii="宋体" w:hAnsi="宋体" w:eastAsia="宋体" w:cs="宋体"/>
          <w:b/>
          <w:bCs/>
          <w:color w:val="auto"/>
          <w:kern w:val="0"/>
          <w:sz w:val="28"/>
          <w:szCs w:val="28"/>
          <w:highlight w:val="none"/>
          <w:lang w:val="en-US" w:eastAsia="zh-CN" w:bidi="ar"/>
        </w:rPr>
        <w:t>（</w:t>
      </w:r>
      <w:r>
        <w:rPr>
          <w:rFonts w:ascii="宋体" w:hAnsi="宋体" w:eastAsia="宋体" w:cs="宋体"/>
          <w:b/>
          <w:bCs/>
          <w:color w:val="auto"/>
          <w:kern w:val="0"/>
          <w:sz w:val="28"/>
          <w:szCs w:val="28"/>
          <w:highlight w:val="none"/>
          <w:lang w:val="en-US" w:eastAsia="zh-CN" w:bidi="ar"/>
        </w:rPr>
        <w:t>全国银行业理财信息登记系统产品登记编码：</w:t>
      </w:r>
      <w:r>
        <w:rPr>
          <w:rFonts w:hint="eastAsia" w:ascii="宋体" w:hAnsi="宋体" w:eastAsia="宋体" w:cs="宋体"/>
          <w:b/>
          <w:bCs/>
          <w:color w:val="auto"/>
          <w:kern w:val="0"/>
          <w:sz w:val="28"/>
          <w:szCs w:val="28"/>
          <w:highlight w:val="none"/>
          <w:lang w:val="en-US" w:eastAsia="zh-CN" w:bidi="ar"/>
        </w:rPr>
        <w:t>Z7011825000201 ）</w:t>
      </w:r>
    </w:p>
    <w:p w14:paraId="6E3368EB">
      <w:pPr>
        <w:keepNext w:val="0"/>
        <w:keepLines w:val="0"/>
        <w:widowControl/>
        <w:suppressLineNumbers w:val="0"/>
        <w:jc w:val="center"/>
        <w:rPr>
          <w:rFonts w:ascii="宋体" w:hAnsi="宋体" w:eastAsia="宋体" w:cs="宋体"/>
          <w:b/>
          <w:bCs/>
          <w:color w:val="auto"/>
          <w:kern w:val="0"/>
          <w:sz w:val="20"/>
          <w:szCs w:val="20"/>
          <w:highlight w:val="none"/>
          <w:lang w:val="en-US" w:eastAsia="zh-CN" w:bidi="ar"/>
        </w:rPr>
      </w:pPr>
      <w:r>
        <w:rPr>
          <w:rFonts w:ascii="宋体" w:hAnsi="宋体" w:eastAsia="宋体" w:cs="宋体"/>
          <w:b/>
          <w:bCs/>
          <w:color w:val="auto"/>
          <w:kern w:val="0"/>
          <w:sz w:val="20"/>
          <w:szCs w:val="20"/>
          <w:highlight w:val="none"/>
          <w:lang w:val="en-US" w:eastAsia="zh-CN" w:bidi="ar"/>
        </w:rPr>
        <w:t xml:space="preserve">（投资者可依据该编码在中国理财网 </w:t>
      </w:r>
      <w:r>
        <w:rPr>
          <w:rFonts w:hint="default" w:ascii="Times New Roman" w:hAnsi="Times New Roman" w:eastAsia="宋体" w:cs="Times New Roman"/>
          <w:b/>
          <w:bCs/>
          <w:color w:val="auto"/>
          <w:kern w:val="0"/>
          <w:sz w:val="20"/>
          <w:szCs w:val="20"/>
          <w:highlight w:val="none"/>
          <w:lang w:val="en-US" w:eastAsia="zh-CN" w:bidi="ar"/>
        </w:rPr>
        <w:t xml:space="preserve">www.chinawealth.com.cn </w:t>
      </w:r>
      <w:r>
        <w:rPr>
          <w:rFonts w:ascii="宋体" w:hAnsi="宋体" w:eastAsia="宋体" w:cs="宋体"/>
          <w:b/>
          <w:bCs/>
          <w:color w:val="auto"/>
          <w:kern w:val="0"/>
          <w:sz w:val="20"/>
          <w:szCs w:val="20"/>
          <w:highlight w:val="none"/>
          <w:lang w:val="en-US" w:eastAsia="zh-CN" w:bidi="ar"/>
        </w:rPr>
        <w:t>查询产品信息）</w:t>
      </w:r>
    </w:p>
    <w:p w14:paraId="59532A67">
      <w:pPr>
        <w:keepNext w:val="0"/>
        <w:keepLines w:val="0"/>
        <w:widowControl/>
        <w:suppressLineNumbers w:val="0"/>
        <w:jc w:val="center"/>
        <w:rPr>
          <w:rFonts w:ascii="宋体" w:hAnsi="宋体" w:eastAsia="宋体" w:cs="宋体"/>
          <w:b/>
          <w:bCs/>
          <w:color w:val="auto"/>
          <w:kern w:val="0"/>
          <w:sz w:val="20"/>
          <w:szCs w:val="20"/>
          <w:highlight w:val="none"/>
          <w:lang w:val="en-US" w:eastAsia="zh-CN" w:bidi="ar"/>
        </w:rPr>
      </w:pPr>
    </w:p>
    <w:p w14:paraId="723A0729">
      <w:pPr>
        <w:pStyle w:val="2"/>
        <w:rPr>
          <w:rFonts w:hint="eastAsia"/>
          <w:color w:val="auto"/>
          <w:highlight w:val="none"/>
          <w:u w:val="none"/>
        </w:rPr>
      </w:pPr>
      <w:r>
        <w:rPr>
          <w:rFonts w:hint="eastAsia"/>
          <w:color w:val="auto"/>
          <w:highlight w:val="none"/>
          <w:u w:val="none"/>
        </w:rPr>
        <w:t>理财产品</w:t>
      </w:r>
      <w:r>
        <w:rPr>
          <w:rFonts w:hint="eastAsia"/>
          <w:color w:val="auto"/>
          <w:highlight w:val="none"/>
          <w:u w:val="none"/>
          <w:lang w:eastAsia="zh-CN"/>
        </w:rPr>
        <w:t>说明书关键要素</w:t>
      </w:r>
    </w:p>
    <w:tbl>
      <w:tblPr>
        <w:tblStyle w:val="16"/>
        <w:tblW w:w="9425" w:type="dxa"/>
        <w:tblInd w:w="533" w:type="dxa"/>
        <w:tblLayout w:type="fixed"/>
        <w:tblCellMar>
          <w:top w:w="0" w:type="dxa"/>
          <w:left w:w="108" w:type="dxa"/>
          <w:bottom w:w="0" w:type="dxa"/>
          <w:right w:w="108" w:type="dxa"/>
        </w:tblCellMar>
      </w:tblPr>
      <w:tblGrid>
        <w:gridCol w:w="2453"/>
        <w:gridCol w:w="6972"/>
      </w:tblGrid>
      <w:tr w14:paraId="29AF8F3C">
        <w:tblPrEx>
          <w:tblCellMar>
            <w:top w:w="0" w:type="dxa"/>
            <w:left w:w="108" w:type="dxa"/>
            <w:bottom w:w="0" w:type="dxa"/>
            <w:right w:w="108" w:type="dxa"/>
          </w:tblCellMar>
        </w:tblPrEx>
        <w:trPr>
          <w:trHeight w:val="1394" w:hRule="atLeast"/>
        </w:trPr>
        <w:tc>
          <w:tcPr>
            <w:tcW w:w="9425" w:type="dxa"/>
            <w:gridSpan w:val="2"/>
            <w:tcBorders>
              <w:top w:val="single" w:color="000000" w:sz="8" w:space="0"/>
              <w:left w:val="single" w:color="000000" w:sz="8" w:space="0"/>
              <w:bottom w:val="single" w:color="000000" w:sz="4" w:space="0"/>
              <w:right w:val="single" w:color="000000" w:sz="8" w:space="0"/>
            </w:tcBorders>
            <w:vAlign w:val="center"/>
          </w:tcPr>
          <w:p w14:paraId="7191572F">
            <w:pPr>
              <w:widowControl/>
              <w:spacing w:line="600" w:lineRule="exact"/>
              <w:jc w:val="center"/>
              <w:textAlignment w:val="center"/>
              <w:rPr>
                <w:rFonts w:hint="eastAsia" w:ascii="方正小标宋简体" w:hAnsi="方正小标宋简体" w:eastAsia="方正小标宋简体" w:cs="方正小标宋简体"/>
                <w:color w:val="auto"/>
                <w:sz w:val="40"/>
                <w:szCs w:val="40"/>
                <w:highlight w:val="none"/>
              </w:rPr>
            </w:pPr>
            <w:r>
              <w:rPr>
                <w:rFonts w:hint="eastAsia" w:ascii="方正小标宋简体" w:hAnsi="方正小标宋简体" w:eastAsia="方正小标宋简体" w:cs="方正小标宋简体"/>
                <w:color w:val="auto"/>
                <w:kern w:val="0"/>
                <w:sz w:val="40"/>
                <w:szCs w:val="40"/>
                <w:highlight w:val="none"/>
                <w:lang w:bidi="ar"/>
              </w:rPr>
              <w:t>理财产品说明书关键要素</w:t>
            </w:r>
          </w:p>
        </w:tc>
      </w:tr>
      <w:tr w14:paraId="12B527C2">
        <w:tblPrEx>
          <w:tblCellMar>
            <w:top w:w="0" w:type="dxa"/>
            <w:left w:w="108" w:type="dxa"/>
            <w:bottom w:w="0" w:type="dxa"/>
            <w:right w:w="108" w:type="dxa"/>
          </w:tblCellMar>
        </w:tblPrEx>
        <w:trPr>
          <w:trHeight w:val="980" w:hRule="atLeast"/>
        </w:trPr>
        <w:tc>
          <w:tcPr>
            <w:tcW w:w="9425" w:type="dxa"/>
            <w:gridSpan w:val="2"/>
            <w:tcBorders>
              <w:top w:val="single" w:color="000000" w:sz="4" w:space="0"/>
              <w:left w:val="single" w:color="000000" w:sz="8" w:space="0"/>
              <w:bottom w:val="nil"/>
              <w:right w:val="single" w:color="000000" w:sz="8" w:space="0"/>
            </w:tcBorders>
            <w:vAlign w:val="center"/>
          </w:tcPr>
          <w:p w14:paraId="517956BB">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cs="仿宋_GB2312"/>
                <w:color w:val="auto"/>
                <w:sz w:val="22"/>
                <w:szCs w:val="22"/>
                <w:highlight w:val="none"/>
                <w:lang w:bidi="ar"/>
              </w:rPr>
              <w:t>本表格提供本理财产品的重要信息，是理财产品说明书的一部分。</w:t>
            </w:r>
            <w:r>
              <w:rPr>
                <w:rFonts w:hint="eastAsia" w:cs="仿宋_GB2312"/>
                <w:color w:val="auto"/>
                <w:sz w:val="22"/>
                <w:szCs w:val="22"/>
                <w:highlight w:val="none"/>
                <w:lang w:bidi="ar"/>
              </w:rPr>
              <w:br w:type="textWrapping"/>
            </w:r>
            <w:r>
              <w:rPr>
                <w:rFonts w:hint="eastAsia" w:cs="仿宋_GB2312"/>
                <w:color w:val="auto"/>
                <w:sz w:val="22"/>
                <w:szCs w:val="22"/>
                <w:highlight w:val="none"/>
                <w:lang w:bidi="ar"/>
              </w:rPr>
              <w:t>作出投资决定前，请阅读完整的理财产品说明书等销售文件。</w:t>
            </w:r>
          </w:p>
        </w:tc>
      </w:tr>
      <w:tr w14:paraId="27119B4D">
        <w:tblPrEx>
          <w:tblCellMar>
            <w:top w:w="0" w:type="dxa"/>
            <w:left w:w="108" w:type="dxa"/>
            <w:bottom w:w="0" w:type="dxa"/>
            <w:right w:w="108" w:type="dxa"/>
          </w:tblCellMar>
        </w:tblPrEx>
        <w:trPr>
          <w:trHeight w:val="270" w:hRule="atLeast"/>
        </w:trPr>
        <w:tc>
          <w:tcPr>
            <w:tcW w:w="9425" w:type="dxa"/>
            <w:gridSpan w:val="2"/>
            <w:tcBorders>
              <w:top w:val="single" w:color="000000" w:sz="4" w:space="0"/>
              <w:left w:val="single" w:color="000000" w:sz="8" w:space="0"/>
              <w:bottom w:val="single" w:color="auto" w:sz="4" w:space="0"/>
              <w:right w:val="single" w:color="000000" w:sz="8" w:space="0"/>
            </w:tcBorders>
            <w:vAlign w:val="center"/>
          </w:tcPr>
          <w:p w14:paraId="03D3D92C">
            <w:pPr>
              <w:widowControl/>
              <w:spacing w:line="400" w:lineRule="exact"/>
              <w:jc w:val="center"/>
              <w:textAlignment w:val="center"/>
              <w:rPr>
                <w:rFonts w:hint="eastAsia" w:ascii="楷体_GB2312" w:hAnsi="等线" w:eastAsia="楷体_GB2312" w:cs="楷体_GB2312"/>
                <w:b/>
                <w:bCs/>
                <w:color w:val="auto"/>
                <w:sz w:val="24"/>
                <w:highlight w:val="none"/>
              </w:rPr>
            </w:pPr>
            <w:r>
              <w:rPr>
                <w:rFonts w:hint="eastAsia" w:ascii="楷体_GB2312" w:hAnsi="等线" w:eastAsia="楷体_GB2312" w:cs="楷体_GB2312"/>
                <w:b/>
                <w:bCs/>
                <w:color w:val="auto"/>
                <w:kern w:val="0"/>
                <w:sz w:val="24"/>
                <w:highlight w:val="none"/>
                <w:lang w:bidi="ar"/>
              </w:rPr>
              <w:t>（一）理财产品基本信息</w:t>
            </w:r>
          </w:p>
        </w:tc>
      </w:tr>
      <w:tr w14:paraId="517A12E8">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47540217">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产品登记编码</w:t>
            </w:r>
          </w:p>
        </w:tc>
        <w:tc>
          <w:tcPr>
            <w:tcW w:w="6972" w:type="dxa"/>
            <w:tcBorders>
              <w:top w:val="single" w:color="auto" w:sz="4" w:space="0"/>
              <w:left w:val="single" w:color="auto" w:sz="4" w:space="0"/>
              <w:bottom w:val="single" w:color="auto" w:sz="4" w:space="0"/>
              <w:right w:val="single" w:color="auto" w:sz="4" w:space="0"/>
            </w:tcBorders>
            <w:vAlign w:val="center"/>
          </w:tcPr>
          <w:p w14:paraId="29272081">
            <w:pPr>
              <w:widowControl/>
              <w:spacing w:line="400" w:lineRule="exact"/>
              <w:jc w:val="left"/>
              <w:textAlignment w:val="center"/>
              <w:rPr>
                <w:rFonts w:hint="eastAsia" w:ascii="宋体" w:hAnsi="宋体"/>
                <w:color w:val="auto"/>
                <w:szCs w:val="24"/>
                <w:highlight w:val="none"/>
                <w:u w:val="none"/>
              </w:rPr>
            </w:pPr>
            <w:r>
              <w:rPr>
                <w:rFonts w:hint="eastAsia" w:ascii="宋体" w:hAnsi="宋体"/>
                <w:color w:val="auto"/>
                <w:szCs w:val="24"/>
                <w:highlight w:val="none"/>
                <w:u w:val="none"/>
              </w:rPr>
              <w:t>【</w:t>
            </w:r>
            <w:r>
              <w:rPr>
                <w:rFonts w:hint="eastAsia" w:ascii="宋体" w:hAnsi="宋体"/>
                <w:color w:val="auto"/>
                <w:szCs w:val="24"/>
                <w:highlight w:val="none"/>
              </w:rPr>
              <w:t>Z7011825000201</w:t>
            </w:r>
            <w:r>
              <w:rPr>
                <w:rFonts w:hint="eastAsia" w:ascii="宋体" w:hAnsi="宋体"/>
                <w:color w:val="auto"/>
                <w:szCs w:val="24"/>
                <w:highlight w:val="none"/>
                <w:u w:val="none"/>
              </w:rPr>
              <w:t>】</w:t>
            </w:r>
          </w:p>
          <w:p w14:paraId="11228981">
            <w:pPr>
              <w:widowControl/>
              <w:spacing w:line="400" w:lineRule="exact"/>
              <w:jc w:val="left"/>
              <w:textAlignment w:val="center"/>
              <w:rPr>
                <w:rFonts w:hint="eastAsia" w:ascii="仿宋_GB2312" w:hAnsi="等线" w:eastAsia="仿宋_GB2312" w:cs="仿宋_GB2312"/>
                <w:color w:val="auto"/>
                <w:kern w:val="0"/>
                <w:sz w:val="24"/>
                <w:highlight w:val="none"/>
                <w:lang w:bidi="ar"/>
              </w:rPr>
            </w:pPr>
            <w:r>
              <w:rPr>
                <w:rFonts w:hint="eastAsia" w:ascii="仿宋_GB2312" w:hAnsi="仿宋_GB2312" w:cs="仿宋_GB2312"/>
                <w:color w:val="auto"/>
                <w:sz w:val="22"/>
                <w:szCs w:val="22"/>
                <w:highlight w:val="none"/>
                <w:lang w:bidi="ar"/>
              </w:rPr>
              <w:t>（重要提示：可依据该登记编码在中国理财网www.chinawealth.com.cn查询产品信息）</w:t>
            </w:r>
          </w:p>
        </w:tc>
      </w:tr>
      <w:tr w14:paraId="41AEED57">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5E3BEE82">
            <w:pPr>
              <w:widowControl/>
              <w:spacing w:line="400" w:lineRule="exact"/>
              <w:jc w:val="center"/>
              <w:textAlignment w:val="center"/>
              <w:rPr>
                <w:rFonts w:hint="eastAsia" w:ascii="仿宋_GB2312" w:hAnsi="等线" w:cs="仿宋_GB2312"/>
                <w:color w:val="auto"/>
                <w:kern w:val="0"/>
                <w:sz w:val="24"/>
                <w:highlight w:val="none"/>
                <w:lang w:eastAsia="zh-CN" w:bidi="ar"/>
              </w:rPr>
            </w:pPr>
            <w:r>
              <w:rPr>
                <w:rFonts w:hint="eastAsia" w:ascii="仿宋_GB2312" w:hAnsi="等线" w:cs="仿宋_GB2312"/>
                <w:color w:val="auto"/>
                <w:kern w:val="0"/>
                <w:sz w:val="24"/>
                <w:highlight w:val="none"/>
                <w:lang w:eastAsia="zh-CN" w:bidi="ar"/>
              </w:rPr>
              <w:t>产品代码</w:t>
            </w:r>
          </w:p>
        </w:tc>
        <w:tc>
          <w:tcPr>
            <w:tcW w:w="6972" w:type="dxa"/>
            <w:tcBorders>
              <w:top w:val="single" w:color="auto" w:sz="4" w:space="0"/>
              <w:left w:val="single" w:color="auto" w:sz="4" w:space="0"/>
              <w:bottom w:val="single" w:color="auto" w:sz="4" w:space="0"/>
              <w:right w:val="single" w:color="auto" w:sz="4" w:space="0"/>
            </w:tcBorders>
            <w:vAlign w:val="center"/>
          </w:tcPr>
          <w:p w14:paraId="04535226">
            <w:pPr>
              <w:widowControl/>
              <w:spacing w:line="400" w:lineRule="exact"/>
              <w:jc w:val="left"/>
              <w:textAlignment w:val="center"/>
              <w:rPr>
                <w:rFonts w:hint="eastAsia" w:ascii="宋体" w:hAnsi="宋体"/>
                <w:color w:val="auto"/>
                <w:szCs w:val="24"/>
                <w:highlight w:val="none"/>
              </w:rPr>
            </w:pPr>
            <w:r>
              <w:rPr>
                <w:rFonts w:hint="eastAsia" w:ascii="宋体" w:hAnsi="宋体"/>
                <w:color w:val="auto"/>
                <w:szCs w:val="24"/>
                <w:highlight w:val="none"/>
              </w:rPr>
              <w:t>【ZYYJG00130】</w:t>
            </w:r>
          </w:p>
        </w:tc>
      </w:tr>
      <w:tr w14:paraId="40AD463F">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636FA888">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cs="仿宋_GB2312"/>
                <w:color w:val="auto"/>
                <w:kern w:val="0"/>
                <w:sz w:val="24"/>
                <w:highlight w:val="none"/>
                <w:lang w:eastAsia="zh-CN" w:bidi="ar"/>
              </w:rPr>
              <w:t>理财</w:t>
            </w:r>
            <w:r>
              <w:rPr>
                <w:rFonts w:hint="eastAsia" w:ascii="仿宋_GB2312" w:hAnsi="等线" w:eastAsia="仿宋_GB2312" w:cs="仿宋_GB2312"/>
                <w:color w:val="auto"/>
                <w:kern w:val="0"/>
                <w:sz w:val="24"/>
                <w:highlight w:val="none"/>
                <w:lang w:bidi="ar"/>
              </w:rPr>
              <w:t>产品名称</w:t>
            </w:r>
          </w:p>
        </w:tc>
        <w:tc>
          <w:tcPr>
            <w:tcW w:w="6972" w:type="dxa"/>
            <w:tcBorders>
              <w:top w:val="single" w:color="auto" w:sz="4" w:space="0"/>
              <w:left w:val="single" w:color="auto" w:sz="4" w:space="0"/>
              <w:bottom w:val="single" w:color="auto" w:sz="4" w:space="0"/>
              <w:right w:val="single" w:color="auto" w:sz="4" w:space="0"/>
            </w:tcBorders>
            <w:vAlign w:val="center"/>
          </w:tcPr>
          <w:p w14:paraId="5B80DFB9">
            <w:pPr>
              <w:widowControl/>
              <w:spacing w:line="400" w:lineRule="exact"/>
              <w:jc w:val="left"/>
              <w:textAlignment w:val="center"/>
              <w:rPr>
                <w:rFonts w:hint="eastAsia" w:ascii="仿宋_GB2312" w:hAnsi="等线" w:eastAsia="仿宋_GB2312" w:cs="仿宋_GB2312"/>
                <w:bCs/>
                <w:color w:val="auto"/>
                <w:sz w:val="24"/>
                <w:highlight w:val="none"/>
              </w:rPr>
            </w:pPr>
            <w:r>
              <w:rPr>
                <w:rFonts w:hint="eastAsia" w:ascii="宋体" w:hAnsi="宋体"/>
                <w:color w:val="auto"/>
                <w:szCs w:val="24"/>
                <w:highlight w:val="none"/>
              </w:rPr>
              <w:t>浙银理财</w:t>
            </w:r>
            <w:r>
              <w:rPr>
                <w:rFonts w:hint="eastAsia" w:ascii="宋体" w:hAnsi="宋体"/>
                <w:color w:val="auto"/>
                <w:szCs w:val="24"/>
                <w:highlight w:val="none"/>
                <w:lang w:eastAsia="zh-CN"/>
              </w:rPr>
              <w:t>琮简涌金丰收日开2号</w:t>
            </w:r>
            <w:r>
              <w:rPr>
                <w:rFonts w:hint="eastAsia" w:ascii="宋体" w:hAnsi="宋体"/>
                <w:color w:val="auto"/>
                <w:szCs w:val="24"/>
                <w:highlight w:val="none"/>
              </w:rPr>
              <w:t>理财产品</w:t>
            </w:r>
          </w:p>
        </w:tc>
      </w:tr>
      <w:tr w14:paraId="244944F2">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77256B07">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份额代码</w:t>
            </w:r>
          </w:p>
        </w:tc>
        <w:tc>
          <w:tcPr>
            <w:tcW w:w="6972" w:type="dxa"/>
            <w:tcBorders>
              <w:top w:val="single" w:color="auto" w:sz="4" w:space="0"/>
              <w:left w:val="single" w:color="auto" w:sz="4" w:space="0"/>
              <w:bottom w:val="single" w:color="auto" w:sz="4" w:space="0"/>
              <w:right w:val="single" w:color="auto" w:sz="4" w:space="0"/>
            </w:tcBorders>
            <w:vAlign w:val="center"/>
          </w:tcPr>
          <w:p w14:paraId="6D3DE1F2">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本产品根据投资者购买理财产品的金额、销售渠道、客户类型等因素设置不同的产品份额类别，各类产品份额可能分别设置不同的销售名称、</w:t>
            </w:r>
            <w:r>
              <w:rPr>
                <w:rFonts w:hint="eastAsia" w:ascii="宋体" w:hAnsi="宋体" w:cs="宋体"/>
                <w:color w:val="auto"/>
                <w:kern w:val="0"/>
                <w:szCs w:val="24"/>
                <w:highlight w:val="none"/>
                <w:lang w:eastAsia="zh-CN"/>
              </w:rPr>
              <w:t>份额</w:t>
            </w:r>
            <w:r>
              <w:rPr>
                <w:rFonts w:hint="eastAsia" w:ascii="宋体" w:hAnsi="宋体" w:cs="宋体"/>
                <w:color w:val="auto"/>
                <w:kern w:val="0"/>
                <w:szCs w:val="24"/>
                <w:highlight w:val="none"/>
              </w:rPr>
              <w:t>代码、销售渠道、销售</w:t>
            </w:r>
            <w:r>
              <w:rPr>
                <w:rFonts w:hint="eastAsia" w:ascii="宋体" w:hAnsi="宋体" w:cs="宋体"/>
                <w:color w:val="auto"/>
                <w:kern w:val="0"/>
                <w:szCs w:val="24"/>
                <w:highlight w:val="none"/>
                <w:lang w:eastAsia="zh-CN"/>
              </w:rPr>
              <w:t>对象</w:t>
            </w:r>
            <w:r>
              <w:rPr>
                <w:rFonts w:hint="eastAsia" w:ascii="宋体" w:hAnsi="宋体" w:cs="宋体"/>
                <w:color w:val="auto"/>
                <w:kern w:val="0"/>
                <w:szCs w:val="24"/>
                <w:highlight w:val="none"/>
              </w:rPr>
              <w:t>、销售服务费率、收费方式、业绩比较基准、</w:t>
            </w:r>
            <w:r>
              <w:rPr>
                <w:rFonts w:hint="eastAsia" w:ascii="宋体" w:hAnsi="宋体" w:cs="宋体"/>
                <w:color w:val="auto"/>
                <w:kern w:val="0"/>
                <w:szCs w:val="24"/>
                <w:highlight w:val="none"/>
                <w:lang w:eastAsia="zh-CN"/>
              </w:rPr>
              <w:t>起点销售</w:t>
            </w:r>
            <w:r>
              <w:rPr>
                <w:rFonts w:hint="eastAsia" w:ascii="宋体" w:hAnsi="宋体" w:cs="宋体"/>
                <w:color w:val="auto"/>
                <w:kern w:val="0"/>
                <w:szCs w:val="24"/>
                <w:highlight w:val="none"/>
              </w:rPr>
              <w:t>金额</w:t>
            </w:r>
            <w:r>
              <w:rPr>
                <w:rFonts w:hint="eastAsia" w:ascii="仿宋_GB2312" w:hAnsi="宋体" w:cs="宋体"/>
                <w:color w:val="auto"/>
                <w:kern w:val="0"/>
                <w:szCs w:val="24"/>
                <w:highlight w:val="none"/>
              </w:rPr>
              <w:t>及</w:t>
            </w:r>
            <w:r>
              <w:rPr>
                <w:rFonts w:hint="eastAsia" w:ascii="仿宋_GB2312" w:hAnsi="宋体" w:cs="宋体"/>
                <w:color w:val="auto"/>
                <w:kern w:val="0"/>
                <w:szCs w:val="24"/>
                <w:highlight w:val="none"/>
                <w:lang w:eastAsia="zh-CN"/>
              </w:rPr>
              <w:t>追加</w:t>
            </w:r>
            <w:r>
              <w:rPr>
                <w:rFonts w:hint="eastAsia" w:ascii="仿宋_GB2312" w:hAnsi="宋体" w:cs="宋体"/>
                <w:color w:val="auto"/>
                <w:kern w:val="0"/>
                <w:szCs w:val="24"/>
                <w:highlight w:val="none"/>
              </w:rPr>
              <w:t>递增金额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申购上限</w:t>
            </w:r>
            <w:r>
              <w:rPr>
                <w:rFonts w:ascii="宋体" w:hAnsi="宋体" w:cs="宋体"/>
                <w:color w:val="auto"/>
                <w:kern w:val="0"/>
                <w:szCs w:val="24"/>
                <w:highlight w:val="none"/>
              </w:rPr>
              <w:t>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申购和赎回数量限制、持有金额上/下限</w:t>
            </w:r>
            <w:r>
              <w:rPr>
                <w:rFonts w:hint="eastAsia"/>
                <w:color w:val="auto"/>
                <w:highlight w:val="none"/>
              </w:rPr>
              <w:t>、单一投资者持有份额占比上限、产品规模上限</w:t>
            </w:r>
            <w:r>
              <w:rPr>
                <w:rFonts w:hint="eastAsia" w:ascii="宋体" w:hAnsi="宋体" w:cs="宋体"/>
                <w:color w:val="auto"/>
                <w:kern w:val="0"/>
                <w:szCs w:val="24"/>
                <w:highlight w:val="none"/>
              </w:rPr>
              <w:t>等要素，并分别计算和公告各类产品份额单位净值，具体以对应的理财产品销售文件约定为准。</w:t>
            </w:r>
          </w:p>
          <w:p w14:paraId="05A42D9C">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投资者可根据实际情况自行选择认/申购的产品份额类别。</w:t>
            </w:r>
          </w:p>
          <w:p w14:paraId="6420466D">
            <w:pPr>
              <w:widowControl/>
              <w:spacing w:line="400" w:lineRule="exact"/>
              <w:jc w:val="left"/>
              <w:textAlignment w:val="center"/>
              <w:rPr>
                <w:rFonts w:hint="eastAsia" w:ascii="宋体" w:hAnsi="宋体" w:eastAsia="仿宋_GB2312" w:cstheme="minorBidi"/>
                <w:bCs w:val="0"/>
                <w:color w:val="auto"/>
                <w:kern w:val="2"/>
                <w:sz w:val="24"/>
                <w:szCs w:val="24"/>
                <w:highlight w:val="none"/>
                <w:u w:val="none"/>
                <w:lang w:bidi="ar"/>
              </w:rPr>
            </w:pPr>
            <w:r>
              <w:rPr>
                <w:rFonts w:hint="eastAsia" w:ascii="宋体" w:hAnsi="宋体" w:cs="宋体"/>
                <w:b/>
                <w:bCs/>
                <w:color w:val="auto"/>
                <w:kern w:val="0"/>
                <w:szCs w:val="24"/>
                <w:highlight w:val="none"/>
              </w:rPr>
              <w:t>产品管理人有权在本理财产品项下增设</w:t>
            </w:r>
            <w:r>
              <w:rPr>
                <w:rFonts w:hint="eastAsia" w:ascii="宋体" w:hAnsi="宋体" w:cs="宋体"/>
                <w:b/>
                <w:bCs/>
                <w:color w:val="auto"/>
                <w:kern w:val="0"/>
                <w:szCs w:val="24"/>
                <w:highlight w:val="none"/>
                <w:lang w:val="en-US" w:eastAsia="zh-CN"/>
              </w:rPr>
              <w:t>/终止</w:t>
            </w:r>
            <w:r>
              <w:rPr>
                <w:rFonts w:hint="eastAsia" w:ascii="宋体" w:hAnsi="宋体" w:cs="宋体"/>
                <w:b/>
                <w:bCs/>
                <w:color w:val="auto"/>
                <w:kern w:val="0"/>
                <w:szCs w:val="24"/>
                <w:highlight w:val="none"/>
              </w:rPr>
              <w:t>产品份额类别，届时，产品管理人将依据本理财产品销售文件的约定进行信息披露。</w:t>
            </w:r>
          </w:p>
          <w:p w14:paraId="248BD9E0">
            <w:pPr>
              <w:widowControl/>
              <w:spacing w:line="400" w:lineRule="exact"/>
              <w:jc w:val="both"/>
              <w:textAlignment w:val="center"/>
              <w:rPr>
                <w:rFonts w:hint="eastAsia" w:ascii="宋体" w:hAnsi="宋体" w:eastAsia="仿宋_GB2312" w:cstheme="minorBidi"/>
                <w:bCs w:val="0"/>
                <w:color w:val="auto"/>
                <w:kern w:val="2"/>
                <w:sz w:val="24"/>
                <w:szCs w:val="24"/>
                <w:highlight w:val="none"/>
                <w:u w:val="none"/>
                <w:lang w:eastAsia="zh-CN" w:bidi="ar"/>
              </w:rPr>
            </w:pPr>
            <w:r>
              <w:rPr>
                <w:rFonts w:hint="eastAsia" w:ascii="宋体" w:hAnsi="宋体" w:eastAsia="仿宋_GB2312" w:cstheme="minorBidi"/>
                <w:bCs w:val="0"/>
                <w:color w:val="auto"/>
                <w:kern w:val="2"/>
                <w:sz w:val="24"/>
                <w:szCs w:val="24"/>
                <w:highlight w:val="none"/>
                <w:u w:val="none"/>
                <w:lang w:bidi="ar"/>
              </w:rPr>
              <w:t>A类份额：份额代码</w:t>
            </w:r>
            <w:r>
              <w:rPr>
                <w:rFonts w:hint="eastAsia" w:ascii="宋体" w:hAnsi="宋体" w:cs="宋体"/>
                <w:color w:val="auto"/>
                <w:kern w:val="0"/>
                <w:szCs w:val="24"/>
                <w:highlight w:val="none"/>
              </w:rPr>
              <w:t>ZYYJG0013</w:t>
            </w:r>
            <w:r>
              <w:rPr>
                <w:rFonts w:hint="eastAsia" w:ascii="宋体" w:hAnsi="宋体" w:cstheme="minorBidi"/>
                <w:bCs w:val="0"/>
                <w:color w:val="auto"/>
                <w:kern w:val="2"/>
                <w:sz w:val="24"/>
                <w:szCs w:val="24"/>
                <w:highlight w:val="none"/>
                <w:u w:val="none"/>
                <w:lang w:eastAsia="zh-CN" w:bidi="ar"/>
              </w:rPr>
              <w:t>A；</w:t>
            </w:r>
          </w:p>
          <w:p w14:paraId="626F5F31">
            <w:pPr>
              <w:widowControl/>
              <w:spacing w:line="400" w:lineRule="exact"/>
              <w:jc w:val="both"/>
              <w:textAlignment w:val="center"/>
              <w:rPr>
                <w:rFonts w:hint="eastAsia" w:ascii="宋体" w:hAnsi="宋体" w:eastAsia="仿宋_GB2312" w:cstheme="minorBidi"/>
                <w:bCs w:val="0"/>
                <w:color w:val="auto"/>
                <w:kern w:val="2"/>
                <w:sz w:val="24"/>
                <w:szCs w:val="24"/>
                <w:highlight w:val="none"/>
                <w:u w:val="none"/>
                <w:lang w:val="en-US" w:eastAsia="zh-CN" w:bidi="ar"/>
              </w:rPr>
            </w:pPr>
            <w:r>
              <w:rPr>
                <w:rFonts w:hint="eastAsia" w:ascii="宋体" w:hAnsi="宋体" w:cstheme="minorBidi"/>
                <w:bCs w:val="0"/>
                <w:color w:val="auto"/>
                <w:kern w:val="2"/>
                <w:sz w:val="24"/>
                <w:szCs w:val="24"/>
                <w:highlight w:val="none"/>
                <w:u w:val="none"/>
                <w:lang w:val="en-US" w:eastAsia="zh-CN" w:bidi="ar"/>
              </w:rPr>
              <w:t>B</w:t>
            </w:r>
            <w:r>
              <w:rPr>
                <w:rFonts w:hint="eastAsia" w:ascii="宋体" w:hAnsi="宋体" w:eastAsia="仿宋_GB2312" w:cstheme="minorBidi"/>
                <w:bCs w:val="0"/>
                <w:color w:val="auto"/>
                <w:kern w:val="2"/>
                <w:sz w:val="24"/>
                <w:szCs w:val="24"/>
                <w:highlight w:val="none"/>
                <w:u w:val="none"/>
                <w:lang w:bidi="ar"/>
              </w:rPr>
              <w:t>类份额：份额代码</w:t>
            </w:r>
            <w:r>
              <w:rPr>
                <w:rFonts w:hint="eastAsia" w:ascii="宋体" w:hAnsi="宋体" w:cs="宋体"/>
                <w:color w:val="auto"/>
                <w:kern w:val="0"/>
                <w:szCs w:val="24"/>
                <w:highlight w:val="none"/>
              </w:rPr>
              <w:t>ZYYJG001</w:t>
            </w:r>
            <w:r>
              <w:rPr>
                <w:rFonts w:hint="eastAsia" w:ascii="宋体" w:hAnsi="宋体" w:cs="宋体"/>
                <w:color w:val="auto"/>
                <w:kern w:val="0"/>
                <w:szCs w:val="24"/>
                <w:highlight w:val="none"/>
                <w:lang w:val="en-US" w:eastAsia="zh-CN"/>
              </w:rPr>
              <w:t>3B；</w:t>
            </w:r>
          </w:p>
          <w:p w14:paraId="784497BE">
            <w:pPr>
              <w:widowControl/>
              <w:spacing w:line="400" w:lineRule="exact"/>
              <w:jc w:val="both"/>
              <w:textAlignment w:val="center"/>
              <w:rPr>
                <w:rFonts w:hint="eastAsia" w:ascii="宋体" w:hAnsi="宋体" w:eastAsia="仿宋_GB2312" w:cstheme="minorBidi"/>
                <w:bCs w:val="0"/>
                <w:color w:val="auto"/>
                <w:kern w:val="2"/>
                <w:sz w:val="24"/>
                <w:szCs w:val="24"/>
                <w:highlight w:val="none"/>
                <w:u w:val="none"/>
                <w:lang w:bidi="ar"/>
              </w:rPr>
            </w:pPr>
            <w:r>
              <w:rPr>
                <w:rFonts w:hint="eastAsia" w:ascii="宋体" w:hAnsi="宋体" w:eastAsia="仿宋_GB2312" w:cstheme="minorBidi"/>
                <w:bCs w:val="0"/>
                <w:color w:val="auto"/>
                <w:kern w:val="2"/>
                <w:sz w:val="24"/>
                <w:szCs w:val="24"/>
                <w:highlight w:val="none"/>
                <w:u w:val="none"/>
                <w:lang w:bidi="ar"/>
              </w:rPr>
              <w:t>C类份额：份额代码</w:t>
            </w:r>
            <w:r>
              <w:rPr>
                <w:rFonts w:hint="eastAsia" w:ascii="宋体" w:hAnsi="宋体"/>
                <w:color w:val="auto"/>
                <w:szCs w:val="24"/>
                <w:highlight w:val="none"/>
                <w:u w:val="none"/>
              </w:rPr>
              <w:t>ZYYJG0013C</w:t>
            </w:r>
          </w:p>
        </w:tc>
      </w:tr>
      <w:tr w14:paraId="4C34EEF9">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08FEF368">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发行机构名称</w:t>
            </w:r>
          </w:p>
        </w:tc>
        <w:tc>
          <w:tcPr>
            <w:tcW w:w="6972" w:type="dxa"/>
            <w:tcBorders>
              <w:top w:val="single" w:color="auto" w:sz="4" w:space="0"/>
              <w:left w:val="single" w:color="auto" w:sz="4" w:space="0"/>
              <w:bottom w:val="single" w:color="auto" w:sz="4" w:space="0"/>
              <w:right w:val="single" w:color="auto" w:sz="4" w:space="0"/>
            </w:tcBorders>
            <w:vAlign w:val="center"/>
          </w:tcPr>
          <w:p w14:paraId="086C1661">
            <w:pPr>
              <w:widowControl/>
              <w:spacing w:line="400" w:lineRule="exact"/>
              <w:jc w:val="left"/>
              <w:textAlignment w:val="center"/>
              <w:rPr>
                <w:rFonts w:hint="eastAsia" w:ascii="仿宋_GB2312" w:hAnsi="等线" w:eastAsia="仿宋_GB2312" w:cs="仿宋_GB2312"/>
                <w:bCs/>
                <w:color w:val="auto"/>
                <w:sz w:val="24"/>
                <w:highlight w:val="none"/>
              </w:rPr>
            </w:pPr>
            <w:r>
              <w:rPr>
                <w:rFonts w:hint="eastAsia" w:ascii="宋体" w:hAnsi="宋体" w:cs="宋体"/>
                <w:color w:val="auto"/>
                <w:kern w:val="0"/>
                <w:szCs w:val="24"/>
                <w:highlight w:val="none"/>
                <w:u w:val="none"/>
              </w:rPr>
              <w:t>浙银理财有限责任公司</w:t>
            </w:r>
          </w:p>
        </w:tc>
      </w:tr>
      <w:tr w14:paraId="2EAABB60">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7CB1CA13">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销售机构名称</w:t>
            </w:r>
          </w:p>
        </w:tc>
        <w:tc>
          <w:tcPr>
            <w:tcW w:w="6972" w:type="dxa"/>
            <w:tcBorders>
              <w:top w:val="single" w:color="auto" w:sz="4" w:space="0"/>
              <w:left w:val="single" w:color="auto" w:sz="4" w:space="0"/>
              <w:bottom w:val="single" w:color="auto" w:sz="4" w:space="0"/>
              <w:right w:val="single" w:color="auto" w:sz="4" w:space="0"/>
            </w:tcBorders>
            <w:vAlign w:val="center"/>
          </w:tcPr>
          <w:p w14:paraId="4B4D8215">
            <w:pPr>
              <w:widowControl/>
              <w:spacing w:line="400" w:lineRule="exact"/>
              <w:jc w:val="left"/>
              <w:textAlignment w:val="center"/>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浙江桐乡农村商业银行股份有限公司：</w:t>
            </w:r>
            <w:r>
              <w:rPr>
                <w:rFonts w:hint="eastAsia" w:ascii="宋体" w:hAnsi="宋体" w:cs="宋体"/>
                <w:color w:val="auto"/>
                <w:kern w:val="0"/>
                <w:szCs w:val="24"/>
                <w:highlight w:val="none"/>
              </w:rPr>
              <w:t>ZYYJG0013A</w:t>
            </w:r>
          </w:p>
          <w:p w14:paraId="05A38572">
            <w:pPr>
              <w:widowControl/>
              <w:spacing w:line="400" w:lineRule="exact"/>
              <w:jc w:val="left"/>
              <w:textAlignment w:val="center"/>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rPr>
              <w:t>浙江禾城农村商业银行股份有限公司</w:t>
            </w:r>
            <w:r>
              <w:rPr>
                <w:rFonts w:hint="eastAsia" w:ascii="宋体" w:hAnsi="宋体" w:cs="宋体"/>
                <w:color w:val="auto"/>
                <w:kern w:val="0"/>
                <w:szCs w:val="24"/>
                <w:highlight w:val="none"/>
                <w:lang w:val="en-US" w:eastAsia="zh-CN"/>
              </w:rPr>
              <w:t>：</w:t>
            </w:r>
            <w:r>
              <w:rPr>
                <w:rFonts w:hint="eastAsia" w:ascii="宋体" w:hAnsi="宋体" w:cs="宋体"/>
                <w:color w:val="auto"/>
                <w:kern w:val="0"/>
                <w:szCs w:val="24"/>
                <w:highlight w:val="none"/>
              </w:rPr>
              <w:t>ZYYJG001</w:t>
            </w:r>
            <w:r>
              <w:rPr>
                <w:rFonts w:hint="eastAsia" w:ascii="宋体" w:hAnsi="宋体" w:cs="宋体"/>
                <w:color w:val="auto"/>
                <w:kern w:val="0"/>
                <w:szCs w:val="24"/>
                <w:highlight w:val="none"/>
                <w:lang w:val="en-US" w:eastAsia="zh-CN"/>
              </w:rPr>
              <w:t>3A</w:t>
            </w:r>
          </w:p>
          <w:p w14:paraId="2984CD3A">
            <w:pPr>
              <w:widowControl/>
              <w:spacing w:line="400" w:lineRule="exact"/>
              <w:jc w:val="left"/>
              <w:textAlignment w:val="center"/>
              <w:rPr>
                <w:rFonts w:hint="default" w:ascii="宋体" w:hAnsi="宋体"/>
                <w:color w:val="auto"/>
                <w:szCs w:val="24"/>
                <w:highlight w:val="none"/>
                <w:u w:val="none"/>
                <w:lang w:val="en-US" w:eastAsia="zh-CN"/>
              </w:rPr>
            </w:pPr>
            <w:r>
              <w:rPr>
                <w:rFonts w:hint="eastAsia" w:ascii="宋体" w:hAnsi="宋体" w:cs="宋体"/>
                <w:color w:val="auto"/>
                <w:kern w:val="0"/>
                <w:szCs w:val="24"/>
                <w:highlight w:val="none"/>
                <w:lang w:val="en-US" w:eastAsia="zh-CN"/>
              </w:rPr>
              <w:t>浙江玉环农村商业银行股份有限公司：</w:t>
            </w:r>
            <w:r>
              <w:rPr>
                <w:rFonts w:hint="eastAsia" w:ascii="宋体" w:hAnsi="宋体" w:cs="宋体"/>
                <w:color w:val="auto"/>
                <w:kern w:val="0"/>
                <w:szCs w:val="24"/>
                <w:highlight w:val="none"/>
              </w:rPr>
              <w:t>ZYYJG001</w:t>
            </w:r>
            <w:r>
              <w:rPr>
                <w:rFonts w:hint="eastAsia" w:ascii="宋体" w:hAnsi="宋体" w:cs="宋体"/>
                <w:color w:val="auto"/>
                <w:kern w:val="0"/>
                <w:szCs w:val="24"/>
                <w:highlight w:val="none"/>
                <w:lang w:val="en-US" w:eastAsia="zh-CN"/>
              </w:rPr>
              <w:t>3A</w:t>
            </w:r>
          </w:p>
          <w:p w14:paraId="07B21355">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浙江丽水莲都农村商业银行股份有限公司：ZYYJG0013A</w:t>
            </w:r>
          </w:p>
          <w:p w14:paraId="658DE023">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浙江青田农村商业银行股份有限公司：ZYYJG0013A</w:t>
            </w:r>
          </w:p>
          <w:p w14:paraId="5D588FBD">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浙江遂昌农村商业银行股份有限公司：ZYYJG0013A</w:t>
            </w:r>
          </w:p>
          <w:p w14:paraId="0799F4DC">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浙江临海农村商业银行股份有限公司：ZYYJG0013A</w:t>
            </w:r>
          </w:p>
          <w:p w14:paraId="261B76DB">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浙江长兴农村商业银行股份有限公司：ZYYJG0013A</w:t>
            </w:r>
          </w:p>
          <w:p w14:paraId="320EBF1F">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浙江省平湖农村商业银行股份有限公司：ZYYJG0013A</w:t>
            </w:r>
          </w:p>
          <w:p w14:paraId="4868E231">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浙江嘉善农村商业银行股份有限公司：ZYYJG0013A</w:t>
            </w:r>
          </w:p>
          <w:p w14:paraId="6466F17D">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浙江台州椒江农村商业银行股份有限公司：ZYYJG0013A</w:t>
            </w:r>
          </w:p>
          <w:p w14:paraId="4BD17FC4">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浙江海盐农村商业银行股份有限公司：ZYYJG0013A</w:t>
            </w:r>
          </w:p>
          <w:p w14:paraId="52D22123">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浙江上虞农村商业银行股份有限公司：ZYYJG0013A</w:t>
            </w:r>
          </w:p>
          <w:p w14:paraId="7307F542">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浙江松阳农村商业银行股份有限公司：ZYYJG0013A</w:t>
            </w:r>
          </w:p>
          <w:p w14:paraId="051D43FE">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宁波北仑农村商业银行股份有限公司：ZYYJG0013A</w:t>
            </w:r>
          </w:p>
          <w:p w14:paraId="5711DC91">
            <w:pPr>
              <w:widowControl/>
              <w:spacing w:line="400" w:lineRule="exact"/>
              <w:jc w:val="left"/>
              <w:textAlignment w:val="center"/>
              <w:rPr>
                <w:rFonts w:hint="eastAsia" w:ascii="宋体" w:hAnsi="宋体" w:eastAsia="仿宋_GB2312" w:cs="宋体"/>
                <w:color w:val="auto"/>
                <w:kern w:val="0"/>
                <w:sz w:val="24"/>
                <w:szCs w:val="24"/>
                <w:highlight w:val="none"/>
                <w:lang w:val="en-US" w:eastAsia="zh-CN" w:bidi="ar"/>
              </w:rPr>
            </w:pPr>
            <w:r>
              <w:rPr>
                <w:rFonts w:hint="eastAsia" w:ascii="宋体" w:hAnsi="宋体" w:eastAsia="仿宋_GB2312" w:cs="宋体"/>
                <w:color w:val="auto"/>
                <w:kern w:val="0"/>
                <w:sz w:val="24"/>
                <w:szCs w:val="24"/>
                <w:highlight w:val="none"/>
                <w:lang w:val="en-US" w:eastAsia="zh-CN" w:bidi="ar"/>
              </w:rPr>
              <w:t>浙江桐庐农村商业银行股份有限公司：ZYYJG0013A</w:t>
            </w:r>
          </w:p>
          <w:p w14:paraId="263EE345">
            <w:pPr>
              <w:widowControl/>
              <w:spacing w:line="400" w:lineRule="exact"/>
              <w:jc w:val="left"/>
              <w:textAlignment w:val="center"/>
              <w:rPr>
                <w:rFonts w:hint="eastAsia" w:ascii="宋体" w:hAnsi="宋体" w:eastAsia="仿宋_GB2312"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宁波奉化</w:t>
            </w:r>
            <w:r>
              <w:rPr>
                <w:rFonts w:hint="eastAsia" w:ascii="宋体" w:hAnsi="宋体" w:eastAsia="仿宋_GB2312" w:cs="宋体"/>
                <w:color w:val="auto"/>
                <w:kern w:val="0"/>
                <w:sz w:val="24"/>
                <w:szCs w:val="24"/>
                <w:highlight w:val="none"/>
                <w:lang w:val="en-US" w:eastAsia="zh-CN" w:bidi="ar"/>
              </w:rPr>
              <w:t>农村商业银行股份有限公司：ZYYJG0013A</w:t>
            </w:r>
          </w:p>
          <w:p w14:paraId="1D262BB1">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浙江萧山农村商业银行股份有限公司：ZYYJG0013B</w:t>
            </w:r>
          </w:p>
          <w:p w14:paraId="7EC6E98B">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浙江德清农村商业银行股份有限公司：ZYYJG0013B</w:t>
            </w:r>
          </w:p>
          <w:p w14:paraId="4269D51E">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浙江禾城农村商业银行股份有限公司：ZYYJG0013B</w:t>
            </w:r>
          </w:p>
          <w:p w14:paraId="238A95E1">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浙江海宁农村商业银行股份有限公司：ZYYJG0013B</w:t>
            </w:r>
          </w:p>
          <w:p w14:paraId="41E7C69F">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浙江温州龙湾农村商业银行股份有限公司：ZYYJG0013B</w:t>
            </w:r>
          </w:p>
          <w:p w14:paraId="60A75B6F">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浙江磐安农村商业银行股份有限公司：ZYYJG0013B</w:t>
            </w:r>
          </w:p>
          <w:p w14:paraId="67DDE9E5">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浙江南浔农村商业银行股份有限公司：ZYYJG0013B</w:t>
            </w:r>
          </w:p>
          <w:p w14:paraId="3B5902D5">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浙江诸暨农村商业银行股份有限公司：ZYYJG0013B</w:t>
            </w:r>
          </w:p>
          <w:p w14:paraId="0DE60990">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浙江衢州柯城农村商业银行股份有限公司：ZYYJG0013B</w:t>
            </w:r>
          </w:p>
          <w:p w14:paraId="70BD9E2F">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浙江东阳农村商业银行股份有限公司：ZYYJG0013B</w:t>
            </w:r>
          </w:p>
          <w:p w14:paraId="3B5638D7">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浙江嵊泗农村商业银行股份有限公司：ZYYJG0013B</w:t>
            </w:r>
          </w:p>
          <w:p w14:paraId="0B7904C4">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浙江舟山定海海洋农村商业银行股份有限公司：ZYYJG0013B</w:t>
            </w:r>
          </w:p>
          <w:p w14:paraId="02AC8A21">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浙江临安农村商业银行股份有限公司：ZYYJG0013B</w:t>
            </w:r>
          </w:p>
          <w:p w14:paraId="59629D26">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浙江绍兴瑞丰农村商业银行股份有限公司：ZYYJG0013B</w:t>
            </w:r>
          </w:p>
          <w:p w14:paraId="1163517B">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浙江嘉善农村商业银行股份有限公司：ZYYJG0013B</w:t>
            </w:r>
          </w:p>
          <w:p w14:paraId="6F278C86">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浙江浦江农村商业银行股份有限公司：ZYYJG0013B</w:t>
            </w:r>
          </w:p>
          <w:p w14:paraId="5AE106A8">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浙江衢州衢江农村商业银行股份有限公司：ZYYJG0013B</w:t>
            </w:r>
          </w:p>
          <w:p w14:paraId="0902C413">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浙江龙泉农村商业银行股份有限公司：ZYYJG0013B</w:t>
            </w:r>
          </w:p>
          <w:p w14:paraId="46CC7D55">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浙江萧山农村商业银行股份有限公司：ZYYJG0013C</w:t>
            </w:r>
          </w:p>
          <w:p w14:paraId="184227CA">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eastAsia="仿宋_GB2312" w:cs="宋体"/>
                <w:color w:val="auto"/>
                <w:kern w:val="0"/>
                <w:sz w:val="24"/>
                <w:szCs w:val="24"/>
                <w:highlight w:val="none"/>
                <w:lang w:val="en-US" w:eastAsia="zh-CN" w:bidi="ar"/>
              </w:rPr>
              <w:t>后续销售机构如有新增、减少和变更，以</w:t>
            </w:r>
            <w:r>
              <w:rPr>
                <w:rFonts w:hint="eastAsia" w:ascii="宋体" w:hAnsi="宋体" w:cs="宋体"/>
                <w:color w:val="auto"/>
                <w:kern w:val="0"/>
                <w:sz w:val="24"/>
                <w:szCs w:val="24"/>
                <w:highlight w:val="none"/>
                <w:lang w:val="en-US" w:eastAsia="zh-CN" w:bidi="ar"/>
              </w:rPr>
              <w:t>产品</w:t>
            </w:r>
            <w:r>
              <w:rPr>
                <w:rFonts w:hint="eastAsia" w:ascii="宋体" w:hAnsi="宋体" w:eastAsia="仿宋_GB2312" w:cs="宋体"/>
                <w:color w:val="auto"/>
                <w:kern w:val="0"/>
                <w:sz w:val="24"/>
                <w:szCs w:val="24"/>
                <w:highlight w:val="none"/>
                <w:lang w:val="en-US" w:eastAsia="zh-CN" w:bidi="ar"/>
              </w:rPr>
              <w:t>管理人信息披露为准。</w:t>
            </w:r>
          </w:p>
        </w:tc>
      </w:tr>
      <w:tr w14:paraId="1B79C99F">
        <w:tblPrEx>
          <w:tblCellMar>
            <w:top w:w="0" w:type="dxa"/>
            <w:left w:w="108" w:type="dxa"/>
            <w:bottom w:w="0" w:type="dxa"/>
            <w:right w:w="108" w:type="dxa"/>
          </w:tblCellMar>
        </w:tblPrEx>
        <w:trPr>
          <w:trHeight w:val="600" w:hRule="atLeast"/>
        </w:trPr>
        <w:tc>
          <w:tcPr>
            <w:tcW w:w="2453" w:type="dxa"/>
            <w:tcBorders>
              <w:top w:val="single" w:color="auto" w:sz="4" w:space="0"/>
              <w:left w:val="single" w:color="auto" w:sz="4" w:space="0"/>
              <w:bottom w:val="single" w:color="auto" w:sz="4" w:space="0"/>
              <w:right w:val="single" w:color="auto" w:sz="4" w:space="0"/>
            </w:tcBorders>
            <w:vAlign w:val="center"/>
          </w:tcPr>
          <w:p w14:paraId="00F80AA7">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境内托管机构名称</w:t>
            </w:r>
          </w:p>
        </w:tc>
        <w:tc>
          <w:tcPr>
            <w:tcW w:w="6972" w:type="dxa"/>
            <w:tcBorders>
              <w:top w:val="single" w:color="auto" w:sz="4" w:space="0"/>
              <w:left w:val="single" w:color="auto" w:sz="4" w:space="0"/>
              <w:bottom w:val="single" w:color="auto" w:sz="4" w:space="0"/>
              <w:right w:val="single" w:color="auto" w:sz="4" w:space="0"/>
            </w:tcBorders>
            <w:vAlign w:val="center"/>
          </w:tcPr>
          <w:p w14:paraId="283932A8">
            <w:pPr>
              <w:widowControl/>
              <w:spacing w:line="400" w:lineRule="exact"/>
              <w:jc w:val="left"/>
              <w:textAlignment w:val="center"/>
              <w:rPr>
                <w:rFonts w:hint="eastAsia" w:ascii="仿宋_GB2312" w:hAnsi="等线" w:eastAsia="仿宋_GB2312" w:cs="仿宋_GB2312"/>
                <w:bCs/>
                <w:color w:val="auto"/>
                <w:sz w:val="24"/>
                <w:highlight w:val="none"/>
                <w:lang w:eastAsia="zh-CN"/>
              </w:rPr>
            </w:pPr>
            <w:r>
              <w:rPr>
                <w:rFonts w:hint="eastAsia" w:ascii="宋体" w:hAnsi="宋体" w:cs="宋体"/>
                <w:color w:val="auto"/>
                <w:kern w:val="0"/>
                <w:szCs w:val="24"/>
                <w:highlight w:val="none"/>
                <w:lang w:val="en-US" w:eastAsia="zh-CN"/>
              </w:rPr>
              <w:t>浙商银行股份有限公司</w:t>
            </w:r>
          </w:p>
        </w:tc>
      </w:tr>
      <w:tr w14:paraId="7D3487B8">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shd w:val="clear" w:color="auto" w:fill="auto"/>
            <w:vAlign w:val="center"/>
          </w:tcPr>
          <w:p w14:paraId="6AF6AC8D">
            <w:pPr>
              <w:widowControl/>
              <w:spacing w:line="400" w:lineRule="exact"/>
              <w:jc w:val="center"/>
              <w:textAlignment w:val="center"/>
              <w:rPr>
                <w:rFonts w:hint="eastAsia" w:ascii="仿宋_GB2312" w:hAnsi="等线" w:eastAsia="仿宋_GB2312" w:cs="仿宋_GB2312"/>
                <w:color w:val="auto"/>
                <w:kern w:val="2"/>
                <w:sz w:val="24"/>
                <w:szCs w:val="22"/>
                <w:highlight w:val="none"/>
                <w:lang w:val="en-US" w:eastAsia="zh-CN" w:bidi="ar-SA"/>
              </w:rPr>
            </w:pPr>
            <w:r>
              <w:rPr>
                <w:rFonts w:hint="eastAsia" w:ascii="仿宋_GB2312" w:hAnsi="等线" w:cs="仿宋_GB2312"/>
                <w:color w:val="auto"/>
                <w:kern w:val="0"/>
                <w:sz w:val="24"/>
                <w:highlight w:val="none"/>
                <w:lang w:eastAsia="zh-CN" w:bidi="ar"/>
              </w:rPr>
              <w:t>投资者范围</w:t>
            </w:r>
          </w:p>
        </w:tc>
        <w:tc>
          <w:tcPr>
            <w:tcW w:w="6972" w:type="dxa"/>
            <w:tcBorders>
              <w:top w:val="single" w:color="auto" w:sz="4" w:space="0"/>
              <w:left w:val="single" w:color="auto" w:sz="4" w:space="0"/>
              <w:bottom w:val="single" w:color="auto" w:sz="4" w:space="0"/>
              <w:right w:val="single" w:color="auto" w:sz="4" w:space="0"/>
            </w:tcBorders>
            <w:shd w:val="clear" w:color="auto" w:fill="auto"/>
            <w:vAlign w:val="center"/>
          </w:tcPr>
          <w:p w14:paraId="3F351ADA">
            <w:pPr>
              <w:snapToGrid w:val="0"/>
              <w:rPr>
                <w:rFonts w:ascii="宋体" w:hAnsi="宋体"/>
                <w:color w:val="auto"/>
                <w:szCs w:val="24"/>
                <w:highlight w:val="none"/>
                <w:u w:val="none"/>
              </w:rPr>
            </w:pPr>
            <w:r>
              <w:rPr>
                <w:rFonts w:hint="eastAsia" w:ascii="宋体" w:hAnsi="宋体"/>
                <w:color w:val="auto"/>
                <w:szCs w:val="24"/>
                <w:highlight w:val="none"/>
                <w:u w:val="none"/>
              </w:rPr>
              <w:t>不特定社会公众（个人、机构投资者）；其中，普通投资者应符合相关法律法规、监管规定，经销售机构评估评定投资者风险承受能力与本产品风险等级相适应。</w:t>
            </w:r>
          </w:p>
          <w:p w14:paraId="3704ECF3">
            <w:pPr>
              <w:widowControl/>
              <w:spacing w:line="400" w:lineRule="exact"/>
              <w:jc w:val="left"/>
              <w:textAlignment w:val="center"/>
              <w:rPr>
                <w:rFonts w:hint="eastAsia" w:ascii="仿宋_GB2312" w:hAnsi="等线" w:eastAsia="仿宋_GB2312" w:cs="仿宋_GB2312"/>
                <w:bCs/>
                <w:color w:val="auto"/>
                <w:kern w:val="2"/>
                <w:sz w:val="24"/>
                <w:szCs w:val="22"/>
                <w:highlight w:val="none"/>
                <w:lang w:val="en-US" w:eastAsia="zh-CN" w:bidi="ar-SA"/>
              </w:rPr>
            </w:pPr>
            <w:r>
              <w:rPr>
                <w:rFonts w:hint="eastAsia" w:ascii="宋体" w:hAnsi="宋体"/>
                <w:color w:val="auto"/>
                <w:szCs w:val="24"/>
                <w:highlight w:val="none"/>
                <w:u w:val="none"/>
              </w:rPr>
              <w:t>本产品通过销售机构销售的，产品风险等级应当以销售机构最终披露的评级结果为准。</w:t>
            </w:r>
          </w:p>
        </w:tc>
      </w:tr>
      <w:tr w14:paraId="665E03AE">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1839E290">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销售对象</w:t>
            </w:r>
          </w:p>
        </w:tc>
        <w:tc>
          <w:tcPr>
            <w:tcW w:w="6972" w:type="dxa"/>
            <w:tcBorders>
              <w:top w:val="single" w:color="auto" w:sz="4" w:space="0"/>
              <w:left w:val="single" w:color="auto" w:sz="4" w:space="0"/>
              <w:bottom w:val="single" w:color="auto" w:sz="4" w:space="0"/>
              <w:right w:val="single" w:color="auto" w:sz="4" w:space="0"/>
            </w:tcBorders>
            <w:vAlign w:val="center"/>
          </w:tcPr>
          <w:p w14:paraId="42AA5D2F">
            <w:pPr>
              <w:widowControl/>
              <w:spacing w:line="400" w:lineRule="exact"/>
              <w:jc w:val="left"/>
              <w:textAlignment w:val="center"/>
              <w:rPr>
                <w:rFonts w:hint="eastAsia" w:ascii="宋体" w:hAnsi="宋体" w:cs="宋体"/>
                <w:color w:val="auto"/>
                <w:kern w:val="0"/>
                <w:szCs w:val="24"/>
                <w:highlight w:val="none"/>
                <w:lang w:eastAsia="zh-CN"/>
              </w:rPr>
            </w:pPr>
            <w:r>
              <w:rPr>
                <w:rFonts w:hint="eastAsia" w:ascii="宋体" w:hAnsi="宋体" w:cs="宋体"/>
                <w:color w:val="auto"/>
                <w:kern w:val="0"/>
                <w:szCs w:val="24"/>
                <w:highlight w:val="none"/>
                <w:lang w:eastAsia="zh-CN"/>
              </w:rPr>
              <w:t>个人、机构客户</w:t>
            </w:r>
          </w:p>
        </w:tc>
      </w:tr>
      <w:tr w14:paraId="56BC4305">
        <w:tblPrEx>
          <w:tblCellMar>
            <w:top w:w="0" w:type="dxa"/>
            <w:left w:w="108" w:type="dxa"/>
            <w:bottom w:w="0" w:type="dxa"/>
            <w:right w:w="108" w:type="dxa"/>
          </w:tblCellMar>
        </w:tblPrEx>
        <w:trPr>
          <w:trHeight w:val="38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484DB216">
            <w:pPr>
              <w:widowControl/>
              <w:spacing w:line="400" w:lineRule="exact"/>
              <w:jc w:val="center"/>
              <w:textAlignment w:val="center"/>
              <w:rPr>
                <w:rFonts w:hint="eastAsia" w:ascii="楷体_GB2312" w:hAnsi="等线" w:eastAsia="楷体_GB2312" w:cs="楷体_GB2312"/>
                <w:b/>
                <w:bCs/>
                <w:color w:val="auto"/>
                <w:sz w:val="24"/>
                <w:highlight w:val="none"/>
              </w:rPr>
            </w:pPr>
            <w:r>
              <w:rPr>
                <w:rFonts w:hint="eastAsia" w:ascii="楷体_GB2312" w:hAnsi="等线" w:eastAsia="楷体_GB2312" w:cs="楷体_GB2312"/>
                <w:b/>
                <w:bCs/>
                <w:color w:val="auto"/>
                <w:kern w:val="0"/>
                <w:sz w:val="24"/>
                <w:highlight w:val="none"/>
                <w:lang w:bidi="ar"/>
              </w:rPr>
              <w:t>（二）交易规则</w:t>
            </w:r>
          </w:p>
        </w:tc>
      </w:tr>
      <w:tr w14:paraId="1A6B6F7F">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691ADA8C">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募集币种</w:t>
            </w:r>
          </w:p>
        </w:tc>
        <w:tc>
          <w:tcPr>
            <w:tcW w:w="6972" w:type="dxa"/>
            <w:tcBorders>
              <w:top w:val="single" w:color="auto" w:sz="4" w:space="0"/>
              <w:left w:val="single" w:color="auto" w:sz="4" w:space="0"/>
              <w:bottom w:val="single" w:color="auto" w:sz="4" w:space="0"/>
              <w:right w:val="single" w:color="auto" w:sz="4" w:space="0"/>
            </w:tcBorders>
            <w:vAlign w:val="center"/>
          </w:tcPr>
          <w:p w14:paraId="6438DB22">
            <w:pPr>
              <w:widowControl/>
              <w:spacing w:line="400" w:lineRule="exact"/>
              <w:jc w:val="left"/>
              <w:textAlignment w:val="center"/>
              <w:rPr>
                <w:rFonts w:hint="eastAsia" w:ascii="仿宋_GB2312" w:hAnsi="等线" w:eastAsia="仿宋_GB2312" w:cs="仿宋_GB2312"/>
                <w:bCs/>
                <w:color w:val="auto"/>
                <w:sz w:val="24"/>
                <w:highlight w:val="none"/>
                <w:lang w:eastAsia="zh-CN"/>
              </w:rPr>
            </w:pPr>
            <w:r>
              <w:rPr>
                <w:rFonts w:hint="eastAsia" w:ascii="宋体" w:hAnsi="宋体" w:eastAsia="仿宋_GB2312" w:cstheme="minorBidi"/>
                <w:bCs w:val="0"/>
                <w:color w:val="auto"/>
                <w:kern w:val="2"/>
                <w:sz w:val="24"/>
                <w:szCs w:val="24"/>
                <w:highlight w:val="none"/>
                <w:u w:val="none"/>
                <w:lang w:eastAsia="zh-CN" w:bidi="ar"/>
              </w:rPr>
              <w:t>人民币</w:t>
            </w:r>
          </w:p>
        </w:tc>
      </w:tr>
      <w:tr w14:paraId="05B7029C">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36F3BA98">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起点销售金额</w:t>
            </w:r>
          </w:p>
        </w:tc>
        <w:tc>
          <w:tcPr>
            <w:tcW w:w="6972" w:type="dxa"/>
            <w:tcBorders>
              <w:top w:val="single" w:color="auto" w:sz="4" w:space="0"/>
              <w:left w:val="single" w:color="auto" w:sz="4" w:space="0"/>
              <w:bottom w:val="single" w:color="auto" w:sz="4" w:space="0"/>
              <w:right w:val="single" w:color="auto" w:sz="4" w:space="0"/>
            </w:tcBorders>
            <w:vAlign w:val="center"/>
          </w:tcPr>
          <w:p w14:paraId="08A171D0">
            <w:pPr>
              <w:widowControl/>
              <w:spacing w:line="400" w:lineRule="exact"/>
              <w:jc w:val="left"/>
              <w:textAlignment w:val="center"/>
              <w:rPr>
                <w:rFonts w:hint="default" w:ascii="宋体" w:hAnsi="宋体"/>
                <w:color w:val="auto"/>
                <w:szCs w:val="24"/>
                <w:highlight w:val="none"/>
                <w:u w:val="none"/>
                <w:lang w:val="en-US" w:eastAsia="zh-CN"/>
              </w:rPr>
            </w:pPr>
            <w:r>
              <w:rPr>
                <w:rFonts w:hint="eastAsia" w:ascii="宋体" w:hAnsi="宋体" w:cs="宋体"/>
                <w:color w:val="auto"/>
                <w:kern w:val="0"/>
                <w:szCs w:val="24"/>
                <w:highlight w:val="none"/>
              </w:rPr>
              <w:t>ZYYJG0013</w:t>
            </w:r>
            <w:r>
              <w:rPr>
                <w:rFonts w:hint="eastAsia" w:ascii="宋体" w:hAnsi="宋体"/>
                <w:color w:val="auto"/>
                <w:szCs w:val="24"/>
                <w:highlight w:val="none"/>
                <w:u w:val="none"/>
                <w:lang w:val="en-US" w:eastAsia="zh-CN"/>
              </w:rPr>
              <w:t>A：1元</w:t>
            </w:r>
          </w:p>
          <w:p w14:paraId="40536FB6">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cs="宋体"/>
                <w:color w:val="auto"/>
                <w:kern w:val="0"/>
                <w:szCs w:val="24"/>
                <w:highlight w:val="none"/>
              </w:rPr>
              <w:t>ZYYJG001</w:t>
            </w:r>
            <w:r>
              <w:rPr>
                <w:rFonts w:hint="eastAsia" w:ascii="宋体" w:hAnsi="宋体" w:cs="宋体"/>
                <w:color w:val="auto"/>
                <w:kern w:val="0"/>
                <w:szCs w:val="24"/>
                <w:highlight w:val="none"/>
                <w:lang w:val="en-US" w:eastAsia="zh-CN"/>
              </w:rPr>
              <w:t>3B</w:t>
            </w:r>
            <w:r>
              <w:rPr>
                <w:rFonts w:hint="eastAsia" w:ascii="宋体" w:hAnsi="宋体"/>
                <w:color w:val="auto"/>
                <w:szCs w:val="24"/>
                <w:highlight w:val="none"/>
                <w:u w:val="none"/>
                <w:lang w:val="en-US" w:eastAsia="zh-CN"/>
              </w:rPr>
              <w:t>：1元</w:t>
            </w:r>
          </w:p>
          <w:p w14:paraId="0B30AF2C">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rPr>
              <w:t>ZYYJG0013C</w:t>
            </w:r>
            <w:r>
              <w:rPr>
                <w:rFonts w:hint="eastAsia" w:ascii="宋体" w:hAnsi="宋体"/>
                <w:color w:val="auto"/>
                <w:szCs w:val="24"/>
                <w:highlight w:val="none"/>
                <w:u w:val="none"/>
                <w:lang w:val="en-US" w:eastAsia="zh-CN"/>
              </w:rPr>
              <w:t>：1元</w:t>
            </w:r>
          </w:p>
          <w:p w14:paraId="730B85BF">
            <w:pPr>
              <w:widowControl/>
              <w:spacing w:line="400" w:lineRule="exact"/>
              <w:jc w:val="left"/>
              <w:textAlignment w:val="center"/>
              <w:rPr>
                <w:rFonts w:hint="default" w:ascii="宋体" w:hAnsi="宋体"/>
                <w:color w:val="auto"/>
                <w:szCs w:val="24"/>
                <w:highlight w:val="none"/>
                <w:u w:val="none"/>
                <w:lang w:val="en-US" w:eastAsia="zh-CN"/>
              </w:rPr>
            </w:pPr>
            <w:r>
              <w:rPr>
                <w:rFonts w:hint="eastAsia" w:ascii="宋体" w:hAnsi="宋体"/>
                <w:b/>
                <w:color w:val="auto"/>
                <w:szCs w:val="24"/>
                <w:highlight w:val="none"/>
                <w:u w:val="none"/>
              </w:rPr>
              <w:t>管理人有权以公告形式调整投资者起点</w:t>
            </w:r>
            <w:r>
              <w:rPr>
                <w:rFonts w:hint="eastAsia" w:ascii="宋体" w:hAnsi="宋体"/>
                <w:b/>
                <w:color w:val="auto"/>
                <w:szCs w:val="24"/>
                <w:highlight w:val="none"/>
                <w:u w:val="none"/>
                <w:lang w:eastAsia="zh-CN"/>
              </w:rPr>
              <w:t>销售</w:t>
            </w:r>
            <w:r>
              <w:rPr>
                <w:rFonts w:hint="eastAsia" w:ascii="宋体" w:hAnsi="宋体"/>
                <w:b/>
                <w:color w:val="auto"/>
                <w:szCs w:val="24"/>
                <w:highlight w:val="none"/>
                <w:u w:val="none"/>
              </w:rPr>
              <w:t>金额。销售机构的认购、申购起点</w:t>
            </w:r>
            <w:r>
              <w:rPr>
                <w:rFonts w:hint="eastAsia" w:ascii="宋体" w:hAnsi="宋体"/>
                <w:b/>
                <w:color w:val="auto"/>
                <w:szCs w:val="24"/>
                <w:highlight w:val="none"/>
                <w:u w:val="none"/>
                <w:lang w:eastAsia="zh-CN"/>
              </w:rPr>
              <w:t>销售</w:t>
            </w:r>
            <w:r>
              <w:rPr>
                <w:rFonts w:hint="eastAsia" w:ascii="宋体" w:hAnsi="宋体"/>
                <w:b/>
                <w:color w:val="auto"/>
                <w:szCs w:val="24"/>
                <w:highlight w:val="none"/>
                <w:u w:val="none"/>
              </w:rPr>
              <w:t>金额可能</w:t>
            </w:r>
            <w:r>
              <w:rPr>
                <w:rFonts w:ascii="宋体" w:hAnsi="宋体"/>
                <w:b/>
                <w:color w:val="auto"/>
                <w:szCs w:val="24"/>
                <w:highlight w:val="none"/>
                <w:u w:val="none"/>
              </w:rPr>
              <w:t>与本</w:t>
            </w:r>
            <w:r>
              <w:rPr>
                <w:rFonts w:hint="eastAsia" w:ascii="宋体" w:hAnsi="宋体"/>
                <w:b/>
                <w:color w:val="auto"/>
                <w:szCs w:val="24"/>
                <w:highlight w:val="none"/>
                <w:u w:val="none"/>
              </w:rPr>
              <w:t>产品</w:t>
            </w:r>
            <w:r>
              <w:rPr>
                <w:rFonts w:ascii="宋体" w:hAnsi="宋体"/>
                <w:b/>
                <w:color w:val="auto"/>
                <w:szCs w:val="24"/>
                <w:highlight w:val="none"/>
                <w:u w:val="none"/>
              </w:rPr>
              <w:t>说明书</w:t>
            </w:r>
            <w:r>
              <w:rPr>
                <w:rFonts w:hint="eastAsia" w:ascii="宋体" w:hAnsi="宋体"/>
                <w:b/>
                <w:color w:val="auto"/>
                <w:szCs w:val="24"/>
                <w:highlight w:val="none"/>
                <w:u w:val="none"/>
              </w:rPr>
              <w:t>不一致</w:t>
            </w:r>
            <w:r>
              <w:rPr>
                <w:rFonts w:ascii="宋体" w:hAnsi="宋体"/>
                <w:b/>
                <w:color w:val="auto"/>
                <w:szCs w:val="24"/>
                <w:highlight w:val="none"/>
                <w:u w:val="none"/>
              </w:rPr>
              <w:t>，</w:t>
            </w:r>
            <w:r>
              <w:rPr>
                <w:rFonts w:hint="eastAsia" w:ascii="宋体" w:hAnsi="宋体"/>
                <w:b/>
                <w:color w:val="auto"/>
                <w:szCs w:val="24"/>
                <w:highlight w:val="none"/>
                <w:u w:val="none"/>
              </w:rPr>
              <w:t>通过销售机构认购、申购</w:t>
            </w:r>
            <w:r>
              <w:rPr>
                <w:rFonts w:ascii="宋体" w:hAnsi="宋体"/>
                <w:b/>
                <w:color w:val="auto"/>
                <w:szCs w:val="24"/>
                <w:highlight w:val="none"/>
                <w:u w:val="none"/>
              </w:rPr>
              <w:t>的</w:t>
            </w:r>
            <w:r>
              <w:rPr>
                <w:rFonts w:hint="eastAsia" w:ascii="宋体" w:hAnsi="宋体"/>
                <w:b/>
                <w:color w:val="auto"/>
                <w:szCs w:val="24"/>
                <w:highlight w:val="none"/>
                <w:u w:val="none"/>
              </w:rPr>
              <w:t>具体以销售机构展示为准。销售机构的实际起点销售金额，不得低于本产品说明书约定的起点销售金额。</w:t>
            </w:r>
          </w:p>
        </w:tc>
      </w:tr>
      <w:tr w14:paraId="32F1077F">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02C811E3">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追加递增金额</w:t>
            </w:r>
          </w:p>
        </w:tc>
        <w:tc>
          <w:tcPr>
            <w:tcW w:w="6972" w:type="dxa"/>
            <w:tcBorders>
              <w:top w:val="single" w:color="auto" w:sz="4" w:space="0"/>
              <w:left w:val="single" w:color="auto" w:sz="4" w:space="0"/>
              <w:bottom w:val="single" w:color="auto" w:sz="4" w:space="0"/>
              <w:right w:val="single" w:color="auto" w:sz="4" w:space="0"/>
            </w:tcBorders>
            <w:vAlign w:val="center"/>
          </w:tcPr>
          <w:p w14:paraId="362170D2">
            <w:pPr>
              <w:widowControl/>
              <w:spacing w:line="400" w:lineRule="exact"/>
              <w:jc w:val="left"/>
              <w:textAlignment w:val="center"/>
              <w:rPr>
                <w:rFonts w:hint="default" w:ascii="宋体" w:hAnsi="宋体"/>
                <w:color w:val="auto"/>
                <w:szCs w:val="24"/>
                <w:highlight w:val="none"/>
                <w:u w:val="none"/>
                <w:lang w:val="en-US" w:eastAsia="zh-CN"/>
              </w:rPr>
            </w:pPr>
            <w:r>
              <w:rPr>
                <w:rFonts w:hint="eastAsia" w:ascii="宋体" w:hAnsi="宋体" w:cs="宋体"/>
                <w:color w:val="auto"/>
                <w:kern w:val="0"/>
                <w:szCs w:val="24"/>
                <w:highlight w:val="none"/>
              </w:rPr>
              <w:t>ZYYJG0013</w:t>
            </w:r>
            <w:r>
              <w:rPr>
                <w:rFonts w:hint="eastAsia" w:ascii="宋体" w:hAnsi="宋体"/>
                <w:color w:val="auto"/>
                <w:szCs w:val="24"/>
                <w:highlight w:val="none"/>
                <w:u w:val="none"/>
                <w:lang w:val="en-US" w:eastAsia="zh-CN"/>
              </w:rPr>
              <w:t>A：1元</w:t>
            </w:r>
          </w:p>
          <w:p w14:paraId="68ED2306">
            <w:pPr>
              <w:widowControl/>
              <w:spacing w:line="400" w:lineRule="exact"/>
              <w:jc w:val="left"/>
              <w:textAlignment w:val="center"/>
              <w:rPr>
                <w:rFonts w:hint="eastAsia" w:ascii="仿宋_GB2312" w:hAnsi="等线" w:eastAsia="仿宋_GB2312" w:cs="仿宋_GB2312"/>
                <w:bCs/>
                <w:color w:val="auto"/>
                <w:sz w:val="24"/>
                <w:highlight w:val="none"/>
                <w:lang w:eastAsia="zh-CN"/>
              </w:rPr>
            </w:pPr>
            <w:r>
              <w:rPr>
                <w:rFonts w:hint="eastAsia" w:ascii="宋体" w:hAnsi="宋体" w:cs="宋体"/>
                <w:color w:val="auto"/>
                <w:kern w:val="0"/>
                <w:szCs w:val="24"/>
                <w:highlight w:val="none"/>
              </w:rPr>
              <w:t>ZYYJG001</w:t>
            </w:r>
            <w:r>
              <w:rPr>
                <w:rFonts w:hint="eastAsia" w:ascii="宋体" w:hAnsi="宋体" w:cs="宋体"/>
                <w:color w:val="auto"/>
                <w:kern w:val="0"/>
                <w:szCs w:val="24"/>
                <w:highlight w:val="none"/>
                <w:lang w:val="en-US" w:eastAsia="zh-CN"/>
              </w:rPr>
              <w:t>3B</w:t>
            </w:r>
            <w:r>
              <w:rPr>
                <w:rFonts w:hint="eastAsia" w:ascii="宋体" w:hAnsi="宋体"/>
                <w:color w:val="auto"/>
                <w:szCs w:val="24"/>
                <w:highlight w:val="none"/>
                <w:u w:val="none"/>
                <w:lang w:val="en-US" w:eastAsia="zh-CN"/>
              </w:rPr>
              <w:t>：1元</w:t>
            </w:r>
          </w:p>
          <w:p w14:paraId="7A64983E">
            <w:pPr>
              <w:widowControl/>
              <w:spacing w:line="400" w:lineRule="exact"/>
              <w:jc w:val="left"/>
              <w:textAlignment w:val="center"/>
              <w:rPr>
                <w:rFonts w:hint="eastAsia" w:ascii="仿宋_GB2312" w:hAnsi="等线" w:eastAsia="仿宋_GB2312" w:cs="仿宋_GB2312"/>
                <w:bCs/>
                <w:color w:val="auto"/>
                <w:sz w:val="24"/>
                <w:highlight w:val="none"/>
                <w:lang w:eastAsia="zh-CN"/>
              </w:rPr>
            </w:pPr>
            <w:r>
              <w:rPr>
                <w:rFonts w:hint="eastAsia" w:ascii="宋体" w:hAnsi="宋体"/>
                <w:color w:val="auto"/>
                <w:szCs w:val="24"/>
                <w:highlight w:val="none"/>
                <w:u w:val="none"/>
                <w:lang w:val="en-US" w:eastAsia="zh-CN"/>
              </w:rPr>
              <w:t>ZYYJG0013C：1元</w:t>
            </w:r>
          </w:p>
        </w:tc>
      </w:tr>
      <w:tr w14:paraId="6C437335">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1BE278EC">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计划募集金额</w:t>
            </w:r>
          </w:p>
        </w:tc>
        <w:tc>
          <w:tcPr>
            <w:tcW w:w="6972" w:type="dxa"/>
            <w:tcBorders>
              <w:top w:val="single" w:color="auto" w:sz="4" w:space="0"/>
              <w:left w:val="single" w:color="auto" w:sz="4" w:space="0"/>
              <w:bottom w:val="single" w:color="auto" w:sz="4" w:space="0"/>
              <w:right w:val="single" w:color="auto" w:sz="4" w:space="0"/>
            </w:tcBorders>
            <w:vAlign w:val="center"/>
          </w:tcPr>
          <w:p w14:paraId="64FD3E14">
            <w:pPr>
              <w:widowControl/>
              <w:spacing w:line="400" w:lineRule="exact"/>
              <w:jc w:val="left"/>
              <w:textAlignment w:val="center"/>
              <w:rPr>
                <w:rFonts w:hint="eastAsia" w:ascii="宋体" w:hAnsi="宋体"/>
                <w:color w:val="auto"/>
                <w:szCs w:val="24"/>
                <w:highlight w:val="none"/>
                <w:u w:val="none"/>
                <w:lang w:val="en-US" w:eastAsia="zh-CN"/>
              </w:rPr>
            </w:pPr>
            <w:r>
              <w:rPr>
                <w:rFonts w:hint="eastAsia" w:ascii="宋体" w:hAnsi="宋体"/>
                <w:color w:val="auto"/>
                <w:szCs w:val="24"/>
                <w:highlight w:val="none"/>
                <w:u w:val="none"/>
                <w:lang w:val="en-US" w:eastAsia="zh-CN"/>
              </w:rPr>
              <w:t>200亿元。</w:t>
            </w:r>
          </w:p>
          <w:p w14:paraId="4502E168">
            <w:pPr>
              <w:widowControl/>
              <w:spacing w:line="400" w:lineRule="exact"/>
              <w:jc w:val="left"/>
              <w:textAlignment w:val="center"/>
              <w:rPr>
                <w:rFonts w:hint="eastAsia" w:ascii="宋体" w:hAnsi="宋体"/>
                <w:color w:val="auto"/>
                <w:szCs w:val="24"/>
                <w:highlight w:val="none"/>
                <w:u w:val="none"/>
                <w:lang w:val="en-US" w:eastAsia="zh-CN"/>
              </w:rPr>
            </w:pPr>
            <w:r>
              <w:rPr>
                <w:rFonts w:hint="eastAsia"/>
                <w:b/>
                <w:bCs/>
                <w:color w:val="auto"/>
                <w:szCs w:val="24"/>
                <w:highlight w:val="none"/>
                <w:u w:val="none"/>
              </w:rPr>
              <w:t>管理人有权根据实际需要调整</w:t>
            </w:r>
            <w:r>
              <w:rPr>
                <w:rFonts w:hint="eastAsia"/>
                <w:b/>
                <w:bCs/>
                <w:color w:val="auto"/>
                <w:szCs w:val="24"/>
                <w:highlight w:val="none"/>
                <w:u w:val="none"/>
                <w:lang w:eastAsia="zh-CN"/>
              </w:rPr>
              <w:t>计划募集金额</w:t>
            </w:r>
            <w:r>
              <w:rPr>
                <w:rFonts w:hint="eastAsia"/>
                <w:b/>
                <w:bCs/>
                <w:color w:val="auto"/>
                <w:szCs w:val="24"/>
                <w:highlight w:val="none"/>
                <w:u w:val="none"/>
              </w:rPr>
              <w:t>上限。</w:t>
            </w:r>
          </w:p>
        </w:tc>
      </w:tr>
      <w:tr w14:paraId="34B1F0D4">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27500B9E">
            <w:pPr>
              <w:snapToGrid w:val="0"/>
              <w:ind w:left="-163" w:leftChars="-74" w:hanging="15" w:firstLineChars="0"/>
              <w:jc w:val="center"/>
              <w:rPr>
                <w:rFonts w:hint="eastAsia" w:ascii="仿宋_GB2312" w:hAnsi="等线" w:eastAsia="仿宋_GB2312" w:cs="仿宋_GB2312"/>
                <w:color w:val="auto"/>
                <w:kern w:val="0"/>
                <w:sz w:val="24"/>
                <w:highlight w:val="none"/>
                <w:lang w:bidi="ar"/>
              </w:rPr>
            </w:pPr>
            <w:r>
              <w:rPr>
                <w:rFonts w:hint="eastAsia" w:ascii="宋体" w:hAnsi="宋体"/>
                <w:color w:val="auto"/>
                <w:szCs w:val="24"/>
                <w:highlight w:val="none"/>
                <w:u w:val="none"/>
              </w:rPr>
              <w:t>产品最低成立规模</w:t>
            </w:r>
          </w:p>
        </w:tc>
        <w:tc>
          <w:tcPr>
            <w:tcW w:w="6972" w:type="dxa"/>
            <w:tcBorders>
              <w:top w:val="single" w:color="auto" w:sz="4" w:space="0"/>
              <w:left w:val="single" w:color="auto" w:sz="4" w:space="0"/>
              <w:bottom w:val="single" w:color="auto" w:sz="4" w:space="0"/>
              <w:right w:val="single" w:color="auto" w:sz="4" w:space="0"/>
            </w:tcBorders>
            <w:vAlign w:val="center"/>
          </w:tcPr>
          <w:p w14:paraId="788FE188">
            <w:pPr>
              <w:widowControl/>
              <w:jc w:val="left"/>
              <w:rPr>
                <w:rFonts w:ascii="宋体" w:hAnsi="宋体"/>
                <w:bCs/>
                <w:color w:val="auto"/>
                <w:szCs w:val="24"/>
                <w:highlight w:val="none"/>
                <w:u w:val="none"/>
              </w:rPr>
            </w:pPr>
            <w:r>
              <w:rPr>
                <w:rFonts w:hint="eastAsia" w:ascii="宋体" w:hAnsi="宋体"/>
                <w:color w:val="auto"/>
                <w:szCs w:val="24"/>
                <w:highlight w:val="none"/>
                <w:u w:val="none"/>
              </w:rPr>
              <w:t>【</w:t>
            </w:r>
            <w:r>
              <w:rPr>
                <w:rFonts w:hint="eastAsia" w:ascii="宋体" w:hAnsi="宋体"/>
                <w:color w:val="auto"/>
                <w:szCs w:val="24"/>
                <w:highlight w:val="none"/>
                <w:u w:val="none"/>
                <w:lang w:val="en-US" w:eastAsia="zh-CN"/>
              </w:rPr>
              <w:t>/</w:t>
            </w:r>
            <w:r>
              <w:rPr>
                <w:rFonts w:hint="eastAsia" w:ascii="宋体" w:hAnsi="宋体"/>
                <w:color w:val="auto"/>
                <w:szCs w:val="24"/>
                <w:highlight w:val="none"/>
                <w:u w:val="none"/>
              </w:rPr>
              <w:t>】</w:t>
            </w:r>
            <w:r>
              <w:rPr>
                <w:rFonts w:hint="eastAsia" w:ascii="宋体" w:hAnsi="宋体"/>
                <w:bCs/>
                <w:color w:val="auto"/>
                <w:szCs w:val="24"/>
                <w:highlight w:val="none"/>
                <w:u w:val="none"/>
              </w:rPr>
              <w:t>亿元。</w:t>
            </w:r>
          </w:p>
          <w:p w14:paraId="5E78FDA9">
            <w:pPr>
              <w:widowControl/>
              <w:jc w:val="left"/>
              <w:rPr>
                <w:rFonts w:hint="eastAsia"/>
                <w:b/>
                <w:bCs/>
                <w:color w:val="auto"/>
                <w:szCs w:val="24"/>
                <w:highlight w:val="none"/>
                <w:u w:val="none"/>
              </w:rPr>
            </w:pPr>
            <w:r>
              <w:rPr>
                <w:rFonts w:hint="eastAsia"/>
                <w:color w:val="auto"/>
                <w:szCs w:val="24"/>
                <w:highlight w:val="none"/>
                <w:u w:val="none"/>
              </w:rPr>
              <w:t>若认购金额不足</w:t>
            </w:r>
            <w:r>
              <w:rPr>
                <w:rFonts w:hint="eastAsia" w:ascii="宋体" w:hAnsi="宋体"/>
                <w:color w:val="auto"/>
                <w:szCs w:val="24"/>
                <w:highlight w:val="none"/>
                <w:u w:val="none"/>
              </w:rPr>
              <w:t>【</w:t>
            </w:r>
            <w:r>
              <w:rPr>
                <w:rFonts w:hint="eastAsia" w:ascii="宋体" w:hAnsi="宋体"/>
                <w:color w:val="auto"/>
                <w:szCs w:val="24"/>
                <w:highlight w:val="none"/>
                <w:u w:val="none"/>
                <w:lang w:val="en-US" w:eastAsia="zh-CN"/>
              </w:rPr>
              <w:t>/</w:t>
            </w:r>
            <w:r>
              <w:rPr>
                <w:rFonts w:hint="eastAsia" w:ascii="宋体" w:hAnsi="宋体"/>
                <w:color w:val="auto"/>
                <w:szCs w:val="24"/>
                <w:highlight w:val="none"/>
                <w:u w:val="none"/>
              </w:rPr>
              <w:t>】</w:t>
            </w:r>
            <w:r>
              <w:rPr>
                <w:rFonts w:hint="eastAsia" w:ascii="宋体" w:hAnsi="宋体"/>
                <w:bCs/>
                <w:color w:val="auto"/>
                <w:szCs w:val="24"/>
                <w:highlight w:val="none"/>
                <w:u w:val="none"/>
              </w:rPr>
              <w:t>亿元</w:t>
            </w:r>
            <w:r>
              <w:rPr>
                <w:rFonts w:hint="eastAsia"/>
                <w:color w:val="auto"/>
                <w:szCs w:val="24"/>
                <w:highlight w:val="none"/>
                <w:u w:val="none"/>
              </w:rPr>
              <w:t>，</w:t>
            </w:r>
            <w:r>
              <w:rPr>
                <w:rFonts w:hint="eastAsia"/>
                <w:b/>
                <w:bCs/>
                <w:color w:val="auto"/>
                <w:szCs w:val="24"/>
                <w:highlight w:val="none"/>
                <w:u w:val="none"/>
              </w:rPr>
              <w:t>管理人有权宣布理财产品不成立，亦有权调整</w:t>
            </w:r>
            <w:r>
              <w:rPr>
                <w:rFonts w:hint="eastAsia" w:ascii="宋体" w:hAnsi="宋体"/>
                <w:b/>
                <w:bCs/>
                <w:color w:val="auto"/>
                <w:szCs w:val="24"/>
                <w:highlight w:val="none"/>
                <w:u w:val="none"/>
              </w:rPr>
              <w:t>产品最低成立规模，具体以管理人公告为准</w:t>
            </w:r>
            <w:r>
              <w:rPr>
                <w:rFonts w:hint="eastAsia"/>
                <w:color w:val="auto"/>
                <w:szCs w:val="24"/>
                <w:highlight w:val="none"/>
                <w:u w:val="none"/>
              </w:rPr>
              <w:t>。</w:t>
            </w:r>
          </w:p>
        </w:tc>
      </w:tr>
      <w:tr w14:paraId="7E2FF41B">
        <w:tblPrEx>
          <w:tblCellMar>
            <w:top w:w="0" w:type="dxa"/>
            <w:left w:w="108" w:type="dxa"/>
            <w:bottom w:w="0" w:type="dxa"/>
            <w:right w:w="108" w:type="dxa"/>
          </w:tblCellMar>
        </w:tblPrEx>
        <w:trPr>
          <w:trHeight w:val="1280" w:hRule="atLeast"/>
        </w:trPr>
        <w:tc>
          <w:tcPr>
            <w:tcW w:w="2453" w:type="dxa"/>
            <w:tcBorders>
              <w:top w:val="single" w:color="auto" w:sz="4" w:space="0"/>
              <w:left w:val="single" w:color="auto" w:sz="4" w:space="0"/>
              <w:bottom w:val="single" w:color="auto" w:sz="4" w:space="0"/>
              <w:right w:val="single" w:color="auto" w:sz="4" w:space="0"/>
            </w:tcBorders>
            <w:vAlign w:val="center"/>
          </w:tcPr>
          <w:p w14:paraId="583095C0">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认购、申购、赎回安排</w:t>
            </w:r>
          </w:p>
        </w:tc>
        <w:tc>
          <w:tcPr>
            <w:tcW w:w="6972" w:type="dxa"/>
            <w:tcBorders>
              <w:top w:val="single" w:color="auto" w:sz="4" w:space="0"/>
              <w:left w:val="single" w:color="auto" w:sz="4" w:space="0"/>
              <w:bottom w:val="single" w:color="auto" w:sz="4" w:space="0"/>
              <w:right w:val="single" w:color="auto" w:sz="4" w:space="0"/>
            </w:tcBorders>
            <w:vAlign w:val="center"/>
          </w:tcPr>
          <w:p w14:paraId="5221BB51">
            <w:pPr>
              <w:snapToGrid w:val="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本产品的封闭期</w:t>
            </w:r>
          </w:p>
          <w:p w14:paraId="78F75BDF">
            <w:pPr>
              <w:snapToGrid w:val="0"/>
              <w:rPr>
                <w:rFonts w:ascii="宋体" w:hAnsi="宋体"/>
                <w:color w:val="auto"/>
                <w:szCs w:val="24"/>
                <w:highlight w:val="none"/>
              </w:rPr>
            </w:pPr>
            <w:r>
              <w:rPr>
                <w:rFonts w:hint="eastAsia" w:ascii="宋体" w:hAnsi="宋体"/>
                <w:color w:val="auto"/>
                <w:szCs w:val="24"/>
                <w:highlight w:val="none"/>
              </w:rPr>
              <w:t>本产品成立后，产品封闭期为【2025】年【9】月【24】日至【2025】年【9】月【24】日，封闭期内不接受申购或赎回申请。</w:t>
            </w:r>
          </w:p>
          <w:p w14:paraId="6CFA6778">
            <w:pPr>
              <w:snapToGrid w:val="0"/>
              <w:rPr>
                <w:rFonts w:ascii="宋体" w:hAnsi="宋体"/>
                <w:color w:val="auto"/>
                <w:szCs w:val="24"/>
                <w:highlight w:val="none"/>
              </w:rPr>
            </w:pPr>
            <w:r>
              <w:rPr>
                <w:rFonts w:ascii="宋体" w:hAnsi="宋体"/>
                <w:color w:val="auto"/>
                <w:szCs w:val="24"/>
                <w:highlight w:val="none"/>
              </w:rPr>
              <w:t>2.</w:t>
            </w:r>
            <w:r>
              <w:rPr>
                <w:rFonts w:hint="eastAsia" w:ascii="宋体" w:hAnsi="宋体"/>
                <w:color w:val="auto"/>
                <w:szCs w:val="24"/>
                <w:highlight w:val="none"/>
              </w:rPr>
              <w:t>本产品的开放期</w:t>
            </w:r>
          </w:p>
          <w:p w14:paraId="2766453B">
            <w:pPr>
              <w:snapToGrid w:val="0"/>
              <w:rPr>
                <w:rFonts w:ascii="宋体" w:hAnsi="宋体"/>
                <w:color w:val="auto"/>
                <w:szCs w:val="24"/>
                <w:highlight w:val="none"/>
              </w:rPr>
            </w:pPr>
            <w:r>
              <w:rPr>
                <w:rFonts w:hint="eastAsia" w:ascii="宋体" w:hAnsi="宋体"/>
                <w:color w:val="auto"/>
                <w:szCs w:val="24"/>
                <w:highlight w:val="none"/>
              </w:rPr>
              <w:t>本产品封闭期结束后（不含</w:t>
            </w:r>
            <w:r>
              <w:rPr>
                <w:rFonts w:ascii="宋体" w:hAnsi="宋体"/>
                <w:color w:val="auto"/>
                <w:szCs w:val="24"/>
                <w:highlight w:val="none"/>
              </w:rPr>
              <w:t>封闭期结束日</w:t>
            </w:r>
            <w:r>
              <w:rPr>
                <w:rFonts w:hint="eastAsia" w:ascii="宋体" w:hAnsi="宋体"/>
                <w:color w:val="auto"/>
                <w:szCs w:val="24"/>
                <w:highlight w:val="none"/>
              </w:rPr>
              <w:t>、管理人公告暂停开放的日期</w:t>
            </w:r>
            <w:r>
              <w:rPr>
                <w:rFonts w:ascii="宋体" w:hAnsi="宋体"/>
                <w:color w:val="auto"/>
                <w:szCs w:val="24"/>
                <w:highlight w:val="none"/>
              </w:rPr>
              <w:t>）</w:t>
            </w:r>
            <w:r>
              <w:rPr>
                <w:rFonts w:hint="eastAsia" w:ascii="宋体" w:hAnsi="宋体"/>
                <w:color w:val="auto"/>
                <w:szCs w:val="24"/>
                <w:highlight w:val="none"/>
              </w:rPr>
              <w:t>的每个【□工作日/</w:t>
            </w:r>
            <w:r>
              <w:rPr>
                <w:rFonts w:hint="eastAsia" w:ascii="宋体" w:hAnsi="宋体"/>
                <w:color w:val="auto"/>
                <w:szCs w:val="24"/>
                <w:highlight w:val="none"/>
                <w:lang w:eastAsia="zh-CN"/>
              </w:rPr>
              <w:t>☑</w:t>
            </w:r>
            <w:r>
              <w:rPr>
                <w:rFonts w:hint="eastAsia" w:ascii="宋体" w:hAnsi="宋体"/>
                <w:color w:val="auto"/>
                <w:szCs w:val="24"/>
                <w:highlight w:val="none"/>
              </w:rPr>
              <w:t>交易日】</w:t>
            </w:r>
            <w:r>
              <w:rPr>
                <w:rFonts w:hint="eastAsia" w:ascii="宋体" w:hAnsi="宋体"/>
                <w:color w:val="auto"/>
                <w:szCs w:val="24"/>
                <w:highlight w:val="none"/>
                <w:lang w:eastAsia="zh-CN"/>
              </w:rPr>
              <w:t>为开放日</w:t>
            </w:r>
            <w:r>
              <w:rPr>
                <w:rFonts w:hint="eastAsia" w:ascii="宋体" w:hAnsi="宋体"/>
                <w:color w:val="auto"/>
                <w:szCs w:val="24"/>
                <w:highlight w:val="none"/>
              </w:rPr>
              <w:t>，首次开放日为【2025】年【9】月【25】日。</w:t>
            </w:r>
          </w:p>
          <w:p w14:paraId="2958811E">
            <w:pPr>
              <w:snapToGrid w:val="0"/>
              <w:rPr>
                <w:rFonts w:ascii="宋体" w:hAnsi="宋体"/>
                <w:color w:val="auto"/>
                <w:szCs w:val="24"/>
                <w:highlight w:val="none"/>
              </w:rPr>
            </w:pPr>
            <w:r>
              <w:rPr>
                <w:rFonts w:ascii="宋体" w:hAnsi="宋体"/>
                <w:color w:val="auto"/>
                <w:szCs w:val="24"/>
                <w:highlight w:val="none"/>
              </w:rPr>
              <w:t>3.</w:t>
            </w:r>
            <w:r>
              <w:rPr>
                <w:rFonts w:hint="eastAsia" w:ascii="宋体" w:hAnsi="宋体"/>
                <w:color w:val="auto"/>
                <w:szCs w:val="24"/>
                <w:highlight w:val="none"/>
              </w:rPr>
              <w:t>申购安排：</w:t>
            </w:r>
          </w:p>
          <w:p w14:paraId="55AECD17">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1</w:t>
            </w:r>
            <w:r>
              <w:rPr>
                <w:rFonts w:hint="eastAsia" w:ascii="宋体" w:hAnsi="宋体"/>
                <w:color w:val="auto"/>
                <w:szCs w:val="24"/>
                <w:highlight w:val="none"/>
              </w:rPr>
              <w:t>）申购的时间投资者在【□工作日/</w:t>
            </w:r>
            <w:r>
              <w:rPr>
                <w:rFonts w:hint="eastAsia" w:ascii="宋体" w:hAnsi="宋体"/>
                <w:color w:val="auto"/>
                <w:szCs w:val="24"/>
                <w:highlight w:val="none"/>
                <w:lang w:eastAsia="zh-CN"/>
              </w:rPr>
              <w:t>☑</w:t>
            </w:r>
            <w:r>
              <w:rPr>
                <w:rFonts w:hint="eastAsia" w:ascii="宋体" w:hAnsi="宋体"/>
                <w:color w:val="auto"/>
                <w:szCs w:val="24"/>
                <w:highlight w:val="none"/>
              </w:rPr>
              <w:t>交易日】【</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宋体" w:hAnsi="宋体"/>
                <w:color w:val="auto"/>
                <w:szCs w:val="24"/>
                <w:highlight w:val="none"/>
              </w:rPr>
              <w:t>】前提交申购申请的，提交当日为申购日。</w:t>
            </w:r>
          </w:p>
          <w:p w14:paraId="5283BC23">
            <w:pPr>
              <w:snapToGrid w:val="0"/>
              <w:rPr>
                <w:rFonts w:ascii="宋体" w:hAnsi="宋体"/>
                <w:color w:val="auto"/>
                <w:szCs w:val="24"/>
                <w:highlight w:val="none"/>
              </w:rPr>
            </w:pPr>
            <w:r>
              <w:rPr>
                <w:rFonts w:hint="eastAsia" w:ascii="宋体" w:hAnsi="宋体"/>
                <w:color w:val="auto"/>
                <w:szCs w:val="24"/>
                <w:highlight w:val="none"/>
              </w:rPr>
              <w:t>投资者在【□工作日/</w:t>
            </w:r>
            <w:r>
              <w:rPr>
                <w:rFonts w:hint="eastAsia" w:ascii="宋体" w:hAnsi="宋体"/>
                <w:color w:val="auto"/>
                <w:szCs w:val="24"/>
                <w:highlight w:val="none"/>
                <w:lang w:eastAsia="zh-CN"/>
              </w:rPr>
              <w:t>☑</w:t>
            </w:r>
            <w:r>
              <w:rPr>
                <w:rFonts w:hint="eastAsia" w:ascii="宋体" w:hAnsi="宋体"/>
                <w:color w:val="auto"/>
                <w:szCs w:val="24"/>
                <w:highlight w:val="none"/>
              </w:rPr>
              <w:t>交易日】【</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宋体" w:hAnsi="宋体"/>
                <w:color w:val="auto"/>
                <w:szCs w:val="24"/>
                <w:highlight w:val="none"/>
              </w:rPr>
              <w:t>】后提交申购申请的，下一个【□工作日/</w:t>
            </w:r>
            <w:r>
              <w:rPr>
                <w:rFonts w:hint="eastAsia" w:ascii="宋体" w:hAnsi="宋体"/>
                <w:color w:val="auto"/>
                <w:szCs w:val="24"/>
                <w:highlight w:val="none"/>
                <w:lang w:eastAsia="zh-CN"/>
              </w:rPr>
              <w:t>☑</w:t>
            </w:r>
            <w:r>
              <w:rPr>
                <w:rFonts w:hint="eastAsia" w:ascii="宋体" w:hAnsi="宋体"/>
                <w:color w:val="auto"/>
                <w:szCs w:val="24"/>
                <w:highlight w:val="none"/>
              </w:rPr>
              <w:t>交易日】为申购日。</w:t>
            </w:r>
          </w:p>
          <w:p w14:paraId="1E3510A3">
            <w:pPr>
              <w:snapToGrid w:val="0"/>
              <w:rPr>
                <w:rFonts w:ascii="宋体" w:hAnsi="宋体"/>
                <w:color w:val="auto"/>
                <w:szCs w:val="24"/>
                <w:highlight w:val="none"/>
              </w:rPr>
            </w:pPr>
            <w:r>
              <w:rPr>
                <w:rFonts w:hint="eastAsia" w:ascii="宋体" w:hAnsi="宋体"/>
                <w:color w:val="auto"/>
                <w:szCs w:val="24"/>
                <w:highlight w:val="none"/>
              </w:rPr>
              <w:t>投资者在非【□工作日/</w:t>
            </w:r>
            <w:r>
              <w:rPr>
                <w:rFonts w:hint="eastAsia" w:ascii="宋体" w:hAnsi="宋体"/>
                <w:color w:val="auto"/>
                <w:szCs w:val="24"/>
                <w:highlight w:val="none"/>
                <w:lang w:eastAsia="zh-CN"/>
              </w:rPr>
              <w:t>☑</w:t>
            </w:r>
            <w:r>
              <w:rPr>
                <w:rFonts w:hint="eastAsia" w:ascii="宋体" w:hAnsi="宋体"/>
                <w:color w:val="auto"/>
                <w:szCs w:val="24"/>
                <w:highlight w:val="none"/>
              </w:rPr>
              <w:t>交易日】提交申购申请的，下一个【□工作日/</w:t>
            </w:r>
            <w:r>
              <w:rPr>
                <w:rFonts w:hint="eastAsia" w:ascii="宋体" w:hAnsi="宋体"/>
                <w:color w:val="auto"/>
                <w:szCs w:val="24"/>
                <w:highlight w:val="none"/>
                <w:lang w:eastAsia="zh-CN"/>
              </w:rPr>
              <w:t>☑</w:t>
            </w:r>
            <w:r>
              <w:rPr>
                <w:rFonts w:hint="eastAsia" w:ascii="宋体" w:hAnsi="宋体"/>
                <w:color w:val="auto"/>
                <w:szCs w:val="24"/>
                <w:highlight w:val="none"/>
              </w:rPr>
              <w:t>交易日】为申购日。</w:t>
            </w:r>
          </w:p>
          <w:p w14:paraId="3C46B280">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2</w:t>
            </w:r>
            <w:r>
              <w:rPr>
                <w:rFonts w:hint="eastAsia" w:ascii="宋体" w:hAnsi="宋体"/>
                <w:color w:val="auto"/>
                <w:szCs w:val="24"/>
                <w:highlight w:val="none"/>
              </w:rPr>
              <w:t>）申购的确认</w:t>
            </w:r>
          </w:p>
          <w:p w14:paraId="172BF322">
            <w:pPr>
              <w:snapToGrid w:val="0"/>
              <w:rPr>
                <w:rFonts w:ascii="宋体" w:hAnsi="宋体"/>
                <w:color w:val="auto"/>
                <w:szCs w:val="24"/>
                <w:highlight w:val="none"/>
              </w:rPr>
            </w:pPr>
            <w:r>
              <w:rPr>
                <w:rFonts w:hint="eastAsia" w:ascii="宋体" w:hAnsi="宋体"/>
                <w:color w:val="auto"/>
                <w:szCs w:val="24"/>
                <w:highlight w:val="none"/>
              </w:rPr>
              <w:t>申购日后的【</w:t>
            </w:r>
            <w:r>
              <w:rPr>
                <w:rFonts w:ascii="宋体" w:hAnsi="宋体"/>
                <w:color w:val="auto"/>
                <w:szCs w:val="24"/>
                <w:highlight w:val="none"/>
              </w:rPr>
              <w:t>1</w:t>
            </w:r>
            <w:r>
              <w:rPr>
                <w:rFonts w:hint="eastAsia" w:ascii="宋体" w:hAnsi="宋体"/>
                <w:color w:val="auto"/>
                <w:szCs w:val="24"/>
                <w:highlight w:val="none"/>
              </w:rPr>
              <w:t>】个【□工作日/</w:t>
            </w:r>
            <w:r>
              <w:rPr>
                <w:rFonts w:hint="eastAsia" w:ascii="宋体" w:hAnsi="宋体"/>
                <w:color w:val="auto"/>
                <w:szCs w:val="24"/>
                <w:highlight w:val="none"/>
                <w:lang w:eastAsia="zh-CN"/>
              </w:rPr>
              <w:t>☑</w:t>
            </w:r>
            <w:r>
              <w:rPr>
                <w:rFonts w:hint="eastAsia" w:ascii="宋体" w:hAnsi="宋体"/>
                <w:color w:val="auto"/>
                <w:szCs w:val="24"/>
                <w:highlight w:val="none"/>
              </w:rPr>
              <w:t>交易日】内为申购确认日。</w:t>
            </w:r>
          </w:p>
          <w:p w14:paraId="52725E0D">
            <w:pPr>
              <w:snapToGrid w:val="0"/>
              <w:rPr>
                <w:rFonts w:ascii="宋体" w:hAnsi="宋体"/>
                <w:color w:val="auto"/>
                <w:szCs w:val="24"/>
                <w:highlight w:val="none"/>
              </w:rPr>
            </w:pPr>
            <w:r>
              <w:rPr>
                <w:rFonts w:ascii="宋体" w:hAnsi="宋体"/>
                <w:color w:val="auto"/>
                <w:szCs w:val="24"/>
                <w:highlight w:val="none"/>
              </w:rPr>
              <w:t>4.</w:t>
            </w:r>
            <w:r>
              <w:rPr>
                <w:rFonts w:hint="eastAsia" w:ascii="宋体" w:hAnsi="宋体"/>
                <w:color w:val="auto"/>
                <w:szCs w:val="24"/>
                <w:highlight w:val="none"/>
              </w:rPr>
              <w:t>赎回安排</w:t>
            </w:r>
          </w:p>
          <w:p w14:paraId="5BC95240">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1</w:t>
            </w:r>
            <w:r>
              <w:rPr>
                <w:rFonts w:hint="eastAsia" w:ascii="宋体" w:hAnsi="宋体"/>
                <w:color w:val="auto"/>
                <w:szCs w:val="24"/>
                <w:highlight w:val="none"/>
              </w:rPr>
              <w:t>）赎回的时间</w:t>
            </w:r>
          </w:p>
          <w:p w14:paraId="1E29E345">
            <w:pPr>
              <w:snapToGrid w:val="0"/>
              <w:rPr>
                <w:rFonts w:ascii="宋体" w:hAnsi="宋体"/>
                <w:color w:val="auto"/>
                <w:szCs w:val="24"/>
                <w:highlight w:val="none"/>
              </w:rPr>
            </w:pPr>
            <w:r>
              <w:rPr>
                <w:rFonts w:hint="eastAsia" w:ascii="宋体" w:hAnsi="宋体"/>
                <w:color w:val="auto"/>
                <w:szCs w:val="24"/>
                <w:highlight w:val="none"/>
              </w:rPr>
              <w:t>投资者认购、申购本理财产品并成功确认份额后，在产品首次开放日（含）后可申请赎回。</w:t>
            </w:r>
          </w:p>
          <w:p w14:paraId="39ECDACB">
            <w:pPr>
              <w:snapToGrid w:val="0"/>
              <w:rPr>
                <w:rFonts w:ascii="宋体" w:hAnsi="宋体"/>
                <w:color w:val="auto"/>
                <w:szCs w:val="24"/>
                <w:highlight w:val="none"/>
              </w:rPr>
            </w:pPr>
            <w:r>
              <w:rPr>
                <w:rFonts w:hint="eastAsia" w:ascii="宋体" w:hAnsi="宋体"/>
                <w:color w:val="auto"/>
                <w:szCs w:val="24"/>
                <w:highlight w:val="none"/>
              </w:rPr>
              <w:t>投资者在【□工作日/</w:t>
            </w:r>
            <w:r>
              <w:rPr>
                <w:rFonts w:hint="eastAsia" w:ascii="宋体" w:hAnsi="宋体"/>
                <w:color w:val="auto"/>
                <w:szCs w:val="24"/>
                <w:highlight w:val="none"/>
                <w:lang w:eastAsia="zh-CN"/>
              </w:rPr>
              <w:t>☑</w:t>
            </w:r>
            <w:r>
              <w:rPr>
                <w:rFonts w:hint="eastAsia" w:ascii="宋体" w:hAnsi="宋体"/>
                <w:color w:val="auto"/>
                <w:szCs w:val="24"/>
                <w:highlight w:val="none"/>
              </w:rPr>
              <w:t>交易日】【</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宋体" w:hAnsi="宋体"/>
                <w:color w:val="auto"/>
                <w:szCs w:val="24"/>
                <w:highlight w:val="none"/>
              </w:rPr>
              <w:t>】前提交赎回申请的，提交当日为赎回日。</w:t>
            </w:r>
          </w:p>
          <w:p w14:paraId="669F62C2">
            <w:pPr>
              <w:snapToGrid w:val="0"/>
              <w:rPr>
                <w:rFonts w:ascii="宋体" w:hAnsi="宋体"/>
                <w:color w:val="auto"/>
                <w:szCs w:val="24"/>
                <w:highlight w:val="none"/>
              </w:rPr>
            </w:pPr>
            <w:r>
              <w:rPr>
                <w:rFonts w:hint="eastAsia" w:ascii="宋体" w:hAnsi="宋体"/>
                <w:color w:val="auto"/>
                <w:szCs w:val="24"/>
                <w:highlight w:val="none"/>
              </w:rPr>
              <w:t>投资者在【□工作日/</w:t>
            </w:r>
            <w:r>
              <w:rPr>
                <w:rFonts w:hint="eastAsia" w:ascii="宋体" w:hAnsi="宋体"/>
                <w:color w:val="auto"/>
                <w:szCs w:val="24"/>
                <w:highlight w:val="none"/>
                <w:lang w:eastAsia="zh-CN"/>
              </w:rPr>
              <w:t>☑</w:t>
            </w:r>
            <w:r>
              <w:rPr>
                <w:rFonts w:hint="eastAsia" w:ascii="宋体" w:hAnsi="宋体"/>
                <w:color w:val="auto"/>
                <w:szCs w:val="24"/>
                <w:highlight w:val="none"/>
              </w:rPr>
              <w:t>交易日】【</w:t>
            </w:r>
            <w:r>
              <w:rPr>
                <w:rFonts w:ascii="宋体" w:hAnsi="宋体"/>
                <w:color w:val="auto"/>
                <w:szCs w:val="24"/>
                <w:highlight w:val="none"/>
              </w:rPr>
              <w:t>15</w:t>
            </w:r>
            <w:r>
              <w:rPr>
                <w:rFonts w:hint="eastAsia" w:ascii="宋体" w:hAnsi="宋体"/>
                <w:color w:val="auto"/>
                <w:szCs w:val="24"/>
                <w:highlight w:val="none"/>
              </w:rPr>
              <w:t>:</w:t>
            </w:r>
            <w:r>
              <w:rPr>
                <w:rFonts w:hint="eastAsia" w:ascii="宋体" w:hAnsi="宋体"/>
                <w:color w:val="auto"/>
                <w:szCs w:val="24"/>
                <w:highlight w:val="none"/>
                <w:lang w:val="en-US" w:eastAsia="zh-CN"/>
              </w:rPr>
              <w:t>0</w:t>
            </w:r>
            <w:r>
              <w:rPr>
                <w:rFonts w:ascii="宋体" w:hAnsi="宋体"/>
                <w:color w:val="auto"/>
                <w:szCs w:val="24"/>
                <w:highlight w:val="none"/>
              </w:rPr>
              <w:t>0</w:t>
            </w:r>
            <w:r>
              <w:rPr>
                <w:rFonts w:hint="eastAsia" w:ascii="宋体" w:hAnsi="宋体"/>
                <w:color w:val="auto"/>
                <w:szCs w:val="24"/>
                <w:highlight w:val="none"/>
              </w:rPr>
              <w:t>】后提交赎回申请的，下一个【□工作日/</w:t>
            </w:r>
            <w:r>
              <w:rPr>
                <w:rFonts w:hint="eastAsia" w:ascii="宋体" w:hAnsi="宋体"/>
                <w:color w:val="auto"/>
                <w:szCs w:val="24"/>
                <w:highlight w:val="none"/>
                <w:lang w:eastAsia="zh-CN"/>
              </w:rPr>
              <w:t>☑</w:t>
            </w:r>
            <w:r>
              <w:rPr>
                <w:rFonts w:hint="eastAsia" w:ascii="宋体" w:hAnsi="宋体"/>
                <w:color w:val="auto"/>
                <w:szCs w:val="24"/>
                <w:highlight w:val="none"/>
              </w:rPr>
              <w:t>交易日】为赎回日。</w:t>
            </w:r>
          </w:p>
          <w:p w14:paraId="2B4FA671">
            <w:pPr>
              <w:snapToGrid w:val="0"/>
              <w:rPr>
                <w:rFonts w:ascii="宋体" w:hAnsi="宋体"/>
                <w:color w:val="auto"/>
                <w:szCs w:val="24"/>
                <w:highlight w:val="none"/>
              </w:rPr>
            </w:pPr>
            <w:r>
              <w:rPr>
                <w:rFonts w:hint="eastAsia" w:ascii="宋体" w:hAnsi="宋体"/>
                <w:color w:val="auto"/>
                <w:szCs w:val="24"/>
                <w:highlight w:val="none"/>
              </w:rPr>
              <w:t>投资者在非【□工作日/</w:t>
            </w:r>
            <w:r>
              <w:rPr>
                <w:rFonts w:hint="eastAsia" w:ascii="宋体" w:hAnsi="宋体"/>
                <w:color w:val="auto"/>
                <w:szCs w:val="24"/>
                <w:highlight w:val="none"/>
                <w:lang w:eastAsia="zh-CN"/>
              </w:rPr>
              <w:t>☑</w:t>
            </w:r>
            <w:r>
              <w:rPr>
                <w:rFonts w:hint="eastAsia" w:ascii="宋体" w:hAnsi="宋体"/>
                <w:color w:val="auto"/>
                <w:szCs w:val="24"/>
                <w:highlight w:val="none"/>
              </w:rPr>
              <w:t>交易日】提交赎回申请的，下一个【□工作日/</w:t>
            </w:r>
            <w:r>
              <w:rPr>
                <w:rFonts w:hint="eastAsia" w:ascii="宋体" w:hAnsi="宋体"/>
                <w:color w:val="auto"/>
                <w:szCs w:val="24"/>
                <w:highlight w:val="none"/>
                <w:lang w:eastAsia="zh-CN"/>
              </w:rPr>
              <w:t>☑</w:t>
            </w:r>
            <w:r>
              <w:rPr>
                <w:rFonts w:hint="eastAsia" w:ascii="宋体" w:hAnsi="宋体"/>
                <w:color w:val="auto"/>
                <w:szCs w:val="24"/>
                <w:highlight w:val="none"/>
              </w:rPr>
              <w:t>交易日】为赎回日。</w:t>
            </w:r>
          </w:p>
          <w:p w14:paraId="204BE5E6">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2</w:t>
            </w:r>
            <w:r>
              <w:rPr>
                <w:rFonts w:hint="eastAsia" w:ascii="宋体" w:hAnsi="宋体"/>
                <w:color w:val="auto"/>
                <w:szCs w:val="24"/>
                <w:highlight w:val="none"/>
              </w:rPr>
              <w:t>）赎回的确认</w:t>
            </w:r>
          </w:p>
          <w:p w14:paraId="027D9219">
            <w:pPr>
              <w:snapToGrid w:val="0"/>
              <w:rPr>
                <w:rFonts w:ascii="宋体" w:hAnsi="宋体"/>
                <w:color w:val="auto"/>
                <w:szCs w:val="24"/>
                <w:highlight w:val="none"/>
              </w:rPr>
            </w:pPr>
            <w:r>
              <w:rPr>
                <w:rFonts w:hint="eastAsia" w:ascii="宋体" w:hAnsi="宋体"/>
                <w:color w:val="auto"/>
                <w:szCs w:val="24"/>
                <w:highlight w:val="none"/>
              </w:rPr>
              <w:t>赎回日后的【</w:t>
            </w:r>
            <w:r>
              <w:rPr>
                <w:rFonts w:hint="eastAsia" w:ascii="宋体" w:hAnsi="宋体"/>
                <w:color w:val="auto"/>
                <w:szCs w:val="24"/>
                <w:highlight w:val="none"/>
                <w:lang w:val="en-US" w:eastAsia="zh-CN"/>
              </w:rPr>
              <w:t>1</w:t>
            </w:r>
            <w:r>
              <w:rPr>
                <w:rFonts w:hint="eastAsia" w:ascii="宋体" w:hAnsi="宋体"/>
                <w:color w:val="auto"/>
                <w:szCs w:val="24"/>
                <w:highlight w:val="none"/>
              </w:rPr>
              <w:t>】个【□工作日/</w:t>
            </w:r>
            <w:r>
              <w:rPr>
                <w:rFonts w:hint="eastAsia" w:ascii="宋体" w:hAnsi="宋体"/>
                <w:color w:val="auto"/>
                <w:szCs w:val="24"/>
                <w:highlight w:val="none"/>
                <w:lang w:eastAsia="zh-CN"/>
              </w:rPr>
              <w:t>☑</w:t>
            </w:r>
            <w:r>
              <w:rPr>
                <w:rFonts w:hint="eastAsia" w:ascii="宋体" w:hAnsi="宋体"/>
                <w:color w:val="auto"/>
                <w:szCs w:val="24"/>
                <w:highlight w:val="none"/>
              </w:rPr>
              <w:t>交易日】内为赎回确认日。</w:t>
            </w:r>
          </w:p>
          <w:p w14:paraId="5FB7C338">
            <w:pPr>
              <w:snapToGrid w:val="0"/>
              <w:rPr>
                <w:rFonts w:ascii="宋体" w:hAnsi="宋体"/>
                <w:color w:val="auto"/>
                <w:szCs w:val="24"/>
                <w:highlight w:val="none"/>
              </w:rPr>
            </w:pPr>
            <w:r>
              <w:rPr>
                <w:rFonts w:ascii="宋体" w:hAnsi="宋体"/>
                <w:color w:val="auto"/>
                <w:szCs w:val="24"/>
                <w:highlight w:val="none"/>
              </w:rPr>
              <w:t>5.</w:t>
            </w:r>
            <w:r>
              <w:rPr>
                <w:rFonts w:hint="eastAsia" w:ascii="宋体" w:hAnsi="宋体"/>
                <w:color w:val="auto"/>
                <w:szCs w:val="24"/>
                <w:highlight w:val="none"/>
              </w:rPr>
              <w:t>赎回款项于赎回</w:t>
            </w:r>
            <w:r>
              <w:rPr>
                <w:rFonts w:hint="eastAsia" w:ascii="宋体" w:hAnsi="宋体"/>
                <w:color w:val="auto"/>
                <w:szCs w:val="24"/>
                <w:highlight w:val="none"/>
                <w:lang w:eastAsia="zh-CN"/>
              </w:rPr>
              <w:t>确认</w:t>
            </w:r>
            <w:r>
              <w:rPr>
                <w:rFonts w:hint="eastAsia" w:ascii="宋体" w:hAnsi="宋体"/>
                <w:color w:val="auto"/>
                <w:szCs w:val="24"/>
                <w:highlight w:val="none"/>
              </w:rPr>
              <w:t>日后【</w:t>
            </w:r>
            <w:r>
              <w:rPr>
                <w:rFonts w:hint="eastAsia" w:ascii="宋体" w:hAnsi="宋体"/>
                <w:color w:val="auto"/>
                <w:szCs w:val="24"/>
                <w:highlight w:val="none"/>
                <w:lang w:val="en-US" w:eastAsia="zh-CN"/>
              </w:rPr>
              <w:t>5</w:t>
            </w:r>
            <w:r>
              <w:rPr>
                <w:rFonts w:hint="eastAsia" w:ascii="宋体" w:hAnsi="宋体"/>
                <w:color w:val="auto"/>
                <w:szCs w:val="24"/>
                <w:highlight w:val="none"/>
              </w:rPr>
              <w:t>】个【□工作日/</w:t>
            </w:r>
            <w:r>
              <w:rPr>
                <w:rFonts w:hint="eastAsia" w:ascii="宋体" w:hAnsi="宋体"/>
                <w:color w:val="auto"/>
                <w:szCs w:val="24"/>
                <w:highlight w:val="none"/>
                <w:lang w:eastAsia="zh-CN"/>
              </w:rPr>
              <w:t>☑</w:t>
            </w:r>
            <w:r>
              <w:rPr>
                <w:rFonts w:hint="eastAsia" w:ascii="宋体" w:hAnsi="宋体"/>
                <w:color w:val="auto"/>
                <w:szCs w:val="24"/>
                <w:highlight w:val="none"/>
              </w:rPr>
              <w:t>交易日】内支付给投资者。</w:t>
            </w:r>
          </w:p>
          <w:p w14:paraId="16FD059E">
            <w:pPr>
              <w:snapToGrid w:val="0"/>
              <w:rPr>
                <w:rFonts w:ascii="宋体" w:hAnsi="宋体"/>
                <w:color w:val="auto"/>
                <w:szCs w:val="24"/>
                <w:highlight w:val="none"/>
              </w:rPr>
            </w:pPr>
            <w:r>
              <w:rPr>
                <w:rFonts w:hint="eastAsia" w:ascii="宋体" w:hAnsi="宋体"/>
                <w:color w:val="auto"/>
                <w:szCs w:val="24"/>
                <w:highlight w:val="none"/>
              </w:rPr>
              <w:t>★注：关于销售机构的实际工作服务时段的提示</w:t>
            </w:r>
          </w:p>
          <w:p w14:paraId="5F3181B4">
            <w:pPr>
              <w:snapToGrid w:val="0"/>
              <w:rPr>
                <w:rFonts w:ascii="宋体" w:hAnsi="宋体"/>
                <w:color w:val="auto"/>
                <w:szCs w:val="24"/>
                <w:highlight w:val="none"/>
              </w:rPr>
            </w:pPr>
            <w:r>
              <w:rPr>
                <w:rFonts w:hint="eastAsia" w:ascii="宋体" w:hAnsi="宋体"/>
                <w:color w:val="auto"/>
                <w:szCs w:val="24"/>
                <w:highlight w:val="none"/>
              </w:rPr>
              <w:t>①为本产品办理相关交易的实际工作服务时段，因销售机构的不同可能存在差异（可能晚于销售文件约定的起始时点开始或早于销售文件约定的终止时点结束），投资者应当以销售机构的展示为准。</w:t>
            </w:r>
          </w:p>
          <w:p w14:paraId="6A261C33">
            <w:pPr>
              <w:snapToGrid w:val="0"/>
              <w:rPr>
                <w:rFonts w:hint="eastAsia" w:ascii="仿宋_GB2312" w:hAnsi="等线" w:eastAsia="仿宋_GB2312" w:cs="仿宋_GB2312"/>
                <w:bCs/>
                <w:color w:val="auto"/>
                <w:sz w:val="24"/>
                <w:highlight w:val="none"/>
              </w:rPr>
            </w:pPr>
            <w:r>
              <w:rPr>
                <w:rFonts w:hint="eastAsia" w:ascii="宋体" w:hAnsi="宋体"/>
                <w:color w:val="auto"/>
                <w:szCs w:val="24"/>
                <w:highlight w:val="none"/>
              </w:rPr>
              <w:t>②销售机构的实际工作服务时段，最早不得早于销售文件约定的起始时点、最晚不得晚于销售文件约定的终止时点。</w:t>
            </w:r>
          </w:p>
        </w:tc>
      </w:tr>
      <w:tr w14:paraId="46CDD479">
        <w:tblPrEx>
          <w:tblCellMar>
            <w:top w:w="0" w:type="dxa"/>
            <w:left w:w="108" w:type="dxa"/>
            <w:bottom w:w="0" w:type="dxa"/>
            <w:right w:w="108" w:type="dxa"/>
          </w:tblCellMar>
        </w:tblPrEx>
        <w:trPr>
          <w:trHeight w:val="1180" w:hRule="atLeast"/>
        </w:trPr>
        <w:tc>
          <w:tcPr>
            <w:tcW w:w="2453" w:type="dxa"/>
            <w:tcBorders>
              <w:top w:val="single" w:color="auto" w:sz="4" w:space="0"/>
              <w:left w:val="single" w:color="auto" w:sz="4" w:space="0"/>
              <w:bottom w:val="single" w:color="auto" w:sz="4" w:space="0"/>
              <w:right w:val="single" w:color="auto" w:sz="4" w:space="0"/>
            </w:tcBorders>
            <w:vAlign w:val="center"/>
          </w:tcPr>
          <w:p w14:paraId="43894DEA">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巨额赎回</w:t>
            </w:r>
          </w:p>
        </w:tc>
        <w:tc>
          <w:tcPr>
            <w:tcW w:w="6972" w:type="dxa"/>
            <w:tcBorders>
              <w:top w:val="single" w:color="auto" w:sz="4" w:space="0"/>
              <w:left w:val="single" w:color="auto" w:sz="4" w:space="0"/>
              <w:bottom w:val="single" w:color="auto" w:sz="4" w:space="0"/>
              <w:right w:val="single" w:color="auto" w:sz="4" w:space="0"/>
            </w:tcBorders>
            <w:vAlign w:val="center"/>
          </w:tcPr>
          <w:p w14:paraId="19296BF9">
            <w:pPr>
              <w:keepNext w:val="0"/>
              <w:keepLines w:val="0"/>
              <w:widowControl/>
              <w:numPr>
                <w:ilvl w:val="-1"/>
                <w:numId w:val="0"/>
              </w:numPr>
              <w:suppressLineNumbers w:val="0"/>
              <w:spacing w:line="400" w:lineRule="exact"/>
              <w:jc w:val="left"/>
              <w:textAlignment w:val="center"/>
              <w:rPr>
                <w:rFonts w:hint="eastAsia" w:asciiTheme="minorEastAsia" w:hAnsiTheme="minorEastAsia"/>
                <w:b/>
                <w:color w:val="auto"/>
                <w:szCs w:val="24"/>
                <w:highlight w:val="none"/>
              </w:rPr>
            </w:pPr>
            <w:r>
              <w:rPr>
                <w:rFonts w:hint="eastAsia" w:asciiTheme="minorEastAsia" w:hAnsiTheme="minorEastAsia"/>
                <w:b/>
                <w:color w:val="auto"/>
                <w:szCs w:val="24"/>
                <w:highlight w:val="none"/>
              </w:rPr>
              <w:t>单个开放日内，产品净赎回申请（赎回申请总份额扣除申购总份额后的余额,下同）超过前一日终理财产品总份额的【10％】，即为发生巨额赎回。</w:t>
            </w:r>
          </w:p>
          <w:p w14:paraId="660CB6FA">
            <w:pPr>
              <w:keepNext w:val="0"/>
              <w:keepLines w:val="0"/>
              <w:widowControl/>
              <w:numPr>
                <w:ilvl w:val="-1"/>
                <w:numId w:val="0"/>
              </w:numPr>
              <w:suppressLineNumbers w:val="0"/>
              <w:spacing w:line="400" w:lineRule="exact"/>
              <w:jc w:val="left"/>
              <w:textAlignment w:val="center"/>
              <w:rPr>
                <w:rFonts w:hint="eastAsia" w:asciiTheme="minorEastAsia" w:hAnsiTheme="minorEastAsia"/>
                <w:b/>
                <w:color w:val="auto"/>
                <w:szCs w:val="24"/>
                <w:highlight w:val="none"/>
              </w:rPr>
            </w:pPr>
            <w:r>
              <w:rPr>
                <w:rFonts w:hint="eastAsia" w:asciiTheme="minorEastAsia" w:hAnsiTheme="minorEastAsia"/>
                <w:b/>
                <w:color w:val="auto"/>
                <w:szCs w:val="24"/>
                <w:highlight w:val="none"/>
              </w:rPr>
              <w:t>本理财产品在开放日发生巨额赎回时，管理人有权根据产品的实际运作情况采取如下措施中的一种：</w:t>
            </w:r>
          </w:p>
          <w:p w14:paraId="31F05701">
            <w:pPr>
              <w:keepNext w:val="0"/>
              <w:keepLines w:val="0"/>
              <w:widowControl/>
              <w:numPr>
                <w:ilvl w:val="-1"/>
                <w:numId w:val="0"/>
              </w:numPr>
              <w:suppressLineNumbers w:val="0"/>
              <w:spacing w:line="400" w:lineRule="exact"/>
              <w:jc w:val="left"/>
              <w:textAlignment w:val="center"/>
              <w:rPr>
                <w:rFonts w:hint="eastAsia" w:asciiTheme="minorEastAsia" w:hAnsiTheme="minorEastAsia"/>
                <w:b/>
                <w:color w:val="auto"/>
                <w:szCs w:val="24"/>
                <w:highlight w:val="none"/>
              </w:rPr>
            </w:pPr>
            <w:r>
              <w:rPr>
                <w:rFonts w:hint="eastAsia" w:asciiTheme="minorEastAsia" w:hAnsiTheme="minorEastAsia"/>
                <w:b/>
                <w:color w:val="auto"/>
                <w:szCs w:val="24"/>
                <w:highlight w:val="none"/>
              </w:rPr>
              <w:t>1.接受全额赎回：当管理人认为有能力兑付投资者的全部赎回申请时，将在赎回确认日按正常赎回程序执行；</w:t>
            </w:r>
          </w:p>
          <w:p w14:paraId="54E36BF3">
            <w:pPr>
              <w:keepNext w:val="0"/>
              <w:keepLines w:val="0"/>
              <w:widowControl/>
              <w:numPr>
                <w:ilvl w:val="-1"/>
                <w:numId w:val="0"/>
              </w:numPr>
              <w:suppressLineNumbers w:val="0"/>
              <w:spacing w:line="400" w:lineRule="exact"/>
              <w:jc w:val="left"/>
              <w:textAlignment w:val="center"/>
              <w:rPr>
                <w:rFonts w:hint="eastAsia" w:asciiTheme="minorEastAsia" w:hAnsiTheme="minorEastAsia"/>
                <w:b/>
                <w:color w:val="auto"/>
                <w:szCs w:val="24"/>
                <w:highlight w:val="none"/>
              </w:rPr>
            </w:pPr>
            <w:r>
              <w:rPr>
                <w:rFonts w:hint="eastAsia" w:asciiTheme="minorEastAsia" w:hAnsiTheme="minorEastAsia"/>
                <w:b/>
                <w:color w:val="auto"/>
                <w:szCs w:val="24"/>
                <w:highlight w:val="none"/>
              </w:rPr>
              <w:t>2.接受部分赎回：当管理人认为兑付投资者的赎回申请有困难，或认为兑付投资者的赎回申请可能会对本理财产品的资产净值造成较大波动时，在赎回确认日管理人办理的赎回份额将不低于前一日终理财产品总份额的【10％】，对于其余赎回申请管理人可暂停接受或延期办理。</w:t>
            </w:r>
          </w:p>
          <w:p w14:paraId="6FD0A13C">
            <w:pPr>
              <w:keepNext w:val="0"/>
              <w:keepLines w:val="0"/>
              <w:widowControl/>
              <w:numPr>
                <w:ilvl w:val="-1"/>
                <w:numId w:val="0"/>
              </w:numPr>
              <w:suppressLineNumbers w:val="0"/>
              <w:spacing w:line="400" w:lineRule="exact"/>
              <w:jc w:val="left"/>
              <w:textAlignment w:val="center"/>
              <w:rPr>
                <w:rFonts w:hint="eastAsia" w:asciiTheme="minorEastAsia" w:hAnsiTheme="minorEastAsia"/>
                <w:b/>
                <w:color w:val="auto"/>
                <w:szCs w:val="24"/>
                <w:highlight w:val="none"/>
              </w:rPr>
            </w:pPr>
            <w:r>
              <w:rPr>
                <w:rFonts w:hint="eastAsia" w:asciiTheme="minorEastAsia" w:hAnsiTheme="minorEastAsia"/>
                <w:b/>
                <w:color w:val="auto"/>
                <w:szCs w:val="24"/>
                <w:highlight w:val="none"/>
              </w:rPr>
              <w:t>（1）对于接受赎回申请的部分，管理人将按单个投资者的赎回申请份额占当日所有投资者的赎回申请总份额的比例，确认该投资者当日办理的赎回申请份额。</w:t>
            </w:r>
          </w:p>
          <w:p w14:paraId="5F14C13D">
            <w:pPr>
              <w:keepNext w:val="0"/>
              <w:keepLines w:val="0"/>
              <w:widowControl/>
              <w:numPr>
                <w:ilvl w:val="-1"/>
                <w:numId w:val="0"/>
              </w:numPr>
              <w:suppressLineNumbers w:val="0"/>
              <w:spacing w:line="400" w:lineRule="exact"/>
              <w:jc w:val="left"/>
              <w:textAlignment w:val="center"/>
              <w:rPr>
                <w:rFonts w:hint="eastAsia" w:asciiTheme="minorEastAsia" w:hAnsiTheme="minorEastAsia"/>
                <w:b/>
                <w:color w:val="auto"/>
                <w:szCs w:val="24"/>
                <w:highlight w:val="none"/>
              </w:rPr>
            </w:pPr>
            <w:r>
              <w:rPr>
                <w:rFonts w:hint="eastAsia" w:asciiTheme="minorEastAsia" w:hAnsiTheme="minorEastAsia"/>
                <w:b/>
                <w:color w:val="auto"/>
                <w:szCs w:val="24"/>
                <w:highlight w:val="none"/>
              </w:rPr>
              <w:t>（2）对于暂停接受的部分，管理人将拒绝该部分赎回申请，投资者可在下一个产品开放日再次发起赎回申请。</w:t>
            </w:r>
          </w:p>
          <w:p w14:paraId="322557FB">
            <w:pPr>
              <w:keepNext w:val="0"/>
              <w:keepLines w:val="0"/>
              <w:widowControl/>
              <w:numPr>
                <w:ilvl w:val="-1"/>
                <w:numId w:val="0"/>
              </w:numPr>
              <w:suppressLineNumbers w:val="0"/>
              <w:spacing w:line="400" w:lineRule="exact"/>
              <w:jc w:val="left"/>
              <w:textAlignment w:val="center"/>
              <w:rPr>
                <w:rFonts w:hint="eastAsia" w:asciiTheme="minorEastAsia" w:hAnsiTheme="minorEastAsia"/>
                <w:b/>
                <w:color w:val="auto"/>
                <w:szCs w:val="24"/>
                <w:highlight w:val="none"/>
              </w:rPr>
            </w:pPr>
            <w:r>
              <w:rPr>
                <w:rFonts w:hint="eastAsia" w:asciiTheme="minorEastAsia" w:hAnsiTheme="minorEastAsia"/>
                <w:b/>
                <w:color w:val="auto"/>
                <w:szCs w:val="24"/>
                <w:highlight w:val="none"/>
              </w:rPr>
              <w:t>（3）对于延期办理的部分，管理人将在下一个产品开放日自动为投资者发起该部分的赎回，延期赎回的申请与下一个【</w:t>
            </w:r>
            <w:r>
              <w:rPr>
                <w:rFonts w:hint="eastAsia" w:asciiTheme="minorEastAsia" w:hAnsiTheme="minorEastAsia"/>
                <w:b/>
                <w:color w:val="auto"/>
                <w:szCs w:val="24"/>
                <w:highlight w:val="none"/>
                <w:lang w:eastAsia="zh-CN"/>
              </w:rPr>
              <w:t>□</w:t>
            </w:r>
            <w:r>
              <w:rPr>
                <w:rFonts w:hint="eastAsia" w:asciiTheme="minorEastAsia" w:hAnsiTheme="minorEastAsia"/>
                <w:b/>
                <w:color w:val="auto"/>
                <w:szCs w:val="24"/>
                <w:highlight w:val="none"/>
              </w:rPr>
              <w:t>工作日/</w:t>
            </w:r>
            <w:r>
              <w:rPr>
                <w:rFonts w:hint="eastAsia" w:asciiTheme="minorEastAsia" w:hAnsiTheme="minorEastAsia"/>
                <w:b/>
                <w:color w:val="auto"/>
                <w:szCs w:val="24"/>
                <w:highlight w:val="none"/>
                <w:lang w:eastAsia="zh-CN"/>
              </w:rPr>
              <w:t>☑</w:t>
            </w:r>
            <w:r>
              <w:rPr>
                <w:rFonts w:hint="eastAsia" w:asciiTheme="minorEastAsia" w:hAnsiTheme="minorEastAsia"/>
                <w:b/>
                <w:color w:val="auto"/>
                <w:szCs w:val="24"/>
                <w:highlight w:val="none"/>
              </w:rPr>
              <w:t>交易日】赎回申请一并处理，不享有优先确认权，且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销售机构提供的服务，投资者可以在申请赎回时选择在触发巨额赎回情形下将当日未获办理部分取消或者顺延。投资者选择取消的，未获办理部分管理人将参考“</w:t>
            </w:r>
            <w:r>
              <w:rPr>
                <w:rFonts w:asciiTheme="minorEastAsia" w:hAnsiTheme="minorEastAsia"/>
                <w:b/>
                <w:color w:val="auto"/>
                <w:szCs w:val="24"/>
                <w:highlight w:val="none"/>
              </w:rPr>
              <w:t>2.</w:t>
            </w:r>
            <w:r>
              <w:rPr>
                <w:rFonts w:hint="eastAsia" w:asciiTheme="minorEastAsia" w:hAnsiTheme="minorEastAsia"/>
                <w:b/>
                <w:color w:val="auto"/>
                <w:szCs w:val="24"/>
                <w:highlight w:val="none"/>
              </w:rPr>
              <w:t>接受部分赎回（</w:t>
            </w:r>
            <w:r>
              <w:rPr>
                <w:rFonts w:asciiTheme="minorEastAsia" w:hAnsiTheme="minorEastAsia"/>
                <w:b/>
                <w:color w:val="auto"/>
                <w:szCs w:val="24"/>
                <w:highlight w:val="none"/>
              </w:rPr>
              <w:t>2</w:t>
            </w:r>
            <w:r>
              <w:rPr>
                <w:rFonts w:hint="eastAsia" w:asciiTheme="minorEastAsia" w:hAnsiTheme="minorEastAsia"/>
                <w:b/>
                <w:color w:val="auto"/>
                <w:szCs w:val="24"/>
                <w:highlight w:val="none"/>
              </w:rPr>
              <w:t>）对于暂停接受的部分”采取措施；投资者选择顺延的，顺延部分管理人将参考“</w:t>
            </w:r>
            <w:r>
              <w:rPr>
                <w:rFonts w:asciiTheme="minorEastAsia" w:hAnsiTheme="minorEastAsia"/>
                <w:b/>
                <w:color w:val="auto"/>
                <w:szCs w:val="24"/>
                <w:highlight w:val="none"/>
              </w:rPr>
              <w:t>2.</w:t>
            </w:r>
            <w:r>
              <w:rPr>
                <w:rFonts w:hint="eastAsia" w:asciiTheme="minorEastAsia" w:hAnsiTheme="minorEastAsia"/>
                <w:b/>
                <w:color w:val="auto"/>
                <w:szCs w:val="24"/>
                <w:highlight w:val="none"/>
              </w:rPr>
              <w:t>接受部分赎回（</w:t>
            </w:r>
            <w:r>
              <w:rPr>
                <w:rFonts w:asciiTheme="minorEastAsia" w:hAnsiTheme="minorEastAsia"/>
                <w:b/>
                <w:color w:val="auto"/>
                <w:szCs w:val="24"/>
                <w:highlight w:val="none"/>
              </w:rPr>
              <w:t>3</w:t>
            </w:r>
            <w:r>
              <w:rPr>
                <w:rFonts w:hint="eastAsia" w:asciiTheme="minorEastAsia" w:hAnsiTheme="minorEastAsia"/>
                <w:b/>
                <w:color w:val="auto"/>
                <w:szCs w:val="24"/>
                <w:highlight w:val="none"/>
              </w:rPr>
              <w:t>）对于延期办理的部分”采取措施。具体服务投资者可详询销售机构，最终以销售机构提供的服务为准。</w:t>
            </w:r>
          </w:p>
          <w:p w14:paraId="31D145DB">
            <w:pPr>
              <w:keepNext w:val="0"/>
              <w:keepLines w:val="0"/>
              <w:widowControl/>
              <w:numPr>
                <w:ilvl w:val="-1"/>
                <w:numId w:val="0"/>
              </w:numPr>
              <w:suppressLineNumbers w:val="0"/>
              <w:spacing w:line="400" w:lineRule="exact"/>
              <w:jc w:val="left"/>
              <w:textAlignment w:val="center"/>
              <w:rPr>
                <w:rFonts w:hint="eastAsia" w:ascii="宋体" w:hAnsi="宋体"/>
                <w:b/>
                <w:bCs w:val="0"/>
                <w:color w:val="auto"/>
                <w:szCs w:val="24"/>
                <w:highlight w:val="none"/>
                <w:u w:val="none"/>
              </w:rPr>
            </w:pPr>
            <w:r>
              <w:rPr>
                <w:rFonts w:hint="eastAsia" w:ascii="宋体" w:hAnsi="宋体" w:cstheme="minorBidi"/>
                <w:b/>
                <w:bCs w:val="0"/>
                <w:color w:val="auto"/>
                <w:kern w:val="2"/>
                <w:sz w:val="24"/>
                <w:szCs w:val="24"/>
                <w:highlight w:val="none"/>
                <w:u w:val="none"/>
                <w:lang w:val="en-US" w:eastAsia="zh-CN" w:bidi="ar"/>
              </w:rPr>
              <w:t>3.</w:t>
            </w:r>
            <w:r>
              <w:rPr>
                <w:rFonts w:hint="eastAsia" w:ascii="宋体" w:hAnsi="宋体" w:eastAsia="仿宋_GB2312" w:cstheme="minorBidi"/>
                <w:b/>
                <w:bCs w:val="0"/>
                <w:color w:val="auto"/>
                <w:kern w:val="2"/>
                <w:sz w:val="24"/>
                <w:szCs w:val="24"/>
                <w:highlight w:val="none"/>
                <w:u w:val="none"/>
                <w:lang w:val="en-US" w:eastAsia="zh-CN" w:bidi="ar"/>
              </w:rPr>
              <w:t>收取短期赎回费：产品发生巨额赎回或产品管理人认为可能会导致产品流动性风险的其他情形下，产品管理人可向连续持有少于7日的开放式理财产品投资者收取短期赎回费，并将上述短期赎回费全额计入理财产品财产。产品管理人将在收取短期赎回费后3个</w:t>
            </w:r>
            <w:r>
              <w:rPr>
                <w:rFonts w:hint="eastAsia" w:ascii="宋体" w:hAnsi="宋体" w:cstheme="minorBidi"/>
                <w:b/>
                <w:bCs w:val="0"/>
                <w:color w:val="auto"/>
                <w:kern w:val="2"/>
                <w:sz w:val="24"/>
                <w:szCs w:val="24"/>
                <w:highlight w:val="none"/>
                <w:u w:val="none"/>
                <w:lang w:val="en-US" w:eastAsia="zh-CN" w:bidi="ar"/>
              </w:rPr>
              <w:t>交易日</w:t>
            </w:r>
            <w:r>
              <w:rPr>
                <w:rFonts w:hint="eastAsia" w:ascii="宋体" w:hAnsi="宋体" w:eastAsia="仿宋_GB2312" w:cstheme="minorBidi"/>
                <w:b/>
                <w:bCs w:val="0"/>
                <w:color w:val="auto"/>
                <w:kern w:val="2"/>
                <w:sz w:val="24"/>
                <w:szCs w:val="24"/>
                <w:highlight w:val="none"/>
                <w:u w:val="none"/>
                <w:lang w:val="en-US" w:eastAsia="zh-CN" w:bidi="ar"/>
              </w:rPr>
              <w:t>内通过公告的形式向相关投资者披露短期赎回费率、费用计算方式、收费方式等信息。</w:t>
            </w:r>
          </w:p>
          <w:p w14:paraId="78145D2E">
            <w:pPr>
              <w:widowControl/>
              <w:spacing w:line="400" w:lineRule="exact"/>
              <w:jc w:val="left"/>
              <w:textAlignment w:val="center"/>
              <w:rPr>
                <w:rFonts w:hint="eastAsia" w:asciiTheme="minorEastAsia" w:hAnsiTheme="minorEastAsia"/>
                <w:b/>
                <w:color w:val="auto"/>
                <w:szCs w:val="24"/>
                <w:highlight w:val="none"/>
                <w:u w:val="none"/>
              </w:rPr>
            </w:pPr>
          </w:p>
          <w:p w14:paraId="03918D3E">
            <w:pPr>
              <w:widowControl/>
              <w:spacing w:line="400" w:lineRule="exact"/>
              <w:jc w:val="left"/>
              <w:textAlignment w:val="center"/>
              <w:rPr>
                <w:rFonts w:hint="eastAsia" w:ascii="仿宋_GB2312" w:hAnsi="宋体" w:cs="宋体"/>
                <w:b/>
                <w:bCs/>
                <w:color w:val="auto"/>
                <w:kern w:val="0"/>
                <w:szCs w:val="24"/>
                <w:highlight w:val="none"/>
                <w:u w:val="none"/>
              </w:rPr>
            </w:pPr>
            <w:r>
              <w:rPr>
                <w:rFonts w:hint="eastAsia" w:ascii="仿宋_GB2312" w:hAnsi="宋体" w:cs="宋体"/>
                <w:b/>
                <w:bCs/>
                <w:color w:val="auto"/>
                <w:kern w:val="0"/>
                <w:szCs w:val="24"/>
                <w:highlight w:val="none"/>
                <w:u w:val="none"/>
              </w:rPr>
              <w:t>当本理财产品连续</w:t>
            </w:r>
            <w:r>
              <w:rPr>
                <w:rFonts w:ascii="仿宋_GB2312" w:hAnsi="宋体" w:cs="宋体"/>
                <w:b/>
                <w:bCs/>
                <w:color w:val="auto"/>
                <w:kern w:val="0"/>
                <w:szCs w:val="24"/>
                <w:highlight w:val="none"/>
                <w:u w:val="none"/>
              </w:rPr>
              <w:t>2</w:t>
            </w:r>
            <w:r>
              <w:rPr>
                <w:rFonts w:hint="eastAsia" w:ascii="仿宋_GB2312" w:hAnsi="宋体" w:cs="宋体"/>
                <w:b/>
                <w:bCs/>
                <w:color w:val="auto"/>
                <w:kern w:val="0"/>
                <w:szCs w:val="24"/>
                <w:highlight w:val="none"/>
                <w:u w:val="none"/>
              </w:rPr>
              <w:t>个以上开放日发生巨额赎回时，除采取上述措施外，对于已经接受的赎回申请，管理人有权延缓支付赎回款项，但延缓期限不得超过</w:t>
            </w:r>
            <w:r>
              <w:rPr>
                <w:rFonts w:ascii="仿宋_GB2312" w:hAnsi="宋体" w:cs="宋体"/>
                <w:b/>
                <w:bCs/>
                <w:color w:val="auto"/>
                <w:kern w:val="0"/>
                <w:szCs w:val="24"/>
                <w:highlight w:val="none"/>
                <w:u w:val="none"/>
              </w:rPr>
              <w:t>20</w:t>
            </w:r>
            <w:r>
              <w:rPr>
                <w:rFonts w:hint="eastAsia" w:ascii="仿宋_GB2312" w:hAnsi="宋体" w:cs="宋体"/>
                <w:b/>
                <w:bCs/>
                <w:color w:val="auto"/>
                <w:kern w:val="0"/>
                <w:szCs w:val="24"/>
                <w:highlight w:val="none"/>
                <w:u w:val="none"/>
              </w:rPr>
              <w:t>个工作日。</w:t>
            </w:r>
          </w:p>
        </w:tc>
      </w:tr>
      <w:tr w14:paraId="4E2E882D">
        <w:tblPrEx>
          <w:tblCellMar>
            <w:top w:w="0" w:type="dxa"/>
            <w:left w:w="108" w:type="dxa"/>
            <w:bottom w:w="0" w:type="dxa"/>
            <w:right w:w="108" w:type="dxa"/>
          </w:tblCellMar>
        </w:tblPrEx>
        <w:trPr>
          <w:trHeight w:val="1140" w:hRule="atLeast"/>
        </w:trPr>
        <w:tc>
          <w:tcPr>
            <w:tcW w:w="2453" w:type="dxa"/>
            <w:tcBorders>
              <w:top w:val="single" w:color="auto" w:sz="4" w:space="0"/>
              <w:left w:val="single" w:color="auto" w:sz="4" w:space="0"/>
              <w:bottom w:val="single" w:color="auto" w:sz="4" w:space="0"/>
              <w:right w:val="single" w:color="auto" w:sz="4" w:space="0"/>
            </w:tcBorders>
            <w:vAlign w:val="center"/>
          </w:tcPr>
          <w:p w14:paraId="62FC39D9">
            <w:pPr>
              <w:snapToGrid w:val="0"/>
              <w:ind w:left="-163" w:leftChars="-74" w:hanging="15" w:firstLineChars="0"/>
              <w:jc w:val="center"/>
              <w:rPr>
                <w:rFonts w:hint="eastAsia" w:ascii="仿宋_GB2312" w:hAnsi="等线" w:eastAsia="仿宋_GB2312" w:cs="仿宋_GB2312"/>
                <w:color w:val="auto"/>
                <w:kern w:val="0"/>
                <w:sz w:val="24"/>
                <w:highlight w:val="none"/>
                <w:lang w:bidi="ar"/>
              </w:rPr>
            </w:pPr>
            <w:r>
              <w:rPr>
                <w:rFonts w:hint="eastAsia" w:asciiTheme="minorEastAsia" w:hAnsiTheme="minorEastAsia"/>
                <w:color w:val="auto"/>
                <w:kern w:val="0"/>
                <w:szCs w:val="24"/>
                <w:highlight w:val="none"/>
                <w:u w:val="none"/>
              </w:rPr>
              <w:t>撤销规则</w:t>
            </w:r>
          </w:p>
        </w:tc>
        <w:tc>
          <w:tcPr>
            <w:tcW w:w="6972" w:type="dxa"/>
            <w:tcBorders>
              <w:top w:val="single" w:color="auto" w:sz="4" w:space="0"/>
              <w:left w:val="single" w:color="auto" w:sz="4" w:space="0"/>
              <w:bottom w:val="single" w:color="auto" w:sz="4" w:space="0"/>
              <w:right w:val="single" w:color="auto" w:sz="4" w:space="0"/>
            </w:tcBorders>
            <w:vAlign w:val="center"/>
          </w:tcPr>
          <w:p w14:paraId="58D7898D">
            <w:pPr>
              <w:snapToGrid w:val="0"/>
              <w:jc w:val="left"/>
              <w:rPr>
                <w:rFonts w:asciiTheme="minorEastAsia" w:hAnsiTheme="minorEastAsia"/>
                <w:color w:val="auto"/>
                <w:szCs w:val="24"/>
                <w:highlight w:val="none"/>
                <w:u w:val="none"/>
              </w:rPr>
            </w:pPr>
            <w:r>
              <w:rPr>
                <w:rFonts w:hint="eastAsia" w:asciiTheme="minorEastAsia" w:hAnsiTheme="minorEastAsia"/>
                <w:color w:val="auto"/>
                <w:szCs w:val="24"/>
                <w:highlight w:val="none"/>
                <w:u w:val="none"/>
              </w:rPr>
              <w:t>1.投资者可在本理财产品募集期结束前撤销已成功提交的产品认购申请；</w:t>
            </w:r>
          </w:p>
          <w:p w14:paraId="1A38B536">
            <w:pPr>
              <w:snapToGrid w:val="0"/>
              <w:jc w:val="left"/>
              <w:rPr>
                <w:rFonts w:asciiTheme="minorEastAsia" w:hAnsiTheme="minorEastAsia"/>
                <w:color w:val="auto"/>
                <w:szCs w:val="24"/>
                <w:highlight w:val="none"/>
                <w:u w:val="none"/>
              </w:rPr>
            </w:pPr>
            <w:r>
              <w:rPr>
                <w:rFonts w:hint="eastAsia" w:asciiTheme="minorEastAsia" w:hAnsiTheme="minorEastAsia"/>
                <w:color w:val="auto"/>
                <w:szCs w:val="24"/>
                <w:highlight w:val="none"/>
                <w:u w:val="none"/>
              </w:rPr>
              <w:t>2.投资者可</w:t>
            </w:r>
            <w:r>
              <w:rPr>
                <w:rFonts w:hint="eastAsia" w:asciiTheme="minorEastAsia" w:hAnsiTheme="minorEastAsia"/>
                <w:b/>
                <w:color w:val="auto"/>
                <w:szCs w:val="24"/>
                <w:highlight w:val="none"/>
                <w:u w:val="none"/>
              </w:rPr>
              <w:t>在任一开放日【15:00】前（含）撤销已成功提交的理财产品申购、赎回申请，【15:00】后不可撤销</w:t>
            </w:r>
            <w:r>
              <w:rPr>
                <w:rFonts w:hint="eastAsia" w:asciiTheme="minorEastAsia" w:hAnsiTheme="minorEastAsia"/>
                <w:color w:val="auto"/>
                <w:szCs w:val="24"/>
                <w:highlight w:val="none"/>
                <w:u w:val="none"/>
              </w:rPr>
              <w:t>；</w:t>
            </w:r>
          </w:p>
          <w:p w14:paraId="5643CB60">
            <w:pPr>
              <w:snapToGrid w:val="0"/>
              <w:jc w:val="left"/>
              <w:rPr>
                <w:rFonts w:hint="eastAsia" w:ascii="仿宋" w:hAnsi="仿宋" w:eastAsia="仿宋" w:cs="宋体"/>
                <w:bCs/>
                <w:color w:val="auto"/>
                <w:kern w:val="0"/>
                <w:sz w:val="24"/>
                <w:highlight w:val="none"/>
                <w:lang w:bidi="ar"/>
              </w:rPr>
            </w:pPr>
            <w:r>
              <w:rPr>
                <w:rFonts w:hint="eastAsia" w:asciiTheme="minorEastAsia" w:hAnsiTheme="minorEastAsia"/>
                <w:color w:val="auto"/>
                <w:szCs w:val="24"/>
                <w:highlight w:val="none"/>
                <w:u w:val="none"/>
              </w:rPr>
              <w:t>3.</w:t>
            </w:r>
            <w:r>
              <w:rPr>
                <w:rFonts w:hint="eastAsia"/>
                <w:b/>
                <w:color w:val="auto"/>
                <w:szCs w:val="24"/>
                <w:highlight w:val="none"/>
                <w:u w:val="none"/>
              </w:rPr>
              <w:t>销售机构实际受理撤销申请时间可能与说明书不一致，具体以销售机构展示为准。</w:t>
            </w:r>
          </w:p>
        </w:tc>
      </w:tr>
      <w:tr w14:paraId="1F592998">
        <w:tblPrEx>
          <w:tblCellMar>
            <w:top w:w="0" w:type="dxa"/>
            <w:left w:w="108" w:type="dxa"/>
            <w:bottom w:w="0" w:type="dxa"/>
            <w:right w:w="108" w:type="dxa"/>
          </w:tblCellMar>
        </w:tblPrEx>
        <w:trPr>
          <w:trHeight w:val="1140" w:hRule="atLeast"/>
        </w:trPr>
        <w:tc>
          <w:tcPr>
            <w:tcW w:w="2453" w:type="dxa"/>
            <w:tcBorders>
              <w:top w:val="single" w:color="auto" w:sz="4" w:space="0"/>
              <w:left w:val="single" w:color="auto" w:sz="4" w:space="0"/>
              <w:bottom w:val="single" w:color="auto" w:sz="4" w:space="0"/>
              <w:right w:val="single" w:color="auto" w:sz="4" w:space="0"/>
            </w:tcBorders>
            <w:vAlign w:val="center"/>
          </w:tcPr>
          <w:p w14:paraId="69527B40">
            <w:pPr>
              <w:snapToGrid w:val="0"/>
              <w:ind w:left="-163" w:leftChars="-74" w:hanging="15" w:firstLineChars="0"/>
              <w:jc w:val="center"/>
              <w:rPr>
                <w:rFonts w:hint="eastAsia" w:ascii="仿宋_GB2312" w:hAnsi="等线" w:eastAsia="仿宋_GB2312" w:cs="仿宋_GB2312"/>
                <w:color w:val="auto"/>
                <w:kern w:val="0"/>
                <w:sz w:val="24"/>
                <w:highlight w:val="none"/>
                <w:lang w:bidi="ar"/>
              </w:rPr>
            </w:pPr>
            <w:r>
              <w:rPr>
                <w:rFonts w:hint="eastAsia" w:ascii="宋体" w:hAnsi="宋体"/>
                <w:bCs/>
                <w:color w:val="auto"/>
                <w:szCs w:val="24"/>
                <w:highlight w:val="none"/>
                <w:u w:val="none"/>
              </w:rPr>
              <w:t>认/申购数量</w:t>
            </w:r>
            <w:r>
              <w:rPr>
                <w:rFonts w:ascii="宋体" w:hAnsi="宋体"/>
                <w:bCs/>
                <w:color w:val="auto"/>
                <w:szCs w:val="24"/>
                <w:highlight w:val="none"/>
                <w:u w:val="none"/>
              </w:rPr>
              <w:t>限制</w:t>
            </w:r>
          </w:p>
        </w:tc>
        <w:tc>
          <w:tcPr>
            <w:tcW w:w="6972" w:type="dxa"/>
            <w:tcBorders>
              <w:top w:val="single" w:color="auto" w:sz="4" w:space="0"/>
              <w:left w:val="single" w:color="auto" w:sz="4" w:space="0"/>
              <w:bottom w:val="single" w:color="auto" w:sz="4" w:space="0"/>
              <w:right w:val="single" w:color="auto" w:sz="4" w:space="0"/>
            </w:tcBorders>
            <w:vAlign w:val="center"/>
          </w:tcPr>
          <w:p w14:paraId="2AFF855B">
            <w:pPr>
              <w:widowControl/>
              <w:numPr>
                <w:ilvl w:val="0"/>
                <w:numId w:val="2"/>
              </w:numPr>
              <w:jc w:val="left"/>
              <w:rPr>
                <w:rFonts w:asciiTheme="minorEastAsia" w:hAnsiTheme="minorEastAsia"/>
                <w:color w:val="auto"/>
                <w:szCs w:val="24"/>
                <w:highlight w:val="none"/>
                <w:u w:val="none"/>
              </w:rPr>
            </w:pPr>
            <w:r>
              <w:rPr>
                <w:rFonts w:hint="eastAsia" w:ascii="宋体" w:hAnsi="宋体"/>
                <w:bCs/>
                <w:color w:val="auto"/>
                <w:szCs w:val="24"/>
                <w:highlight w:val="none"/>
                <w:u w:val="none"/>
                <w:lang w:val="en-US" w:eastAsia="zh-CN"/>
              </w:rPr>
              <w:t>A类份额：【</w:t>
            </w:r>
            <w:r>
              <w:rPr>
                <w:rFonts w:hint="eastAsia" w:ascii="宋体" w:hAnsi="宋体"/>
                <w:bCs/>
                <w:color w:val="auto"/>
                <w:szCs w:val="24"/>
                <w:highlight w:val="none"/>
                <w:u w:val="none"/>
                <w:lang w:eastAsia="zh-CN"/>
              </w:rPr>
              <w:t>单一】</w:t>
            </w:r>
            <w:r>
              <w:rPr>
                <w:rFonts w:hint="eastAsia" w:ascii="宋体" w:hAnsi="宋体"/>
                <w:bCs/>
                <w:color w:val="auto"/>
                <w:szCs w:val="24"/>
                <w:highlight w:val="none"/>
                <w:u w:val="none"/>
              </w:rPr>
              <w:t>投资者认购上限为【</w:t>
            </w:r>
            <w:r>
              <w:rPr>
                <w:rFonts w:hint="eastAsia" w:ascii="宋体" w:hAnsi="宋体"/>
                <w:bCs/>
                <w:color w:val="auto"/>
                <w:szCs w:val="24"/>
                <w:highlight w:val="none"/>
                <w:u w:val="none"/>
                <w:lang w:val="en-US" w:eastAsia="zh-CN"/>
              </w:rPr>
              <w:t>10000</w:t>
            </w:r>
            <w:r>
              <w:rPr>
                <w:rFonts w:hint="eastAsia" w:ascii="宋体" w:hAnsi="宋体"/>
                <w:bCs/>
                <w:color w:val="auto"/>
                <w:szCs w:val="24"/>
                <w:highlight w:val="none"/>
                <w:u w:val="none"/>
              </w:rPr>
              <w:t>】万元。</w:t>
            </w:r>
            <w:r>
              <w:rPr>
                <w:rFonts w:hint="eastAsia" w:ascii="宋体" w:hAnsi="宋体"/>
                <w:bCs/>
                <w:color w:val="auto"/>
                <w:szCs w:val="24"/>
                <w:highlight w:val="none"/>
                <w:u w:val="none"/>
                <w:lang w:val="en-US" w:eastAsia="zh-CN"/>
              </w:rPr>
              <w:t>【</w:t>
            </w:r>
            <w:r>
              <w:rPr>
                <w:rFonts w:hint="eastAsia" w:ascii="宋体" w:hAnsi="宋体"/>
                <w:bCs/>
                <w:color w:val="auto"/>
                <w:szCs w:val="24"/>
                <w:highlight w:val="none"/>
                <w:u w:val="none"/>
                <w:lang w:eastAsia="zh-CN"/>
              </w:rPr>
              <w:t>单一】</w:t>
            </w:r>
            <w:r>
              <w:rPr>
                <w:rFonts w:hint="eastAsia" w:ascii="宋体" w:hAnsi="宋体"/>
                <w:bCs/>
                <w:color w:val="auto"/>
                <w:szCs w:val="24"/>
                <w:highlight w:val="none"/>
                <w:u w:val="none"/>
              </w:rPr>
              <w:t>投资者申购上限为【</w:t>
            </w:r>
            <w:r>
              <w:rPr>
                <w:rFonts w:hint="eastAsia" w:ascii="宋体" w:hAnsi="宋体"/>
                <w:bCs/>
                <w:color w:val="auto"/>
                <w:szCs w:val="24"/>
                <w:highlight w:val="none"/>
                <w:u w:val="none"/>
                <w:lang w:val="en-US" w:eastAsia="zh-CN"/>
              </w:rPr>
              <w:t>100</w:t>
            </w:r>
            <w:r>
              <w:rPr>
                <w:rFonts w:hint="eastAsia" w:ascii="宋体" w:hAnsi="宋体"/>
                <w:bCs/>
                <w:color w:val="auto"/>
                <w:szCs w:val="24"/>
                <w:highlight w:val="none"/>
                <w:u w:val="none"/>
              </w:rPr>
              <w:t>00】万元。</w:t>
            </w:r>
          </w:p>
          <w:p w14:paraId="2FAC5675">
            <w:pPr>
              <w:widowControl/>
              <w:numPr>
                <w:ilvl w:val="0"/>
                <w:numId w:val="2"/>
              </w:numPr>
              <w:jc w:val="left"/>
              <w:rPr>
                <w:rFonts w:asciiTheme="minorEastAsia" w:hAnsiTheme="minorEastAsia"/>
                <w:color w:val="auto"/>
                <w:szCs w:val="24"/>
                <w:highlight w:val="none"/>
                <w:u w:val="none"/>
              </w:rPr>
            </w:pPr>
            <w:r>
              <w:rPr>
                <w:rFonts w:hint="eastAsia" w:asciiTheme="minorEastAsia" w:hAnsiTheme="minorEastAsia"/>
                <w:color w:val="auto"/>
                <w:szCs w:val="24"/>
                <w:highlight w:val="none"/>
                <w:u w:val="none"/>
                <w:lang w:val="en-US" w:eastAsia="zh-CN"/>
              </w:rPr>
              <w:t>B类份额：</w:t>
            </w:r>
            <w:r>
              <w:rPr>
                <w:rFonts w:hint="eastAsia" w:ascii="宋体" w:hAnsi="宋体"/>
                <w:bCs/>
                <w:color w:val="auto"/>
                <w:szCs w:val="24"/>
                <w:highlight w:val="none"/>
                <w:u w:val="none"/>
                <w:lang w:val="en-US" w:eastAsia="zh-CN"/>
              </w:rPr>
              <w:t>【</w:t>
            </w:r>
            <w:r>
              <w:rPr>
                <w:rFonts w:hint="eastAsia" w:ascii="宋体" w:hAnsi="宋体"/>
                <w:bCs/>
                <w:color w:val="auto"/>
                <w:szCs w:val="24"/>
                <w:highlight w:val="none"/>
                <w:u w:val="none"/>
                <w:lang w:eastAsia="zh-CN"/>
              </w:rPr>
              <w:t>单一】</w:t>
            </w:r>
            <w:r>
              <w:rPr>
                <w:rFonts w:hint="eastAsia" w:ascii="宋体" w:hAnsi="宋体"/>
                <w:bCs/>
                <w:color w:val="auto"/>
                <w:szCs w:val="24"/>
                <w:highlight w:val="none"/>
                <w:u w:val="none"/>
              </w:rPr>
              <w:t>投资者认购上限为【</w:t>
            </w:r>
            <w:r>
              <w:rPr>
                <w:rFonts w:hint="eastAsia" w:ascii="宋体" w:hAnsi="宋体"/>
                <w:bCs/>
                <w:color w:val="auto"/>
                <w:szCs w:val="24"/>
                <w:highlight w:val="none"/>
                <w:u w:val="none"/>
                <w:lang w:val="en-US" w:eastAsia="zh-CN"/>
              </w:rPr>
              <w:t>10000</w:t>
            </w:r>
            <w:r>
              <w:rPr>
                <w:rFonts w:hint="eastAsia" w:ascii="宋体" w:hAnsi="宋体"/>
                <w:bCs/>
                <w:color w:val="auto"/>
                <w:szCs w:val="24"/>
                <w:highlight w:val="none"/>
                <w:u w:val="none"/>
              </w:rPr>
              <w:t>】万元。</w:t>
            </w:r>
            <w:r>
              <w:rPr>
                <w:rFonts w:hint="eastAsia" w:ascii="宋体" w:hAnsi="宋体"/>
                <w:bCs/>
                <w:color w:val="auto"/>
                <w:szCs w:val="24"/>
                <w:highlight w:val="none"/>
                <w:u w:val="none"/>
                <w:lang w:val="en-US" w:eastAsia="zh-CN"/>
              </w:rPr>
              <w:t>【</w:t>
            </w:r>
            <w:r>
              <w:rPr>
                <w:rFonts w:hint="eastAsia" w:ascii="宋体" w:hAnsi="宋体"/>
                <w:bCs/>
                <w:color w:val="auto"/>
                <w:szCs w:val="24"/>
                <w:highlight w:val="none"/>
                <w:u w:val="none"/>
                <w:lang w:eastAsia="zh-CN"/>
              </w:rPr>
              <w:t>单一】</w:t>
            </w:r>
            <w:r>
              <w:rPr>
                <w:rFonts w:hint="eastAsia" w:ascii="宋体" w:hAnsi="宋体"/>
                <w:bCs/>
                <w:color w:val="auto"/>
                <w:szCs w:val="24"/>
                <w:highlight w:val="none"/>
                <w:u w:val="none"/>
              </w:rPr>
              <w:t>投资者申购上限为【</w:t>
            </w:r>
            <w:r>
              <w:rPr>
                <w:rFonts w:hint="eastAsia" w:ascii="宋体" w:hAnsi="宋体"/>
                <w:bCs/>
                <w:color w:val="auto"/>
                <w:szCs w:val="24"/>
                <w:highlight w:val="none"/>
                <w:u w:val="none"/>
                <w:lang w:val="en-US" w:eastAsia="zh-CN"/>
              </w:rPr>
              <w:t>10000</w:t>
            </w:r>
            <w:r>
              <w:rPr>
                <w:rFonts w:hint="eastAsia" w:ascii="宋体" w:hAnsi="宋体"/>
                <w:bCs/>
                <w:color w:val="auto"/>
                <w:szCs w:val="24"/>
                <w:highlight w:val="none"/>
                <w:u w:val="none"/>
              </w:rPr>
              <w:t>】万元。</w:t>
            </w:r>
          </w:p>
          <w:p w14:paraId="6D3C10BB">
            <w:pPr>
              <w:widowControl/>
              <w:numPr>
                <w:ilvl w:val="0"/>
                <w:numId w:val="2"/>
              </w:numPr>
              <w:jc w:val="left"/>
              <w:rPr>
                <w:rFonts w:asciiTheme="minorEastAsia" w:hAnsiTheme="minorEastAsia"/>
                <w:color w:val="auto"/>
                <w:szCs w:val="24"/>
                <w:highlight w:val="none"/>
                <w:u w:val="none"/>
              </w:rPr>
            </w:pPr>
            <w:r>
              <w:rPr>
                <w:rFonts w:hint="eastAsia" w:asciiTheme="minorEastAsia" w:hAnsiTheme="minorEastAsia"/>
                <w:color w:val="auto"/>
                <w:szCs w:val="24"/>
                <w:highlight w:val="none"/>
                <w:u w:val="none"/>
                <w:lang w:val="en-US" w:eastAsia="zh-CN"/>
              </w:rPr>
              <w:t>C类份额：</w:t>
            </w:r>
            <w:r>
              <w:rPr>
                <w:rFonts w:hint="eastAsia" w:ascii="宋体" w:hAnsi="宋体"/>
                <w:bCs/>
                <w:color w:val="auto"/>
                <w:szCs w:val="24"/>
                <w:highlight w:val="none"/>
                <w:u w:val="none"/>
                <w:lang w:val="en-US" w:eastAsia="zh-CN"/>
              </w:rPr>
              <w:t>【</w:t>
            </w:r>
            <w:r>
              <w:rPr>
                <w:rFonts w:hint="eastAsia" w:ascii="宋体" w:hAnsi="宋体"/>
                <w:bCs/>
                <w:color w:val="auto"/>
                <w:szCs w:val="24"/>
                <w:highlight w:val="none"/>
                <w:u w:val="none"/>
                <w:lang w:eastAsia="zh-CN"/>
              </w:rPr>
              <w:t>单一】</w:t>
            </w:r>
            <w:r>
              <w:rPr>
                <w:rFonts w:hint="eastAsia" w:ascii="宋体" w:hAnsi="宋体"/>
                <w:bCs/>
                <w:color w:val="auto"/>
                <w:szCs w:val="24"/>
                <w:highlight w:val="none"/>
                <w:u w:val="none"/>
              </w:rPr>
              <w:t>投资者认购上限为【</w:t>
            </w:r>
            <w:r>
              <w:rPr>
                <w:rFonts w:hint="eastAsia" w:ascii="宋体" w:hAnsi="宋体"/>
                <w:bCs/>
                <w:color w:val="auto"/>
                <w:szCs w:val="24"/>
                <w:highlight w:val="none"/>
                <w:u w:val="none"/>
                <w:lang w:val="en-US" w:eastAsia="zh-CN"/>
              </w:rPr>
              <w:t>10000</w:t>
            </w:r>
            <w:r>
              <w:rPr>
                <w:rFonts w:hint="eastAsia" w:ascii="宋体" w:hAnsi="宋体"/>
                <w:bCs/>
                <w:color w:val="auto"/>
                <w:szCs w:val="24"/>
                <w:highlight w:val="none"/>
                <w:u w:val="none"/>
              </w:rPr>
              <w:t>】万元。</w:t>
            </w:r>
            <w:r>
              <w:rPr>
                <w:rFonts w:hint="eastAsia" w:ascii="宋体" w:hAnsi="宋体"/>
                <w:bCs/>
                <w:color w:val="auto"/>
                <w:szCs w:val="24"/>
                <w:highlight w:val="none"/>
                <w:u w:val="none"/>
                <w:lang w:val="en-US" w:eastAsia="zh-CN"/>
              </w:rPr>
              <w:t>【</w:t>
            </w:r>
            <w:r>
              <w:rPr>
                <w:rFonts w:hint="eastAsia" w:ascii="宋体" w:hAnsi="宋体"/>
                <w:bCs/>
                <w:color w:val="auto"/>
                <w:szCs w:val="24"/>
                <w:highlight w:val="none"/>
                <w:u w:val="none"/>
                <w:lang w:eastAsia="zh-CN"/>
              </w:rPr>
              <w:t>单一】</w:t>
            </w:r>
            <w:r>
              <w:rPr>
                <w:rFonts w:hint="eastAsia" w:ascii="宋体" w:hAnsi="宋体"/>
                <w:bCs/>
                <w:color w:val="auto"/>
                <w:szCs w:val="24"/>
                <w:highlight w:val="none"/>
                <w:u w:val="none"/>
              </w:rPr>
              <w:t>投资者申购上限为【</w:t>
            </w:r>
            <w:r>
              <w:rPr>
                <w:rFonts w:hint="eastAsia" w:ascii="宋体" w:hAnsi="宋体"/>
                <w:bCs/>
                <w:color w:val="auto"/>
                <w:szCs w:val="24"/>
                <w:highlight w:val="none"/>
                <w:u w:val="none"/>
                <w:lang w:val="en-US" w:eastAsia="zh-CN"/>
              </w:rPr>
              <w:t>10000</w:t>
            </w:r>
            <w:r>
              <w:rPr>
                <w:rFonts w:hint="eastAsia" w:ascii="宋体" w:hAnsi="宋体"/>
                <w:bCs/>
                <w:color w:val="auto"/>
                <w:szCs w:val="24"/>
                <w:highlight w:val="none"/>
                <w:u w:val="none"/>
              </w:rPr>
              <w:t>】万元。</w:t>
            </w:r>
          </w:p>
          <w:p w14:paraId="166469C5">
            <w:pPr>
              <w:widowControl/>
              <w:numPr>
                <w:ilvl w:val="0"/>
                <w:numId w:val="2"/>
              </w:numPr>
              <w:jc w:val="left"/>
              <w:rPr>
                <w:rFonts w:asciiTheme="minorEastAsia" w:hAnsiTheme="minorEastAsia"/>
                <w:color w:val="auto"/>
                <w:szCs w:val="24"/>
                <w:highlight w:val="none"/>
                <w:u w:val="none"/>
              </w:rPr>
            </w:pPr>
            <w:r>
              <w:rPr>
                <w:rFonts w:hint="eastAsia" w:ascii="宋体" w:hAnsi="宋体"/>
                <w:bCs/>
                <w:color w:val="auto"/>
                <w:szCs w:val="24"/>
                <w:highlight w:val="none"/>
                <w:u w:val="none"/>
              </w:rPr>
              <w:t>如果</w:t>
            </w:r>
            <w:r>
              <w:rPr>
                <w:rFonts w:ascii="宋体" w:hAnsi="宋体"/>
                <w:bCs/>
                <w:color w:val="auto"/>
                <w:szCs w:val="24"/>
                <w:highlight w:val="none"/>
                <w:u w:val="none"/>
              </w:rPr>
              <w:t>单一投资者</w:t>
            </w:r>
            <w:r>
              <w:rPr>
                <w:rFonts w:hint="eastAsia" w:ascii="宋体" w:hAnsi="宋体"/>
                <w:bCs/>
                <w:color w:val="auto"/>
                <w:szCs w:val="24"/>
                <w:highlight w:val="none"/>
                <w:u w:val="none"/>
              </w:rPr>
              <w:t>认购或申购申请确认后将导致其持有份额超过产品总份额</w:t>
            </w:r>
            <w:r>
              <w:rPr>
                <w:rFonts w:ascii="宋体" w:hAnsi="宋体"/>
                <w:bCs/>
                <w:color w:val="auto"/>
                <w:szCs w:val="24"/>
                <w:highlight w:val="none"/>
                <w:u w:val="none"/>
              </w:rPr>
              <w:t>50%</w:t>
            </w:r>
            <w:r>
              <w:rPr>
                <w:rFonts w:hint="eastAsia" w:ascii="宋体" w:hAnsi="宋体"/>
                <w:bCs/>
                <w:color w:val="auto"/>
                <w:szCs w:val="24"/>
                <w:highlight w:val="none"/>
                <w:u w:val="none"/>
              </w:rPr>
              <w:t>的</w:t>
            </w:r>
            <w:r>
              <w:rPr>
                <w:rFonts w:ascii="宋体" w:hAnsi="宋体"/>
                <w:bCs/>
                <w:color w:val="auto"/>
                <w:szCs w:val="24"/>
                <w:highlight w:val="none"/>
                <w:u w:val="none"/>
              </w:rPr>
              <w:t>，管理人有权拒绝或暂停</w:t>
            </w:r>
            <w:r>
              <w:rPr>
                <w:rFonts w:hint="eastAsia" w:ascii="宋体" w:hAnsi="宋体"/>
                <w:bCs/>
                <w:color w:val="auto"/>
                <w:szCs w:val="24"/>
                <w:highlight w:val="none"/>
                <w:u w:val="none"/>
              </w:rPr>
              <w:t>接受超出部分的</w:t>
            </w:r>
            <w:r>
              <w:rPr>
                <w:rFonts w:ascii="宋体" w:hAnsi="宋体"/>
                <w:bCs/>
                <w:color w:val="auto"/>
                <w:szCs w:val="24"/>
                <w:highlight w:val="none"/>
                <w:u w:val="none"/>
              </w:rPr>
              <w:t>认购、申购</w:t>
            </w:r>
            <w:r>
              <w:rPr>
                <w:rFonts w:hint="eastAsia" w:ascii="宋体" w:hAnsi="宋体"/>
                <w:bCs/>
                <w:color w:val="auto"/>
                <w:szCs w:val="24"/>
                <w:highlight w:val="none"/>
                <w:u w:val="none"/>
              </w:rPr>
              <w:t>申请</w:t>
            </w:r>
            <w:r>
              <w:rPr>
                <w:rFonts w:ascii="宋体" w:hAnsi="宋体"/>
                <w:bCs/>
                <w:color w:val="auto"/>
                <w:szCs w:val="24"/>
                <w:highlight w:val="none"/>
                <w:u w:val="none"/>
              </w:rPr>
              <w:t>。非因管理人主观因素导致突破该比例限制的，在单一投资者持有比例降至50%以下之前，管理人不再接受该投资者对本产品的认购</w:t>
            </w:r>
            <w:r>
              <w:rPr>
                <w:rFonts w:hint="eastAsia" w:ascii="宋体" w:hAnsi="宋体"/>
                <w:bCs/>
                <w:color w:val="auto"/>
                <w:szCs w:val="24"/>
                <w:highlight w:val="none"/>
                <w:u w:val="none"/>
              </w:rPr>
              <w:t>、申购申请。投资者持有份额的计算以管理人登记为准。</w:t>
            </w:r>
          </w:p>
          <w:p w14:paraId="3B160FC0">
            <w:pPr>
              <w:widowControl/>
              <w:numPr>
                <w:ilvl w:val="-1"/>
                <w:numId w:val="0"/>
              </w:numPr>
              <w:jc w:val="left"/>
              <w:rPr>
                <w:rFonts w:hint="eastAsia" w:ascii="仿宋" w:hAnsi="仿宋" w:eastAsia="仿宋" w:cs="宋体"/>
                <w:bCs/>
                <w:color w:val="auto"/>
                <w:kern w:val="0"/>
                <w:sz w:val="24"/>
                <w:highlight w:val="none"/>
                <w:lang w:bidi="ar"/>
              </w:rPr>
            </w:pPr>
            <w:r>
              <w:rPr>
                <w:rFonts w:hint="eastAsia" w:ascii="宋体" w:hAnsi="宋体"/>
                <w:bCs/>
                <w:color w:val="auto"/>
                <w:szCs w:val="24"/>
                <w:highlight w:val="none"/>
                <w:u w:val="none"/>
                <w:lang w:val="en-US" w:eastAsia="zh-CN"/>
              </w:rPr>
              <w:t>5.</w:t>
            </w:r>
            <w:r>
              <w:rPr>
                <w:rFonts w:hint="eastAsia" w:ascii="宋体" w:hAnsi="宋体"/>
                <w:bCs/>
                <w:color w:val="auto"/>
                <w:szCs w:val="24"/>
                <w:highlight w:val="none"/>
                <w:u w:val="none"/>
              </w:rPr>
              <w:t>如投资者认/申购超过上述限额，管理人有权根据实际情况接受、拒绝或确认失败。</w:t>
            </w:r>
            <w:r>
              <w:rPr>
                <w:rFonts w:hint="eastAsia" w:ascii="宋体" w:hAnsi="宋体"/>
                <w:b/>
                <w:bCs w:val="0"/>
                <w:color w:val="auto"/>
                <w:szCs w:val="24"/>
                <w:highlight w:val="none"/>
                <w:u w:val="none"/>
              </w:rPr>
              <w:t>管理人有权以公告形式调整投资者累计认/申购上限。</w:t>
            </w:r>
          </w:p>
        </w:tc>
      </w:tr>
      <w:tr w14:paraId="2EC50D99">
        <w:tblPrEx>
          <w:tblCellMar>
            <w:top w:w="0" w:type="dxa"/>
            <w:left w:w="108" w:type="dxa"/>
            <w:bottom w:w="0" w:type="dxa"/>
            <w:right w:w="108" w:type="dxa"/>
          </w:tblCellMar>
        </w:tblPrEx>
        <w:trPr>
          <w:trHeight w:val="1140" w:hRule="atLeast"/>
        </w:trPr>
        <w:tc>
          <w:tcPr>
            <w:tcW w:w="2453" w:type="dxa"/>
            <w:tcBorders>
              <w:top w:val="single" w:color="auto" w:sz="4" w:space="0"/>
              <w:left w:val="single" w:color="auto" w:sz="4" w:space="0"/>
              <w:bottom w:val="single" w:color="auto" w:sz="4" w:space="0"/>
              <w:right w:val="single" w:color="auto" w:sz="4" w:space="0"/>
            </w:tcBorders>
            <w:vAlign w:val="center"/>
          </w:tcPr>
          <w:p w14:paraId="50A69256">
            <w:pPr>
              <w:snapToGrid w:val="0"/>
              <w:ind w:left="-163" w:leftChars="-74" w:hanging="15" w:firstLineChars="0"/>
              <w:jc w:val="center"/>
              <w:rPr>
                <w:rFonts w:hint="eastAsia" w:ascii="宋体" w:hAnsi="宋体"/>
                <w:bCs/>
                <w:color w:val="auto"/>
                <w:szCs w:val="24"/>
                <w:highlight w:val="none"/>
                <w:u w:val="none"/>
              </w:rPr>
            </w:pPr>
            <w:r>
              <w:rPr>
                <w:rFonts w:hint="eastAsia" w:ascii="宋体" w:hAnsi="宋体"/>
                <w:bCs/>
                <w:color w:val="auto"/>
                <w:szCs w:val="24"/>
                <w:highlight w:val="none"/>
                <w:u w:val="none"/>
              </w:rPr>
              <w:t>最高持有限额</w:t>
            </w:r>
          </w:p>
        </w:tc>
        <w:tc>
          <w:tcPr>
            <w:tcW w:w="6972" w:type="dxa"/>
            <w:tcBorders>
              <w:top w:val="single" w:color="auto" w:sz="4" w:space="0"/>
              <w:left w:val="single" w:color="auto" w:sz="4" w:space="0"/>
              <w:bottom w:val="single" w:color="auto" w:sz="4" w:space="0"/>
              <w:right w:val="single" w:color="auto" w:sz="4" w:space="0"/>
            </w:tcBorders>
            <w:vAlign w:val="center"/>
          </w:tcPr>
          <w:p w14:paraId="560AB8F1">
            <w:pPr>
              <w:keepNext w:val="0"/>
              <w:keepLines w:val="0"/>
              <w:widowControl/>
              <w:numPr>
                <w:ilvl w:val="0"/>
                <w:numId w:val="0"/>
              </w:numPr>
              <w:suppressLineNumbers w:val="0"/>
              <w:jc w:val="left"/>
              <w:rPr>
                <w:rFonts w:hint="eastAsia" w:ascii="宋体" w:hAnsi="宋体"/>
                <w:b/>
                <w:color w:val="auto"/>
                <w:szCs w:val="24"/>
                <w:highlight w:val="none"/>
                <w:u w:val="none"/>
              </w:rPr>
            </w:pPr>
            <w:r>
              <w:rPr>
                <w:rFonts w:hint="eastAsia" w:ascii="宋体" w:hAnsi="宋体" w:eastAsia="仿宋_GB2312" w:cstheme="minorBidi"/>
                <w:b/>
                <w:bCs w:val="0"/>
                <w:color w:val="auto"/>
                <w:kern w:val="2"/>
                <w:sz w:val="24"/>
                <w:szCs w:val="24"/>
                <w:highlight w:val="none"/>
                <w:u w:val="none"/>
                <w:lang w:val="en-US" w:eastAsia="zh-CN" w:bidi="ar"/>
              </w:rPr>
              <w:t>单一投资者持有份额不得超过本理财产品总份额的 50%。</w:t>
            </w:r>
          </w:p>
          <w:p w14:paraId="2A169084">
            <w:pPr>
              <w:widowControl/>
              <w:numPr>
                <w:ilvl w:val="-1"/>
                <w:numId w:val="0"/>
              </w:numPr>
              <w:jc w:val="left"/>
              <w:rPr>
                <w:rFonts w:hint="eastAsia" w:ascii="宋体" w:hAnsi="宋体"/>
                <w:b/>
                <w:bCs w:val="0"/>
                <w:color w:val="auto"/>
                <w:szCs w:val="24"/>
                <w:highlight w:val="none"/>
                <w:u w:val="none"/>
                <w:lang w:val="en-US" w:eastAsia="zh-CN"/>
              </w:rPr>
            </w:pPr>
            <w:r>
              <w:rPr>
                <w:rFonts w:hint="eastAsia" w:ascii="宋体" w:hAnsi="宋体"/>
                <w:b/>
                <w:bCs w:val="0"/>
                <w:color w:val="auto"/>
                <w:szCs w:val="24"/>
                <w:highlight w:val="none"/>
                <w:u w:val="none"/>
                <w:lang w:val="en-US" w:eastAsia="zh-CN"/>
              </w:rPr>
              <w:t>如销售机构规定与本规则不一致的，则以各销售机构规定为准，但不得高于最高持有限额。</w:t>
            </w:r>
          </w:p>
        </w:tc>
      </w:tr>
      <w:tr w14:paraId="071C96D5">
        <w:tblPrEx>
          <w:tblCellMar>
            <w:top w:w="0" w:type="dxa"/>
            <w:left w:w="108" w:type="dxa"/>
            <w:bottom w:w="0" w:type="dxa"/>
            <w:right w:w="108" w:type="dxa"/>
          </w:tblCellMar>
        </w:tblPrEx>
        <w:trPr>
          <w:trHeight w:val="1140" w:hRule="atLeast"/>
        </w:trPr>
        <w:tc>
          <w:tcPr>
            <w:tcW w:w="2453" w:type="dxa"/>
            <w:tcBorders>
              <w:top w:val="single" w:color="auto" w:sz="4" w:space="0"/>
              <w:left w:val="single" w:color="auto" w:sz="4" w:space="0"/>
              <w:bottom w:val="single" w:color="auto" w:sz="4" w:space="0"/>
              <w:right w:val="single" w:color="auto" w:sz="4" w:space="0"/>
            </w:tcBorders>
            <w:vAlign w:val="center"/>
          </w:tcPr>
          <w:p w14:paraId="691C8C0F">
            <w:pPr>
              <w:snapToGrid w:val="0"/>
              <w:ind w:left="-163" w:leftChars="-74" w:hanging="15" w:firstLineChars="0"/>
              <w:jc w:val="center"/>
              <w:rPr>
                <w:rFonts w:hint="eastAsia" w:ascii="仿宋_GB2312" w:hAnsi="等线" w:eastAsia="仿宋_GB2312" w:cs="仿宋_GB2312"/>
                <w:color w:val="auto"/>
                <w:kern w:val="0"/>
                <w:sz w:val="24"/>
                <w:highlight w:val="none"/>
                <w:lang w:bidi="ar"/>
              </w:rPr>
            </w:pPr>
            <w:r>
              <w:rPr>
                <w:rFonts w:hint="eastAsia" w:ascii="宋体" w:hAnsi="宋体"/>
                <w:bCs/>
                <w:color w:val="auto"/>
                <w:szCs w:val="24"/>
                <w:highlight w:val="none"/>
                <w:u w:val="none"/>
              </w:rPr>
              <w:t>赎回</w:t>
            </w:r>
            <w:r>
              <w:rPr>
                <w:rFonts w:ascii="宋体" w:hAnsi="宋体"/>
                <w:bCs/>
                <w:color w:val="auto"/>
                <w:szCs w:val="24"/>
                <w:highlight w:val="none"/>
                <w:u w:val="none"/>
              </w:rPr>
              <w:t>数量限制</w:t>
            </w:r>
          </w:p>
        </w:tc>
        <w:tc>
          <w:tcPr>
            <w:tcW w:w="6972" w:type="dxa"/>
            <w:tcBorders>
              <w:top w:val="single" w:color="auto" w:sz="4" w:space="0"/>
              <w:left w:val="single" w:color="auto" w:sz="4" w:space="0"/>
              <w:bottom w:val="single" w:color="auto" w:sz="4" w:space="0"/>
              <w:right w:val="single" w:color="auto" w:sz="4" w:space="0"/>
            </w:tcBorders>
            <w:vAlign w:val="center"/>
          </w:tcPr>
          <w:p w14:paraId="68D9191E">
            <w:pPr>
              <w:widowControl/>
              <w:numPr>
                <w:ilvl w:val="0"/>
                <w:numId w:val="3"/>
              </w:numPr>
              <w:jc w:val="left"/>
              <w:rPr>
                <w:rFonts w:ascii="宋体" w:hAnsi="宋体"/>
                <w:bCs/>
                <w:color w:val="auto"/>
                <w:szCs w:val="24"/>
                <w:highlight w:val="none"/>
                <w:u w:val="none"/>
              </w:rPr>
            </w:pPr>
            <w:r>
              <w:rPr>
                <w:rFonts w:hint="eastAsia" w:ascii="宋体" w:hAnsi="宋体"/>
                <w:color w:val="auto"/>
                <w:szCs w:val="24"/>
                <w:highlight w:val="none"/>
                <w:u w:val="none"/>
                <w:lang w:val="en-US" w:eastAsia="zh-CN"/>
              </w:rPr>
              <w:t>A类份额：</w:t>
            </w:r>
            <w:r>
              <w:rPr>
                <w:rFonts w:hint="eastAsia" w:ascii="宋体" w:hAnsi="宋体"/>
                <w:color w:val="auto"/>
                <w:szCs w:val="24"/>
                <w:highlight w:val="none"/>
                <w:u w:val="none"/>
              </w:rPr>
              <w:t>单笔最小赎回份额【</w:t>
            </w:r>
            <w:r>
              <w:rPr>
                <w:rFonts w:hint="eastAsia" w:ascii="宋体" w:hAnsi="宋体"/>
                <w:color w:val="auto"/>
                <w:szCs w:val="24"/>
                <w:highlight w:val="none"/>
                <w:u w:val="none"/>
                <w:lang w:val="en-US" w:eastAsia="zh-CN"/>
              </w:rPr>
              <w:t>0.01</w:t>
            </w:r>
            <w:r>
              <w:rPr>
                <w:rFonts w:ascii="宋体" w:hAnsi="宋体"/>
                <w:color w:val="auto"/>
                <w:szCs w:val="24"/>
                <w:highlight w:val="none"/>
                <w:u w:val="none"/>
              </w:rPr>
              <w:t>】</w:t>
            </w:r>
            <w:r>
              <w:rPr>
                <w:rFonts w:hint="eastAsia" w:ascii="宋体" w:hAnsi="宋体"/>
                <w:color w:val="auto"/>
                <w:szCs w:val="24"/>
                <w:highlight w:val="none"/>
                <w:u w:val="none"/>
                <w:lang w:eastAsia="zh-CN"/>
              </w:rPr>
              <w:t>份</w:t>
            </w:r>
            <w:r>
              <w:rPr>
                <w:rFonts w:hint="eastAsia" w:ascii="宋体" w:hAnsi="宋体"/>
                <w:bCs/>
                <w:color w:val="auto"/>
                <w:szCs w:val="24"/>
                <w:highlight w:val="none"/>
                <w:u w:val="none"/>
              </w:rPr>
              <w:t>。</w:t>
            </w:r>
          </w:p>
          <w:p w14:paraId="25FED6DF">
            <w:pPr>
              <w:widowControl/>
              <w:numPr>
                <w:ilvl w:val="-1"/>
                <w:numId w:val="0"/>
              </w:numPr>
              <w:jc w:val="left"/>
              <w:rPr>
                <w:rFonts w:ascii="宋体" w:hAnsi="宋体"/>
                <w:bCs/>
                <w:color w:val="auto"/>
                <w:szCs w:val="24"/>
                <w:highlight w:val="none"/>
                <w:u w:val="none"/>
              </w:rPr>
            </w:pPr>
            <w:r>
              <w:rPr>
                <w:rFonts w:hint="eastAsia" w:ascii="宋体" w:hAnsi="宋体"/>
                <w:color w:val="auto"/>
                <w:szCs w:val="24"/>
                <w:highlight w:val="none"/>
                <w:u w:val="none"/>
                <w:lang w:val="en-US" w:eastAsia="zh-CN"/>
              </w:rPr>
              <w:t>B类份额：</w:t>
            </w:r>
            <w:r>
              <w:rPr>
                <w:rFonts w:hint="eastAsia" w:ascii="宋体" w:hAnsi="宋体"/>
                <w:color w:val="auto"/>
                <w:szCs w:val="24"/>
                <w:highlight w:val="none"/>
                <w:u w:val="none"/>
              </w:rPr>
              <w:t>单笔最小赎回份额【</w:t>
            </w:r>
            <w:r>
              <w:rPr>
                <w:rFonts w:hint="eastAsia" w:ascii="宋体" w:hAnsi="宋体"/>
                <w:color w:val="auto"/>
                <w:szCs w:val="24"/>
                <w:highlight w:val="none"/>
                <w:u w:val="none"/>
                <w:lang w:val="en-US" w:eastAsia="zh-CN"/>
              </w:rPr>
              <w:t>0.01</w:t>
            </w:r>
            <w:r>
              <w:rPr>
                <w:rFonts w:ascii="宋体" w:hAnsi="宋体"/>
                <w:color w:val="auto"/>
                <w:szCs w:val="24"/>
                <w:highlight w:val="none"/>
                <w:u w:val="none"/>
              </w:rPr>
              <w:t>】</w:t>
            </w:r>
            <w:r>
              <w:rPr>
                <w:rFonts w:hint="eastAsia" w:ascii="宋体" w:hAnsi="宋体"/>
                <w:color w:val="auto"/>
                <w:szCs w:val="24"/>
                <w:highlight w:val="none"/>
                <w:u w:val="none"/>
                <w:lang w:eastAsia="zh-CN"/>
              </w:rPr>
              <w:t>份</w:t>
            </w:r>
            <w:r>
              <w:rPr>
                <w:rFonts w:hint="eastAsia" w:ascii="宋体" w:hAnsi="宋体"/>
                <w:bCs/>
                <w:color w:val="auto"/>
                <w:szCs w:val="24"/>
                <w:highlight w:val="none"/>
                <w:u w:val="none"/>
              </w:rPr>
              <w:t>。</w:t>
            </w:r>
          </w:p>
          <w:p w14:paraId="58E39476">
            <w:pPr>
              <w:widowControl/>
              <w:numPr>
                <w:ilvl w:val="-1"/>
                <w:numId w:val="0"/>
              </w:numPr>
              <w:jc w:val="left"/>
              <w:rPr>
                <w:rFonts w:ascii="宋体" w:hAnsi="宋体"/>
                <w:bCs/>
                <w:color w:val="auto"/>
                <w:szCs w:val="24"/>
                <w:highlight w:val="none"/>
                <w:u w:val="none"/>
              </w:rPr>
            </w:pPr>
            <w:r>
              <w:rPr>
                <w:rFonts w:hint="eastAsia" w:ascii="宋体" w:hAnsi="宋体"/>
                <w:color w:val="auto"/>
                <w:szCs w:val="24"/>
                <w:highlight w:val="none"/>
                <w:u w:val="none"/>
                <w:lang w:val="en-US" w:eastAsia="zh-CN"/>
              </w:rPr>
              <w:t>C类份额：</w:t>
            </w:r>
            <w:r>
              <w:rPr>
                <w:rFonts w:hint="eastAsia" w:ascii="宋体" w:hAnsi="宋体"/>
                <w:color w:val="auto"/>
                <w:szCs w:val="24"/>
                <w:highlight w:val="none"/>
                <w:u w:val="none"/>
              </w:rPr>
              <w:t>单笔最小赎回份额【</w:t>
            </w:r>
            <w:r>
              <w:rPr>
                <w:rFonts w:hint="eastAsia" w:ascii="宋体" w:hAnsi="宋体"/>
                <w:color w:val="auto"/>
                <w:szCs w:val="24"/>
                <w:highlight w:val="none"/>
                <w:u w:val="none"/>
                <w:lang w:val="en-US" w:eastAsia="zh-CN"/>
              </w:rPr>
              <w:t>0.01</w:t>
            </w:r>
            <w:r>
              <w:rPr>
                <w:rFonts w:ascii="宋体" w:hAnsi="宋体"/>
                <w:color w:val="auto"/>
                <w:szCs w:val="24"/>
                <w:highlight w:val="none"/>
                <w:u w:val="none"/>
              </w:rPr>
              <w:t>】</w:t>
            </w:r>
            <w:r>
              <w:rPr>
                <w:rFonts w:hint="eastAsia" w:ascii="宋体" w:hAnsi="宋体"/>
                <w:color w:val="auto"/>
                <w:szCs w:val="24"/>
                <w:highlight w:val="none"/>
                <w:u w:val="none"/>
                <w:lang w:eastAsia="zh-CN"/>
              </w:rPr>
              <w:t>份</w:t>
            </w:r>
            <w:r>
              <w:rPr>
                <w:rFonts w:hint="eastAsia" w:ascii="宋体" w:hAnsi="宋体"/>
                <w:bCs/>
                <w:color w:val="auto"/>
                <w:szCs w:val="24"/>
                <w:highlight w:val="none"/>
                <w:u w:val="none"/>
              </w:rPr>
              <w:t>。</w:t>
            </w:r>
          </w:p>
          <w:p w14:paraId="50489122">
            <w:pPr>
              <w:widowControl/>
              <w:numPr>
                <w:ilvl w:val="0"/>
                <w:numId w:val="3"/>
              </w:numPr>
              <w:jc w:val="left"/>
              <w:rPr>
                <w:rFonts w:ascii="宋体" w:hAnsi="宋体"/>
                <w:bCs/>
                <w:color w:val="auto"/>
                <w:szCs w:val="24"/>
                <w:highlight w:val="none"/>
                <w:u w:val="none"/>
              </w:rPr>
            </w:pPr>
            <w:r>
              <w:rPr>
                <w:rFonts w:hint="eastAsia" w:ascii="宋体" w:hAnsi="宋体"/>
                <w:color w:val="auto"/>
                <w:szCs w:val="24"/>
                <w:highlight w:val="none"/>
                <w:u w:val="none"/>
                <w:lang w:val="en-US" w:eastAsia="zh-CN"/>
              </w:rPr>
              <w:t>A类份额：</w:t>
            </w:r>
            <w:r>
              <w:rPr>
                <w:rFonts w:hint="eastAsia" w:ascii="宋体" w:hAnsi="宋体"/>
                <w:color w:val="auto"/>
                <w:szCs w:val="24"/>
                <w:highlight w:val="none"/>
                <w:u w:val="none"/>
              </w:rPr>
              <w:t>单笔最</w:t>
            </w:r>
            <w:r>
              <w:rPr>
                <w:rFonts w:hint="eastAsia" w:ascii="宋体" w:hAnsi="宋体"/>
                <w:color w:val="auto"/>
                <w:szCs w:val="24"/>
                <w:highlight w:val="none"/>
                <w:u w:val="none"/>
                <w:lang w:eastAsia="zh-CN"/>
              </w:rPr>
              <w:t>大</w:t>
            </w:r>
            <w:r>
              <w:rPr>
                <w:rFonts w:hint="eastAsia" w:ascii="宋体" w:hAnsi="宋体"/>
                <w:color w:val="auto"/>
                <w:szCs w:val="24"/>
                <w:highlight w:val="none"/>
                <w:u w:val="none"/>
              </w:rPr>
              <w:t>赎回份额【</w:t>
            </w:r>
            <w:r>
              <w:rPr>
                <w:rFonts w:hint="eastAsia" w:ascii="宋体" w:hAnsi="宋体"/>
                <w:color w:val="auto"/>
                <w:szCs w:val="24"/>
                <w:highlight w:val="none"/>
                <w:u w:val="none"/>
                <w:lang w:val="en-US" w:eastAsia="zh-CN"/>
              </w:rPr>
              <w:t>/</w:t>
            </w:r>
            <w:r>
              <w:rPr>
                <w:rFonts w:ascii="宋体" w:hAnsi="宋体"/>
                <w:color w:val="auto"/>
                <w:szCs w:val="24"/>
                <w:highlight w:val="none"/>
                <w:u w:val="none"/>
              </w:rPr>
              <w:t>】</w:t>
            </w:r>
            <w:r>
              <w:rPr>
                <w:rFonts w:hint="eastAsia" w:ascii="宋体" w:hAnsi="宋体"/>
                <w:color w:val="auto"/>
                <w:szCs w:val="24"/>
                <w:highlight w:val="none"/>
                <w:u w:val="none"/>
                <w:lang w:eastAsia="zh-CN"/>
              </w:rPr>
              <w:t>份</w:t>
            </w:r>
            <w:r>
              <w:rPr>
                <w:rFonts w:hint="eastAsia" w:ascii="宋体" w:hAnsi="宋体"/>
                <w:bCs/>
                <w:color w:val="auto"/>
                <w:szCs w:val="24"/>
                <w:highlight w:val="none"/>
                <w:u w:val="none"/>
              </w:rPr>
              <w:t>。</w:t>
            </w:r>
          </w:p>
          <w:p w14:paraId="392F861D">
            <w:pPr>
              <w:widowControl/>
              <w:numPr>
                <w:ilvl w:val="-1"/>
                <w:numId w:val="0"/>
              </w:numPr>
              <w:jc w:val="left"/>
              <w:rPr>
                <w:rFonts w:ascii="宋体" w:hAnsi="宋体"/>
                <w:bCs/>
                <w:color w:val="auto"/>
                <w:szCs w:val="24"/>
                <w:highlight w:val="none"/>
                <w:u w:val="none"/>
              </w:rPr>
            </w:pPr>
            <w:r>
              <w:rPr>
                <w:rFonts w:hint="eastAsia" w:ascii="宋体" w:hAnsi="宋体"/>
                <w:color w:val="auto"/>
                <w:szCs w:val="24"/>
                <w:highlight w:val="none"/>
                <w:u w:val="none"/>
                <w:lang w:val="en-US" w:eastAsia="zh-CN"/>
              </w:rPr>
              <w:t>B类份额：</w:t>
            </w:r>
            <w:r>
              <w:rPr>
                <w:rFonts w:hint="eastAsia" w:ascii="宋体" w:hAnsi="宋体"/>
                <w:color w:val="auto"/>
                <w:szCs w:val="24"/>
                <w:highlight w:val="none"/>
                <w:u w:val="none"/>
              </w:rPr>
              <w:t>单笔最</w:t>
            </w:r>
            <w:r>
              <w:rPr>
                <w:rFonts w:hint="eastAsia" w:ascii="宋体" w:hAnsi="宋体"/>
                <w:color w:val="auto"/>
                <w:szCs w:val="24"/>
                <w:highlight w:val="none"/>
                <w:u w:val="none"/>
                <w:lang w:eastAsia="zh-CN"/>
              </w:rPr>
              <w:t>大</w:t>
            </w:r>
            <w:r>
              <w:rPr>
                <w:rFonts w:hint="eastAsia" w:ascii="宋体" w:hAnsi="宋体"/>
                <w:color w:val="auto"/>
                <w:szCs w:val="24"/>
                <w:highlight w:val="none"/>
                <w:u w:val="none"/>
              </w:rPr>
              <w:t>赎回份额【</w:t>
            </w:r>
            <w:r>
              <w:rPr>
                <w:rFonts w:hint="eastAsia" w:ascii="宋体" w:hAnsi="宋体"/>
                <w:color w:val="auto"/>
                <w:szCs w:val="24"/>
                <w:highlight w:val="none"/>
                <w:u w:val="none"/>
                <w:lang w:val="en-US" w:eastAsia="zh-CN"/>
              </w:rPr>
              <w:t>/</w:t>
            </w:r>
            <w:r>
              <w:rPr>
                <w:rFonts w:ascii="宋体" w:hAnsi="宋体"/>
                <w:color w:val="auto"/>
                <w:szCs w:val="24"/>
                <w:highlight w:val="none"/>
                <w:u w:val="none"/>
              </w:rPr>
              <w:t>】</w:t>
            </w:r>
            <w:r>
              <w:rPr>
                <w:rFonts w:hint="eastAsia" w:ascii="宋体" w:hAnsi="宋体"/>
                <w:color w:val="auto"/>
                <w:szCs w:val="24"/>
                <w:highlight w:val="none"/>
                <w:u w:val="none"/>
                <w:lang w:eastAsia="zh-CN"/>
              </w:rPr>
              <w:t>份</w:t>
            </w:r>
            <w:r>
              <w:rPr>
                <w:rFonts w:hint="eastAsia" w:ascii="宋体" w:hAnsi="宋体"/>
                <w:bCs/>
                <w:color w:val="auto"/>
                <w:szCs w:val="24"/>
                <w:highlight w:val="none"/>
                <w:u w:val="none"/>
              </w:rPr>
              <w:t>。</w:t>
            </w:r>
          </w:p>
          <w:p w14:paraId="71507753">
            <w:pPr>
              <w:widowControl/>
              <w:numPr>
                <w:ilvl w:val="-1"/>
                <w:numId w:val="0"/>
              </w:numPr>
              <w:jc w:val="left"/>
              <w:rPr>
                <w:rFonts w:ascii="宋体" w:hAnsi="宋体"/>
                <w:bCs/>
                <w:color w:val="auto"/>
                <w:szCs w:val="24"/>
                <w:highlight w:val="none"/>
                <w:u w:val="none"/>
              </w:rPr>
            </w:pPr>
            <w:r>
              <w:rPr>
                <w:rFonts w:hint="eastAsia" w:ascii="宋体" w:hAnsi="宋体"/>
                <w:color w:val="auto"/>
                <w:szCs w:val="24"/>
                <w:highlight w:val="none"/>
                <w:u w:val="none"/>
                <w:lang w:val="en-US" w:eastAsia="zh-CN"/>
              </w:rPr>
              <w:t>C类份额：</w:t>
            </w:r>
            <w:r>
              <w:rPr>
                <w:rFonts w:hint="eastAsia" w:ascii="宋体" w:hAnsi="宋体"/>
                <w:color w:val="auto"/>
                <w:szCs w:val="24"/>
                <w:highlight w:val="none"/>
                <w:u w:val="none"/>
              </w:rPr>
              <w:t>单笔最</w:t>
            </w:r>
            <w:r>
              <w:rPr>
                <w:rFonts w:hint="eastAsia" w:ascii="宋体" w:hAnsi="宋体"/>
                <w:color w:val="auto"/>
                <w:szCs w:val="24"/>
                <w:highlight w:val="none"/>
                <w:u w:val="none"/>
                <w:lang w:eastAsia="zh-CN"/>
              </w:rPr>
              <w:t>大</w:t>
            </w:r>
            <w:r>
              <w:rPr>
                <w:rFonts w:hint="eastAsia" w:ascii="宋体" w:hAnsi="宋体"/>
                <w:color w:val="auto"/>
                <w:szCs w:val="24"/>
                <w:highlight w:val="none"/>
                <w:u w:val="none"/>
              </w:rPr>
              <w:t>赎回份额【</w:t>
            </w:r>
            <w:r>
              <w:rPr>
                <w:rFonts w:hint="eastAsia" w:ascii="宋体" w:hAnsi="宋体"/>
                <w:color w:val="auto"/>
                <w:szCs w:val="24"/>
                <w:highlight w:val="none"/>
                <w:u w:val="none"/>
                <w:lang w:val="en-US" w:eastAsia="zh-CN"/>
              </w:rPr>
              <w:t>/</w:t>
            </w:r>
            <w:r>
              <w:rPr>
                <w:rFonts w:ascii="宋体" w:hAnsi="宋体"/>
                <w:color w:val="auto"/>
                <w:szCs w:val="24"/>
                <w:highlight w:val="none"/>
                <w:u w:val="none"/>
              </w:rPr>
              <w:t>】</w:t>
            </w:r>
            <w:r>
              <w:rPr>
                <w:rFonts w:hint="eastAsia" w:ascii="宋体" w:hAnsi="宋体"/>
                <w:color w:val="auto"/>
                <w:szCs w:val="24"/>
                <w:highlight w:val="none"/>
                <w:u w:val="none"/>
                <w:lang w:eastAsia="zh-CN"/>
              </w:rPr>
              <w:t>份</w:t>
            </w:r>
            <w:r>
              <w:rPr>
                <w:rFonts w:hint="eastAsia" w:ascii="宋体" w:hAnsi="宋体"/>
                <w:bCs/>
                <w:color w:val="auto"/>
                <w:szCs w:val="24"/>
                <w:highlight w:val="none"/>
                <w:u w:val="none"/>
              </w:rPr>
              <w:t>。</w:t>
            </w:r>
          </w:p>
          <w:p w14:paraId="1D797F55">
            <w:pPr>
              <w:widowControl/>
              <w:numPr>
                <w:ilvl w:val="0"/>
                <w:numId w:val="3"/>
              </w:numPr>
              <w:jc w:val="left"/>
              <w:rPr>
                <w:rFonts w:ascii="宋体" w:hAnsi="宋体"/>
                <w:bCs/>
                <w:color w:val="auto"/>
                <w:szCs w:val="24"/>
                <w:highlight w:val="none"/>
                <w:u w:val="none"/>
              </w:rPr>
            </w:pPr>
            <w:r>
              <w:rPr>
                <w:rFonts w:hint="eastAsia" w:ascii="宋体" w:hAnsi="宋体"/>
                <w:bCs/>
                <w:color w:val="auto"/>
                <w:szCs w:val="24"/>
                <w:highlight w:val="none"/>
                <w:u w:val="none"/>
              </w:rPr>
              <w:t>投资者可全部或部分赎回其理财份额，但是部分赎回后单一投资者持有产品份额不得低于【/】份。受理财</w:t>
            </w:r>
            <w:r>
              <w:rPr>
                <w:rFonts w:hint="eastAsia" w:ascii="宋体" w:hAnsi="宋体"/>
                <w:bCs/>
                <w:color w:val="auto"/>
                <w:szCs w:val="24"/>
                <w:highlight w:val="none"/>
                <w:u w:val="none"/>
                <w:lang w:eastAsia="zh-CN"/>
              </w:rPr>
              <w:t>收益</w:t>
            </w:r>
            <w:r>
              <w:rPr>
                <w:rFonts w:hint="eastAsia" w:ascii="宋体" w:hAnsi="宋体"/>
                <w:bCs/>
                <w:color w:val="auto"/>
                <w:szCs w:val="24"/>
                <w:highlight w:val="none"/>
                <w:u w:val="none"/>
              </w:rPr>
              <w:t>分配去尾规则的影响，投资者持有产品份额较低时可能无法取得利益。巨额赎回情景发生时，投资者的可赎回份额需要根据巨额赎回规则确定。</w:t>
            </w:r>
          </w:p>
          <w:p w14:paraId="2B5D2064">
            <w:pPr>
              <w:widowControl/>
              <w:numPr>
                <w:ilvl w:val="-1"/>
                <w:numId w:val="0"/>
              </w:numPr>
              <w:jc w:val="left"/>
              <w:rPr>
                <w:rFonts w:hint="eastAsia" w:ascii="仿宋" w:hAnsi="仿宋" w:eastAsia="仿宋" w:cs="宋体"/>
                <w:bCs/>
                <w:color w:val="auto"/>
                <w:kern w:val="0"/>
                <w:sz w:val="24"/>
                <w:highlight w:val="none"/>
                <w:lang w:bidi="ar"/>
              </w:rPr>
            </w:pPr>
            <w:r>
              <w:rPr>
                <w:rFonts w:hint="eastAsia" w:ascii="宋体" w:hAnsi="宋体"/>
                <w:b/>
                <w:bCs w:val="0"/>
                <w:color w:val="auto"/>
                <w:szCs w:val="24"/>
                <w:highlight w:val="none"/>
                <w:u w:val="none"/>
                <w:lang w:val="en-US" w:eastAsia="zh-CN"/>
              </w:rPr>
              <w:t>4.管</w:t>
            </w:r>
            <w:r>
              <w:rPr>
                <w:rFonts w:hint="eastAsia" w:ascii="宋体" w:hAnsi="宋体"/>
                <w:b/>
                <w:bCs w:val="0"/>
                <w:color w:val="auto"/>
                <w:szCs w:val="24"/>
                <w:highlight w:val="none"/>
                <w:u w:val="none"/>
              </w:rPr>
              <w:t>理人有权以公告形式设置或调整赎回上限。</w:t>
            </w:r>
          </w:p>
        </w:tc>
      </w:tr>
      <w:tr w14:paraId="6D175CAC">
        <w:tblPrEx>
          <w:tblCellMar>
            <w:top w:w="0" w:type="dxa"/>
            <w:left w:w="108" w:type="dxa"/>
            <w:bottom w:w="0" w:type="dxa"/>
            <w:right w:w="108" w:type="dxa"/>
          </w:tblCellMar>
        </w:tblPrEx>
        <w:trPr>
          <w:trHeight w:val="1140" w:hRule="atLeast"/>
        </w:trPr>
        <w:tc>
          <w:tcPr>
            <w:tcW w:w="2453" w:type="dxa"/>
            <w:tcBorders>
              <w:top w:val="single" w:color="auto" w:sz="4" w:space="0"/>
              <w:left w:val="single" w:color="auto" w:sz="4" w:space="0"/>
              <w:bottom w:val="single" w:color="auto" w:sz="4" w:space="0"/>
              <w:right w:val="single" w:color="auto" w:sz="4" w:space="0"/>
            </w:tcBorders>
            <w:vAlign w:val="center"/>
          </w:tcPr>
          <w:p w14:paraId="43B3A722">
            <w:pPr>
              <w:snapToGrid w:val="0"/>
              <w:ind w:left="-163" w:leftChars="-74" w:hanging="15" w:firstLineChars="0"/>
              <w:jc w:val="center"/>
              <w:rPr>
                <w:rFonts w:hint="eastAsia" w:ascii="仿宋_GB2312" w:hAnsi="等线" w:eastAsia="仿宋_GB2312" w:cs="仿宋_GB2312"/>
                <w:color w:val="auto"/>
                <w:kern w:val="0"/>
                <w:sz w:val="24"/>
                <w:highlight w:val="none"/>
                <w:lang w:bidi="ar"/>
              </w:rPr>
            </w:pPr>
            <w:r>
              <w:rPr>
                <w:rFonts w:hint="eastAsia" w:ascii="宋体" w:hAnsi="宋体"/>
                <w:color w:val="auto"/>
                <w:szCs w:val="24"/>
                <w:highlight w:val="none"/>
                <w:u w:val="none"/>
              </w:rPr>
              <w:t>产品份额净值</w:t>
            </w:r>
          </w:p>
        </w:tc>
        <w:tc>
          <w:tcPr>
            <w:tcW w:w="6972" w:type="dxa"/>
            <w:tcBorders>
              <w:top w:val="single" w:color="auto" w:sz="4" w:space="0"/>
              <w:left w:val="single" w:color="auto" w:sz="4" w:space="0"/>
              <w:bottom w:val="single" w:color="auto" w:sz="4" w:space="0"/>
              <w:right w:val="single" w:color="auto" w:sz="4" w:space="0"/>
            </w:tcBorders>
            <w:vAlign w:val="center"/>
          </w:tcPr>
          <w:p w14:paraId="5C604A97">
            <w:pPr>
              <w:snapToGrid w:val="0"/>
              <w:rPr>
                <w:rFonts w:ascii="宋体" w:hAnsi="宋体"/>
                <w:color w:val="auto"/>
                <w:szCs w:val="24"/>
                <w:highlight w:val="none"/>
                <w:u w:val="none"/>
              </w:rPr>
            </w:pPr>
            <w:r>
              <w:rPr>
                <w:rFonts w:hint="eastAsia" w:ascii="宋体" w:hAnsi="宋体"/>
                <w:color w:val="auto"/>
                <w:szCs w:val="24"/>
                <w:highlight w:val="none"/>
                <w:u w:val="none"/>
              </w:rPr>
              <w:t>理财产品份额净值是提取相关税费后单位理财产品份额的净值；份额净值随理财产品投资运行情况变化而变化。</w:t>
            </w:r>
          </w:p>
          <w:p w14:paraId="07B3537A">
            <w:pPr>
              <w:snapToGrid w:val="0"/>
              <w:rPr>
                <w:rFonts w:ascii="宋体" w:hAnsi="宋体"/>
                <w:color w:val="auto"/>
                <w:szCs w:val="24"/>
                <w:highlight w:val="none"/>
                <w:u w:val="none"/>
              </w:rPr>
            </w:pPr>
            <w:r>
              <w:rPr>
                <w:rFonts w:hint="eastAsia" w:ascii="宋体" w:hAnsi="宋体"/>
                <w:color w:val="auto"/>
                <w:szCs w:val="24"/>
                <w:highlight w:val="none"/>
                <w:u w:val="none"/>
              </w:rPr>
              <w:t>本产品募集期内，投资者按份额净值进行认购。</w:t>
            </w:r>
          </w:p>
          <w:p w14:paraId="63BEA220">
            <w:pPr>
              <w:snapToGrid w:val="0"/>
              <w:rPr>
                <w:rFonts w:hint="eastAsia" w:ascii="宋体" w:hAnsi="宋体" w:eastAsia="仿宋_GB2312"/>
                <w:b/>
                <w:bCs/>
                <w:color w:val="auto"/>
                <w:szCs w:val="24"/>
                <w:highlight w:val="none"/>
                <w:u w:val="none"/>
                <w:lang w:eastAsia="zh-CN"/>
              </w:rPr>
            </w:pPr>
            <w:r>
              <w:rPr>
                <w:rFonts w:hint="eastAsia" w:ascii="宋体" w:hAnsi="宋体"/>
                <w:b/>
                <w:bCs/>
                <w:color w:val="auto"/>
                <w:szCs w:val="24"/>
                <w:highlight w:val="none"/>
                <w:u w:val="none"/>
              </w:rPr>
              <w:t>本产品初始份额净值为1.0000元/份。</w:t>
            </w:r>
          </w:p>
        </w:tc>
      </w:tr>
      <w:tr w14:paraId="739F1B58">
        <w:tblPrEx>
          <w:tblCellMar>
            <w:top w:w="0" w:type="dxa"/>
            <w:left w:w="108" w:type="dxa"/>
            <w:bottom w:w="0" w:type="dxa"/>
            <w:right w:w="108" w:type="dxa"/>
          </w:tblCellMar>
        </w:tblPrEx>
        <w:trPr>
          <w:trHeight w:val="643" w:hRule="atLeast"/>
        </w:trPr>
        <w:tc>
          <w:tcPr>
            <w:tcW w:w="2453" w:type="dxa"/>
            <w:tcBorders>
              <w:top w:val="single" w:color="auto" w:sz="4" w:space="0"/>
              <w:left w:val="single" w:color="auto" w:sz="4" w:space="0"/>
              <w:bottom w:val="single" w:color="auto" w:sz="4" w:space="0"/>
              <w:right w:val="single" w:color="auto" w:sz="4" w:space="0"/>
            </w:tcBorders>
            <w:vAlign w:val="center"/>
          </w:tcPr>
          <w:p w14:paraId="377F05D0">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收益分配方式</w:t>
            </w:r>
          </w:p>
        </w:tc>
        <w:tc>
          <w:tcPr>
            <w:tcW w:w="6972" w:type="dxa"/>
            <w:tcBorders>
              <w:top w:val="single" w:color="auto" w:sz="4" w:space="0"/>
              <w:left w:val="single" w:color="auto" w:sz="4" w:space="0"/>
              <w:bottom w:val="single" w:color="auto" w:sz="4" w:space="0"/>
              <w:right w:val="single" w:color="auto" w:sz="4" w:space="0"/>
            </w:tcBorders>
            <w:vAlign w:val="center"/>
          </w:tcPr>
          <w:p w14:paraId="00F688B9">
            <w:pPr>
              <w:widowControl/>
              <w:spacing w:line="400" w:lineRule="exact"/>
              <w:jc w:val="left"/>
              <w:textAlignment w:val="center"/>
              <w:rPr>
                <w:rFonts w:hint="eastAsia" w:ascii="仿宋_GB2312" w:hAnsi="等线" w:cs="仿宋_GB2312"/>
                <w:bCs/>
                <w:color w:val="auto"/>
                <w:sz w:val="24"/>
                <w:highlight w:val="none"/>
                <w:lang w:eastAsia="zh-CN"/>
              </w:rPr>
            </w:pPr>
            <w:r>
              <w:rPr>
                <w:rFonts w:hint="eastAsia" w:ascii="仿宋_GB2312" w:hAnsi="等线" w:cs="仿宋_GB2312"/>
                <w:bCs/>
                <w:color w:val="auto"/>
                <w:sz w:val="24"/>
                <w:highlight w:val="none"/>
                <w:lang w:eastAsia="zh-CN"/>
              </w:rPr>
              <w:t>现金分配</w:t>
            </w:r>
          </w:p>
        </w:tc>
      </w:tr>
      <w:tr w14:paraId="5F6508BE">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451C2DBD">
            <w:pPr>
              <w:widowControl/>
              <w:spacing w:line="400" w:lineRule="exact"/>
              <w:jc w:val="center"/>
              <w:textAlignment w:val="center"/>
              <w:rPr>
                <w:rFonts w:hint="eastAsia" w:ascii="楷体_GB2312" w:hAnsi="等线" w:eastAsia="楷体_GB2312" w:cs="楷体_GB2312"/>
                <w:b/>
                <w:bCs/>
                <w:color w:val="auto"/>
                <w:sz w:val="24"/>
                <w:highlight w:val="none"/>
              </w:rPr>
            </w:pPr>
            <w:r>
              <w:rPr>
                <w:rFonts w:hint="eastAsia" w:ascii="楷体_GB2312" w:hAnsi="等线" w:eastAsia="楷体_GB2312" w:cs="楷体_GB2312"/>
                <w:b/>
                <w:bCs/>
                <w:color w:val="auto"/>
                <w:kern w:val="0"/>
                <w:sz w:val="24"/>
                <w:highlight w:val="none"/>
                <w:lang w:bidi="ar"/>
              </w:rPr>
              <w:t>（三）产品性质与类型</w:t>
            </w:r>
          </w:p>
        </w:tc>
      </w:tr>
      <w:tr w14:paraId="1723000E">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5F27F0D2">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募集方式</w:t>
            </w:r>
          </w:p>
        </w:tc>
        <w:tc>
          <w:tcPr>
            <w:tcW w:w="6972" w:type="dxa"/>
            <w:tcBorders>
              <w:top w:val="single" w:color="auto" w:sz="4" w:space="0"/>
              <w:left w:val="single" w:color="auto" w:sz="4" w:space="0"/>
              <w:bottom w:val="single" w:color="auto" w:sz="4" w:space="0"/>
              <w:right w:val="single" w:color="auto" w:sz="4" w:space="0"/>
            </w:tcBorders>
            <w:vAlign w:val="center"/>
          </w:tcPr>
          <w:p w14:paraId="668D5780">
            <w:pPr>
              <w:widowControl/>
              <w:spacing w:line="400" w:lineRule="exact"/>
              <w:jc w:val="left"/>
              <w:textAlignment w:val="center"/>
              <w:rPr>
                <w:rFonts w:hint="eastAsia" w:ascii="仿宋_GB2312" w:hAnsi="宋体" w:eastAsia="仿宋_GB2312" w:cs="宋体"/>
                <w:b/>
                <w:bCs/>
                <w:color w:val="auto"/>
                <w:kern w:val="0"/>
                <w:sz w:val="24"/>
                <w:szCs w:val="24"/>
                <w:highlight w:val="none"/>
                <w:u w:val="none"/>
                <w:lang w:eastAsia="zh-CN"/>
              </w:rPr>
            </w:pPr>
            <w:r>
              <w:rPr>
                <w:rFonts w:hint="eastAsia" w:ascii="仿宋_GB2312" w:hAnsi="宋体" w:eastAsia="仿宋_GB2312" w:cs="宋体"/>
                <w:b/>
                <w:bCs/>
                <w:color w:val="auto"/>
                <w:kern w:val="0"/>
                <w:sz w:val="24"/>
                <w:szCs w:val="24"/>
                <w:highlight w:val="none"/>
                <w:u w:val="none"/>
                <w:lang w:eastAsia="zh-CN" w:bidi="ar"/>
              </w:rPr>
              <w:t>公募</w:t>
            </w:r>
          </w:p>
        </w:tc>
      </w:tr>
      <w:tr w14:paraId="30D52295">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6519183F">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投资性质</w:t>
            </w:r>
          </w:p>
        </w:tc>
        <w:tc>
          <w:tcPr>
            <w:tcW w:w="6972" w:type="dxa"/>
            <w:tcBorders>
              <w:top w:val="single" w:color="auto" w:sz="4" w:space="0"/>
              <w:left w:val="single" w:color="auto" w:sz="4" w:space="0"/>
              <w:bottom w:val="single" w:color="auto" w:sz="4" w:space="0"/>
              <w:right w:val="single" w:color="auto" w:sz="4" w:space="0"/>
            </w:tcBorders>
            <w:vAlign w:val="center"/>
          </w:tcPr>
          <w:p w14:paraId="76006274">
            <w:pPr>
              <w:widowControl/>
              <w:spacing w:line="400" w:lineRule="exact"/>
              <w:jc w:val="left"/>
              <w:textAlignment w:val="center"/>
              <w:rPr>
                <w:rFonts w:hint="eastAsia" w:ascii="仿宋_GB2312" w:hAnsi="宋体" w:eastAsia="仿宋_GB2312" w:cs="宋体"/>
                <w:b/>
                <w:bCs/>
                <w:color w:val="auto"/>
                <w:kern w:val="0"/>
                <w:sz w:val="24"/>
                <w:szCs w:val="24"/>
                <w:highlight w:val="none"/>
                <w:u w:val="none"/>
                <w:lang w:bidi="ar"/>
              </w:rPr>
            </w:pPr>
            <w:r>
              <w:rPr>
                <w:rFonts w:hint="eastAsia" w:ascii="仿宋_GB2312" w:hAnsi="宋体" w:eastAsia="仿宋_GB2312" w:cs="宋体"/>
                <w:b/>
                <w:bCs/>
                <w:color w:val="auto"/>
                <w:kern w:val="0"/>
                <w:sz w:val="24"/>
                <w:szCs w:val="24"/>
                <w:highlight w:val="none"/>
                <w:u w:val="none"/>
                <w:lang w:bidi="ar"/>
              </w:rPr>
              <w:t>固定收益类</w:t>
            </w:r>
          </w:p>
        </w:tc>
      </w:tr>
      <w:tr w14:paraId="387E31E8">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74CC65C2">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运作模式</w:t>
            </w:r>
          </w:p>
        </w:tc>
        <w:tc>
          <w:tcPr>
            <w:tcW w:w="6972" w:type="dxa"/>
            <w:tcBorders>
              <w:top w:val="single" w:color="auto" w:sz="4" w:space="0"/>
              <w:left w:val="single" w:color="auto" w:sz="4" w:space="0"/>
              <w:bottom w:val="single" w:color="auto" w:sz="4" w:space="0"/>
              <w:right w:val="single" w:color="auto" w:sz="4" w:space="0"/>
            </w:tcBorders>
            <w:vAlign w:val="center"/>
          </w:tcPr>
          <w:p w14:paraId="0F9EF837">
            <w:pPr>
              <w:widowControl/>
              <w:spacing w:line="400" w:lineRule="exact"/>
              <w:jc w:val="left"/>
              <w:textAlignment w:val="center"/>
              <w:rPr>
                <w:rFonts w:hint="eastAsia" w:ascii="仿宋_GB2312" w:hAnsi="宋体" w:eastAsia="仿宋_GB2312" w:cs="宋体"/>
                <w:b/>
                <w:bCs/>
                <w:color w:val="auto"/>
                <w:kern w:val="0"/>
                <w:sz w:val="24"/>
                <w:szCs w:val="24"/>
                <w:highlight w:val="none"/>
                <w:u w:val="none"/>
                <w:lang w:bidi="ar"/>
              </w:rPr>
            </w:pPr>
            <w:r>
              <w:rPr>
                <w:rFonts w:hint="eastAsia" w:ascii="仿宋_GB2312" w:hAnsi="宋体" w:eastAsia="仿宋_GB2312" w:cs="宋体"/>
                <w:b/>
                <w:bCs/>
                <w:color w:val="auto"/>
                <w:kern w:val="0"/>
                <w:sz w:val="24"/>
                <w:szCs w:val="24"/>
                <w:highlight w:val="none"/>
                <w:u w:val="none"/>
                <w:lang w:bidi="ar"/>
              </w:rPr>
              <w:t>开放式</w:t>
            </w:r>
          </w:p>
        </w:tc>
      </w:tr>
      <w:tr w14:paraId="003FF250">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548CECD4">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运作模式（二级）</w:t>
            </w:r>
          </w:p>
        </w:tc>
        <w:tc>
          <w:tcPr>
            <w:tcW w:w="6972" w:type="dxa"/>
            <w:tcBorders>
              <w:top w:val="single" w:color="auto" w:sz="4" w:space="0"/>
              <w:left w:val="single" w:color="auto" w:sz="4" w:space="0"/>
              <w:bottom w:val="single" w:color="auto" w:sz="4" w:space="0"/>
              <w:right w:val="single" w:color="auto" w:sz="4" w:space="0"/>
            </w:tcBorders>
            <w:vAlign w:val="center"/>
          </w:tcPr>
          <w:p w14:paraId="2DA19380">
            <w:pPr>
              <w:widowControl/>
              <w:spacing w:line="400" w:lineRule="exact"/>
              <w:jc w:val="left"/>
              <w:textAlignment w:val="center"/>
              <w:rPr>
                <w:rFonts w:hint="eastAsia" w:ascii="仿宋_GB2312" w:hAnsi="宋体" w:eastAsia="仿宋_GB2312" w:cs="宋体"/>
                <w:b/>
                <w:bCs/>
                <w:color w:val="auto"/>
                <w:kern w:val="0"/>
                <w:sz w:val="24"/>
                <w:szCs w:val="24"/>
                <w:highlight w:val="none"/>
                <w:u w:val="none"/>
                <w:lang w:bidi="ar"/>
              </w:rPr>
            </w:pPr>
            <w:r>
              <w:rPr>
                <w:rFonts w:hint="eastAsia" w:ascii="仿宋_GB2312" w:hAnsi="宋体" w:cs="宋体"/>
                <w:b/>
                <w:bCs/>
                <w:color w:val="auto"/>
                <w:kern w:val="0"/>
                <w:sz w:val="24"/>
                <w:szCs w:val="24"/>
                <w:highlight w:val="none"/>
                <w:u w:val="none"/>
                <w:lang w:eastAsia="zh-CN" w:bidi="ar"/>
              </w:rPr>
              <w:t>日开</w:t>
            </w:r>
            <w:r>
              <w:rPr>
                <w:rFonts w:hint="eastAsia" w:ascii="仿宋_GB2312" w:hAnsi="宋体" w:eastAsia="仿宋_GB2312" w:cs="宋体"/>
                <w:b/>
                <w:bCs/>
                <w:color w:val="auto"/>
                <w:kern w:val="0"/>
                <w:sz w:val="24"/>
                <w:szCs w:val="24"/>
                <w:highlight w:val="none"/>
                <w:u w:val="none"/>
                <w:lang w:bidi="ar"/>
              </w:rPr>
              <w:t>型产品</w:t>
            </w:r>
          </w:p>
        </w:tc>
      </w:tr>
      <w:tr w14:paraId="67729EE5">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451DA504">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风险等级</w:t>
            </w:r>
          </w:p>
        </w:tc>
        <w:tc>
          <w:tcPr>
            <w:tcW w:w="6972" w:type="dxa"/>
            <w:tcBorders>
              <w:top w:val="single" w:color="auto" w:sz="4" w:space="0"/>
              <w:left w:val="single" w:color="auto" w:sz="4" w:space="0"/>
              <w:bottom w:val="single" w:color="auto" w:sz="4" w:space="0"/>
              <w:right w:val="single" w:color="auto" w:sz="4" w:space="0"/>
            </w:tcBorders>
            <w:vAlign w:val="center"/>
          </w:tcPr>
          <w:p w14:paraId="7717F6EB">
            <w:pPr>
              <w:widowControl/>
              <w:tabs>
                <w:tab w:val="left" w:pos="709"/>
              </w:tabs>
              <w:snapToGrid w:val="0"/>
              <w:rPr>
                <w:rFonts w:ascii="宋体" w:hAnsi="宋体"/>
                <w:color w:val="auto"/>
                <w:szCs w:val="24"/>
                <w:highlight w:val="none"/>
                <w:u w:val="none"/>
              </w:rPr>
            </w:pPr>
            <w:r>
              <w:rPr>
                <w:rFonts w:hint="eastAsia" w:ascii="宋体" w:hAnsi="宋体"/>
                <w:b/>
                <w:bCs/>
                <w:color w:val="auto"/>
                <w:szCs w:val="24"/>
                <w:highlight w:val="none"/>
                <w:u w:val="none"/>
              </w:rPr>
              <w:t>【</w:t>
            </w:r>
            <w:r>
              <w:rPr>
                <w:rFonts w:hint="eastAsia" w:ascii="宋体" w:hAnsi="宋体"/>
                <w:b/>
                <w:bCs/>
                <w:color w:val="auto"/>
                <w:szCs w:val="24"/>
                <w:highlight w:val="none"/>
                <w:u w:val="none"/>
                <w:lang w:val="en-US" w:eastAsia="zh-CN"/>
              </w:rPr>
              <w:t>R2</w:t>
            </w:r>
            <w:r>
              <w:rPr>
                <w:rFonts w:hint="eastAsia" w:ascii="宋体" w:hAnsi="宋体"/>
                <w:b/>
                <w:bCs/>
                <w:color w:val="auto"/>
                <w:szCs w:val="24"/>
                <w:highlight w:val="none"/>
                <w:u w:val="none"/>
              </w:rPr>
              <w:t>】对应风险等级为【</w:t>
            </w:r>
            <w:r>
              <w:rPr>
                <w:rFonts w:hint="eastAsia" w:ascii="宋体" w:hAnsi="宋体"/>
                <w:b/>
                <w:bCs/>
                <w:color w:val="auto"/>
                <w:szCs w:val="24"/>
                <w:highlight w:val="none"/>
                <w:u w:val="none"/>
                <w:lang w:eastAsia="zh-CN"/>
              </w:rPr>
              <w:t>中低风险</w:t>
            </w:r>
            <w:r>
              <w:rPr>
                <w:rFonts w:hint="eastAsia" w:ascii="宋体" w:hAnsi="宋体"/>
                <w:b/>
                <w:bCs/>
                <w:color w:val="auto"/>
                <w:szCs w:val="24"/>
                <w:highlight w:val="none"/>
                <w:u w:val="none"/>
              </w:rPr>
              <w:t>】</w:t>
            </w:r>
            <w:r>
              <w:rPr>
                <w:rFonts w:hint="eastAsia" w:ascii="仿宋_GB2312" w:hAnsi="等线" w:eastAsia="仿宋_GB2312" w:cs="仿宋_GB2312"/>
                <w:b/>
                <w:bCs w:val="0"/>
                <w:color w:val="auto"/>
                <w:kern w:val="0"/>
                <w:sz w:val="24"/>
                <w:highlight w:val="none"/>
                <w:lang w:bidi="ar"/>
              </w:rPr>
              <w:br w:type="textWrapping"/>
            </w:r>
            <w:r>
              <w:rPr>
                <w:rFonts w:hint="eastAsia" w:ascii="宋体" w:hAnsi="宋体"/>
                <w:color w:val="auto"/>
                <w:szCs w:val="24"/>
                <w:highlight w:val="none"/>
                <w:u w:val="none"/>
              </w:rPr>
              <w:t>本评级为管理人内部测评结果，仅供投资者参考。</w:t>
            </w:r>
            <w:r>
              <w:rPr>
                <w:rFonts w:hint="eastAsia" w:ascii="宋体" w:hAnsi="宋体"/>
                <w:b/>
                <w:color w:val="auto"/>
                <w:szCs w:val="24"/>
                <w:highlight w:val="none"/>
                <w:u w:val="none"/>
              </w:rPr>
              <w:t>本产品通过代理销售机构渠道销售的，理财产品评级应当以代理销售机构最终披露的评级结果为准。</w:t>
            </w:r>
            <w:r>
              <w:rPr>
                <w:rFonts w:ascii="宋体" w:hAnsi="宋体"/>
                <w:color w:val="auto"/>
                <w:szCs w:val="24"/>
                <w:highlight w:val="none"/>
                <w:u w:val="none"/>
              </w:rPr>
              <w:t>(</w:t>
            </w:r>
            <w:r>
              <w:rPr>
                <w:rFonts w:hint="eastAsia" w:ascii="宋体" w:hAnsi="宋体"/>
                <w:color w:val="auto"/>
                <w:szCs w:val="24"/>
                <w:highlight w:val="none"/>
                <w:u w:val="none"/>
              </w:rPr>
              <w:t>管理</w:t>
            </w:r>
            <w:r>
              <w:rPr>
                <w:rFonts w:ascii="宋体" w:hAnsi="宋体"/>
                <w:color w:val="auto"/>
                <w:szCs w:val="24"/>
                <w:highlight w:val="none"/>
                <w:u w:val="none"/>
              </w:rPr>
              <w:t>人与</w:t>
            </w:r>
            <w:r>
              <w:rPr>
                <w:rFonts w:hint="eastAsia" w:ascii="宋体" w:hAnsi="宋体"/>
                <w:color w:val="auto"/>
                <w:szCs w:val="24"/>
                <w:highlight w:val="none"/>
                <w:u w:val="none"/>
              </w:rPr>
              <w:t>代理</w:t>
            </w:r>
            <w:r>
              <w:rPr>
                <w:rFonts w:ascii="宋体" w:hAnsi="宋体"/>
                <w:color w:val="auto"/>
                <w:szCs w:val="24"/>
                <w:highlight w:val="none"/>
                <w:u w:val="none"/>
              </w:rPr>
              <w:t>销售机构</w:t>
            </w:r>
            <w:r>
              <w:rPr>
                <w:rFonts w:hint="eastAsia" w:ascii="宋体" w:hAnsi="宋体"/>
                <w:color w:val="auto"/>
                <w:szCs w:val="24"/>
                <w:highlight w:val="none"/>
                <w:u w:val="none"/>
              </w:rPr>
              <w:t>的</w:t>
            </w:r>
            <w:r>
              <w:rPr>
                <w:rFonts w:ascii="宋体" w:hAnsi="宋体"/>
                <w:color w:val="auto"/>
                <w:szCs w:val="24"/>
                <w:highlight w:val="none"/>
                <w:u w:val="none"/>
              </w:rPr>
              <w:t>风险</w:t>
            </w:r>
            <w:r>
              <w:rPr>
                <w:rFonts w:hint="eastAsia" w:ascii="宋体" w:hAnsi="宋体"/>
                <w:color w:val="auto"/>
                <w:szCs w:val="24"/>
                <w:highlight w:val="none"/>
                <w:u w:val="none"/>
              </w:rPr>
              <w:t>等级评估结果</w:t>
            </w:r>
            <w:r>
              <w:rPr>
                <w:rFonts w:ascii="宋体" w:hAnsi="宋体"/>
                <w:color w:val="auto"/>
                <w:szCs w:val="24"/>
                <w:highlight w:val="none"/>
                <w:u w:val="none"/>
              </w:rPr>
              <w:t>不一致的应采用</w:t>
            </w:r>
            <w:r>
              <w:rPr>
                <w:rFonts w:hint="eastAsia" w:ascii="宋体" w:hAnsi="宋体"/>
                <w:color w:val="auto"/>
                <w:szCs w:val="24"/>
                <w:highlight w:val="none"/>
                <w:u w:val="none"/>
              </w:rPr>
              <w:t>对应</w:t>
            </w:r>
            <w:r>
              <w:rPr>
                <w:rFonts w:ascii="宋体" w:hAnsi="宋体"/>
                <w:color w:val="auto"/>
                <w:szCs w:val="24"/>
                <w:highlight w:val="none"/>
                <w:u w:val="none"/>
              </w:rPr>
              <w:t>较高风险</w:t>
            </w:r>
            <w:r>
              <w:rPr>
                <w:rFonts w:hint="eastAsia" w:ascii="宋体" w:hAnsi="宋体"/>
                <w:color w:val="auto"/>
                <w:szCs w:val="24"/>
                <w:highlight w:val="none"/>
                <w:u w:val="none"/>
              </w:rPr>
              <w:t>的</w:t>
            </w:r>
            <w:r>
              <w:rPr>
                <w:rFonts w:ascii="宋体" w:hAnsi="宋体"/>
                <w:color w:val="auto"/>
                <w:szCs w:val="24"/>
                <w:highlight w:val="none"/>
                <w:u w:val="none"/>
              </w:rPr>
              <w:t>评级</w:t>
            </w:r>
            <w:r>
              <w:rPr>
                <w:rFonts w:hint="eastAsia" w:ascii="宋体" w:hAnsi="宋体"/>
                <w:color w:val="auto"/>
                <w:szCs w:val="24"/>
                <w:highlight w:val="none"/>
                <w:u w:val="none"/>
              </w:rPr>
              <w:t>结果。</w:t>
            </w:r>
            <w:r>
              <w:rPr>
                <w:rFonts w:ascii="宋体" w:hAnsi="宋体"/>
                <w:color w:val="auto"/>
                <w:szCs w:val="24"/>
                <w:highlight w:val="none"/>
                <w:u w:val="none"/>
              </w:rPr>
              <w:t>)</w:t>
            </w:r>
          </w:p>
          <w:p w14:paraId="29635578">
            <w:pPr>
              <w:widowControl/>
              <w:tabs>
                <w:tab w:val="left" w:pos="709"/>
              </w:tabs>
              <w:snapToGrid w:val="0"/>
              <w:spacing w:line="240" w:lineRule="auto"/>
              <w:jc w:val="left"/>
              <w:textAlignment w:val="auto"/>
              <w:rPr>
                <w:rFonts w:hint="eastAsia" w:ascii="仿宋_GB2312" w:hAnsi="等线" w:eastAsia="仿宋_GB2312" w:cs="仿宋_GB2312"/>
                <w:bCs/>
                <w:color w:val="auto"/>
                <w:sz w:val="24"/>
                <w:highlight w:val="none"/>
              </w:rPr>
            </w:pPr>
            <w:r>
              <w:rPr>
                <w:rFonts w:hint="eastAsia" w:ascii="宋体" w:hAnsi="宋体"/>
                <w:b/>
                <w:bCs/>
                <w:color w:val="auto"/>
                <w:szCs w:val="24"/>
                <w:highlight w:val="none"/>
                <w:u w:val="none"/>
              </w:rPr>
              <w:t>产品管理人在符合监管政策的前提下可对产品风险评级进行动态管理，如产品风险等级发生调整，将提前通过本《产品说明书》“信息披露”约定的方式通知投资者。</w:t>
            </w:r>
          </w:p>
        </w:tc>
      </w:tr>
      <w:tr w14:paraId="03568399">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17FB6455">
            <w:pPr>
              <w:widowControl/>
              <w:spacing w:line="400" w:lineRule="exact"/>
              <w:jc w:val="center"/>
              <w:textAlignment w:val="center"/>
              <w:rPr>
                <w:rFonts w:hint="eastAsia" w:ascii="仿宋_GB2312" w:hAnsi="等线" w:eastAsia="仿宋_GB2312" w:cs="仿宋_GB2312"/>
                <w:color w:val="auto"/>
                <w:kern w:val="0"/>
                <w:sz w:val="24"/>
                <w:highlight w:val="none"/>
                <w:lang w:bidi="ar"/>
              </w:rPr>
            </w:pPr>
            <w:r>
              <w:rPr>
                <w:rFonts w:hint="eastAsia" w:ascii="仿宋_GB2312" w:hAnsi="等线" w:eastAsia="仿宋_GB2312" w:cs="仿宋_GB2312"/>
                <w:color w:val="auto"/>
                <w:kern w:val="0"/>
                <w:sz w:val="24"/>
                <w:highlight w:val="none"/>
                <w:lang w:bidi="ar"/>
              </w:rPr>
              <w:t>是否为现金管理类产品</w:t>
            </w:r>
          </w:p>
        </w:tc>
        <w:tc>
          <w:tcPr>
            <w:tcW w:w="6972" w:type="dxa"/>
            <w:tcBorders>
              <w:top w:val="single" w:color="auto" w:sz="4" w:space="0"/>
              <w:left w:val="single" w:color="auto" w:sz="4" w:space="0"/>
              <w:bottom w:val="single" w:color="auto" w:sz="4" w:space="0"/>
              <w:right w:val="single" w:color="auto" w:sz="4" w:space="0"/>
            </w:tcBorders>
            <w:vAlign w:val="center"/>
          </w:tcPr>
          <w:p w14:paraId="1C061919">
            <w:pPr>
              <w:widowControl/>
              <w:spacing w:line="400" w:lineRule="exact"/>
              <w:jc w:val="left"/>
              <w:textAlignment w:val="center"/>
              <w:rPr>
                <w:rFonts w:hint="eastAsia" w:ascii="仿宋_GB2312" w:hAnsi="等线" w:eastAsia="仿宋_GB2312" w:cs="仿宋_GB2312"/>
                <w:bCs/>
                <w:color w:val="auto"/>
                <w:kern w:val="0"/>
                <w:sz w:val="24"/>
                <w:highlight w:val="none"/>
                <w:lang w:eastAsia="zh-CN" w:bidi="ar"/>
              </w:rPr>
            </w:pPr>
            <w:r>
              <w:rPr>
                <w:rFonts w:hint="eastAsia" w:ascii="仿宋_GB2312" w:hAnsi="等线" w:cs="仿宋_GB2312"/>
                <w:bCs/>
                <w:color w:val="auto"/>
                <w:kern w:val="0"/>
                <w:sz w:val="24"/>
                <w:highlight w:val="none"/>
                <w:lang w:eastAsia="zh-CN" w:bidi="ar"/>
              </w:rPr>
              <w:t>【否】</w:t>
            </w:r>
          </w:p>
        </w:tc>
      </w:tr>
      <w:tr w14:paraId="58425700">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0AD04AC1">
            <w:pPr>
              <w:snapToGrid w:val="0"/>
              <w:ind w:left="-163" w:leftChars="-74" w:hanging="15" w:firstLineChars="0"/>
              <w:jc w:val="center"/>
              <w:rPr>
                <w:rFonts w:hint="eastAsia" w:ascii="仿宋_GB2312" w:hAnsi="等线" w:eastAsia="仿宋_GB2312" w:cs="仿宋_GB2312"/>
                <w:color w:val="auto"/>
                <w:kern w:val="0"/>
                <w:sz w:val="24"/>
                <w:highlight w:val="none"/>
                <w:lang w:bidi="ar"/>
              </w:rPr>
            </w:pPr>
            <w:r>
              <w:rPr>
                <w:rFonts w:hint="eastAsia" w:ascii="宋体" w:hAnsi="宋体"/>
                <w:color w:val="auto"/>
                <w:szCs w:val="24"/>
                <w:highlight w:val="none"/>
                <w:u w:val="none"/>
              </w:rPr>
              <w:t>本金及收益类型</w:t>
            </w:r>
          </w:p>
        </w:tc>
        <w:tc>
          <w:tcPr>
            <w:tcW w:w="6972" w:type="dxa"/>
            <w:tcBorders>
              <w:top w:val="single" w:color="auto" w:sz="4" w:space="0"/>
              <w:left w:val="single" w:color="auto" w:sz="4" w:space="0"/>
              <w:bottom w:val="single" w:color="auto" w:sz="4" w:space="0"/>
              <w:right w:val="single" w:color="auto" w:sz="4" w:space="0"/>
            </w:tcBorders>
            <w:vAlign w:val="center"/>
          </w:tcPr>
          <w:p w14:paraId="031FCEC6">
            <w:pPr>
              <w:snapToGrid w:val="0"/>
              <w:rPr>
                <w:rFonts w:ascii="宋体" w:hAnsi="宋体"/>
                <w:color w:val="auto"/>
                <w:szCs w:val="24"/>
                <w:highlight w:val="none"/>
                <w:u w:val="none"/>
              </w:rPr>
            </w:pPr>
            <w:r>
              <w:rPr>
                <w:rFonts w:hint="eastAsia" w:ascii="宋体" w:hAnsi="宋体"/>
                <w:color w:val="auto"/>
                <w:szCs w:val="24"/>
                <w:highlight w:val="none"/>
                <w:u w:val="none"/>
              </w:rPr>
              <w:t>非保本浮动收益。本产品不保证理财本金且不保证收益。本产品的收益随投资收益浮动，投资者可能会因市场变动而蒙受损失。</w:t>
            </w:r>
          </w:p>
          <w:p w14:paraId="1E7DBAC7">
            <w:pPr>
              <w:snapToGrid w:val="0"/>
              <w:rPr>
                <w:rFonts w:hint="eastAsia" w:ascii="仿宋_GB2312" w:hAnsi="等线" w:cs="仿宋_GB2312"/>
                <w:bCs/>
                <w:color w:val="auto"/>
                <w:kern w:val="0"/>
                <w:sz w:val="24"/>
                <w:highlight w:val="none"/>
                <w:lang w:eastAsia="zh-CN" w:bidi="ar"/>
              </w:rPr>
            </w:pPr>
            <w:r>
              <w:rPr>
                <w:rFonts w:hint="eastAsia" w:ascii="宋体" w:hAnsi="宋体"/>
                <w:color w:val="auto"/>
                <w:szCs w:val="24"/>
                <w:highlight w:val="none"/>
                <w:u w:val="none"/>
              </w:rPr>
              <w:t>理财产品管理人对本产品的本金并不提供保证，也不承诺任何固定收益。</w:t>
            </w:r>
          </w:p>
        </w:tc>
      </w:tr>
      <w:tr w14:paraId="3C44D3AC">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4666CF48">
            <w:pPr>
              <w:widowControl/>
              <w:spacing w:line="400" w:lineRule="exact"/>
              <w:jc w:val="center"/>
              <w:textAlignment w:val="center"/>
              <w:rPr>
                <w:rFonts w:hint="eastAsia" w:ascii="楷体_GB2312" w:hAnsi="等线" w:eastAsia="楷体_GB2312" w:cs="楷体_GB2312"/>
                <w:bCs/>
                <w:color w:val="auto"/>
                <w:sz w:val="24"/>
                <w:highlight w:val="none"/>
              </w:rPr>
            </w:pPr>
            <w:r>
              <w:rPr>
                <w:rFonts w:hint="eastAsia" w:ascii="楷体_GB2312" w:hAnsi="等线" w:eastAsia="楷体_GB2312" w:cs="楷体_GB2312"/>
                <w:b/>
                <w:color w:val="auto"/>
                <w:kern w:val="0"/>
                <w:sz w:val="24"/>
                <w:highlight w:val="none"/>
                <w:lang w:bidi="ar"/>
              </w:rPr>
              <w:t>（四）产品期限</w:t>
            </w:r>
          </w:p>
        </w:tc>
      </w:tr>
      <w:tr w14:paraId="5771785D">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01204D52">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募集起始日期</w:t>
            </w:r>
          </w:p>
        </w:tc>
        <w:tc>
          <w:tcPr>
            <w:tcW w:w="6972" w:type="dxa"/>
            <w:tcBorders>
              <w:top w:val="single" w:color="auto" w:sz="4" w:space="0"/>
              <w:left w:val="single" w:color="auto" w:sz="4" w:space="0"/>
              <w:bottom w:val="single" w:color="auto" w:sz="4" w:space="0"/>
              <w:right w:val="single" w:color="auto" w:sz="4" w:space="0"/>
            </w:tcBorders>
            <w:vAlign w:val="center"/>
          </w:tcPr>
          <w:p w14:paraId="3F83B9FD">
            <w:pPr>
              <w:widowControl/>
              <w:autoSpaceDE w:val="0"/>
              <w:autoSpaceDN w:val="0"/>
              <w:adjustRightInd w:val="0"/>
              <w:snapToGrid w:val="0"/>
              <w:spacing w:line="240" w:lineRule="auto"/>
              <w:jc w:val="left"/>
              <w:textAlignment w:val="auto"/>
              <w:rPr>
                <w:rFonts w:hint="eastAsia" w:ascii="仿宋_GB2312" w:hAnsi="等线" w:eastAsia="仿宋_GB2312" w:cs="仿宋_GB2312"/>
                <w:bCs/>
                <w:color w:val="auto"/>
                <w:sz w:val="24"/>
                <w:highlight w:val="none"/>
              </w:rPr>
            </w:pPr>
            <w:r>
              <w:rPr>
                <w:rFonts w:hint="eastAsia" w:ascii="宋体" w:hAnsi="宋体"/>
                <w:color w:val="auto"/>
                <w:szCs w:val="24"/>
                <w:highlight w:val="none"/>
                <w:u w:val="none"/>
              </w:rPr>
              <w:t>【</w:t>
            </w:r>
            <w:r>
              <w:rPr>
                <w:rFonts w:hint="eastAsia" w:ascii="宋体" w:hAnsi="宋体"/>
                <w:color w:val="auto"/>
                <w:szCs w:val="24"/>
                <w:highlight w:val="none"/>
                <w:u w:val="none"/>
                <w:lang w:val="en-US" w:eastAsia="zh-CN"/>
              </w:rPr>
              <w:t>2025</w:t>
            </w:r>
            <w:r>
              <w:rPr>
                <w:rFonts w:hint="eastAsia" w:ascii="宋体" w:hAnsi="宋体"/>
                <w:b/>
                <w:color w:val="auto"/>
                <w:szCs w:val="24"/>
                <w:highlight w:val="none"/>
                <w:u w:val="none"/>
              </w:rPr>
              <w:t>】年【</w:t>
            </w:r>
            <w:r>
              <w:rPr>
                <w:rFonts w:hint="eastAsia" w:ascii="宋体" w:hAnsi="宋体"/>
                <w:b/>
                <w:color w:val="auto"/>
                <w:szCs w:val="24"/>
                <w:highlight w:val="none"/>
                <w:u w:val="none"/>
                <w:lang w:val="en-US" w:eastAsia="zh-CN"/>
              </w:rPr>
              <w:t>9</w:t>
            </w:r>
            <w:r>
              <w:rPr>
                <w:rFonts w:hint="eastAsia" w:ascii="宋体" w:hAnsi="宋体"/>
                <w:b/>
                <w:color w:val="auto"/>
                <w:szCs w:val="24"/>
                <w:highlight w:val="none"/>
                <w:u w:val="none"/>
              </w:rPr>
              <w:t>】月【</w:t>
            </w:r>
            <w:r>
              <w:rPr>
                <w:rFonts w:hint="eastAsia" w:ascii="宋体" w:hAnsi="宋体"/>
                <w:b/>
                <w:color w:val="auto"/>
                <w:szCs w:val="24"/>
                <w:highlight w:val="none"/>
                <w:u w:val="none"/>
                <w:lang w:val="en-US" w:eastAsia="zh-CN"/>
              </w:rPr>
              <w:t>23</w:t>
            </w:r>
            <w:r>
              <w:rPr>
                <w:rFonts w:hint="eastAsia" w:ascii="宋体" w:hAnsi="宋体"/>
                <w:b/>
                <w:color w:val="auto"/>
                <w:szCs w:val="24"/>
                <w:highlight w:val="none"/>
                <w:u w:val="none"/>
              </w:rPr>
              <w:t>】日【</w:t>
            </w:r>
            <w:r>
              <w:rPr>
                <w:rFonts w:ascii="宋体" w:hAnsi="宋体"/>
                <w:b/>
                <w:color w:val="auto"/>
                <w:szCs w:val="24"/>
                <w:highlight w:val="none"/>
                <w:u w:val="none"/>
              </w:rPr>
              <w:t>9</w:t>
            </w:r>
            <w:r>
              <w:rPr>
                <w:rFonts w:hint="eastAsia" w:ascii="宋体" w:hAnsi="宋体"/>
                <w:b/>
                <w:color w:val="auto"/>
                <w:szCs w:val="24"/>
                <w:highlight w:val="none"/>
                <w:u w:val="none"/>
              </w:rPr>
              <w:t>:00】</w:t>
            </w:r>
          </w:p>
        </w:tc>
      </w:tr>
      <w:tr w14:paraId="0293E9B0">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5D1455A5">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募集结束日期</w:t>
            </w:r>
          </w:p>
        </w:tc>
        <w:tc>
          <w:tcPr>
            <w:tcW w:w="6972" w:type="dxa"/>
            <w:tcBorders>
              <w:top w:val="single" w:color="auto" w:sz="4" w:space="0"/>
              <w:left w:val="single" w:color="auto" w:sz="4" w:space="0"/>
              <w:bottom w:val="single" w:color="auto" w:sz="4" w:space="0"/>
              <w:right w:val="single" w:color="auto" w:sz="4" w:space="0"/>
            </w:tcBorders>
            <w:vAlign w:val="center"/>
          </w:tcPr>
          <w:p w14:paraId="6BBD56E1">
            <w:pPr>
              <w:widowControl/>
              <w:autoSpaceDE w:val="0"/>
              <w:autoSpaceDN w:val="0"/>
              <w:adjustRightInd w:val="0"/>
              <w:snapToGrid w:val="0"/>
              <w:spacing w:line="240" w:lineRule="auto"/>
              <w:jc w:val="left"/>
              <w:textAlignment w:val="auto"/>
              <w:rPr>
                <w:rFonts w:hint="eastAsia" w:ascii="宋体" w:hAnsi="宋体"/>
                <w:b/>
                <w:color w:val="auto"/>
                <w:szCs w:val="24"/>
                <w:highlight w:val="none"/>
                <w:u w:val="none"/>
              </w:rPr>
            </w:pPr>
            <w:r>
              <w:rPr>
                <w:rFonts w:hint="eastAsia" w:ascii="宋体" w:hAnsi="宋体"/>
                <w:color w:val="auto"/>
                <w:szCs w:val="24"/>
                <w:highlight w:val="none"/>
                <w:u w:val="none"/>
              </w:rPr>
              <w:t>【</w:t>
            </w:r>
            <w:r>
              <w:rPr>
                <w:rFonts w:hint="eastAsia" w:ascii="宋体" w:hAnsi="宋体"/>
                <w:color w:val="auto"/>
                <w:szCs w:val="24"/>
                <w:highlight w:val="none"/>
                <w:u w:val="none"/>
                <w:lang w:val="en-US" w:eastAsia="zh-CN"/>
              </w:rPr>
              <w:t>2025</w:t>
            </w:r>
            <w:r>
              <w:rPr>
                <w:rFonts w:hint="eastAsia" w:ascii="宋体" w:hAnsi="宋体"/>
                <w:b/>
                <w:color w:val="auto"/>
                <w:szCs w:val="24"/>
                <w:highlight w:val="none"/>
                <w:u w:val="none"/>
              </w:rPr>
              <w:t>】年【</w:t>
            </w:r>
            <w:r>
              <w:rPr>
                <w:rFonts w:hint="eastAsia" w:ascii="宋体" w:hAnsi="宋体"/>
                <w:b/>
                <w:color w:val="auto"/>
                <w:szCs w:val="24"/>
                <w:highlight w:val="none"/>
                <w:u w:val="none"/>
                <w:lang w:val="en-US" w:eastAsia="zh-CN"/>
              </w:rPr>
              <w:t>9</w:t>
            </w:r>
            <w:r>
              <w:rPr>
                <w:rFonts w:hint="eastAsia" w:ascii="宋体" w:hAnsi="宋体"/>
                <w:b/>
                <w:color w:val="auto"/>
                <w:szCs w:val="24"/>
                <w:highlight w:val="none"/>
                <w:u w:val="none"/>
              </w:rPr>
              <w:t>】月【</w:t>
            </w:r>
            <w:r>
              <w:rPr>
                <w:rFonts w:hint="eastAsia" w:ascii="宋体" w:hAnsi="宋体"/>
                <w:b/>
                <w:color w:val="auto"/>
                <w:szCs w:val="24"/>
                <w:highlight w:val="none"/>
                <w:u w:val="none"/>
                <w:lang w:val="en-US" w:eastAsia="zh-CN"/>
              </w:rPr>
              <w:t>23</w:t>
            </w:r>
            <w:r>
              <w:rPr>
                <w:rFonts w:hint="eastAsia" w:ascii="宋体" w:hAnsi="宋体"/>
                <w:b/>
                <w:color w:val="auto"/>
                <w:szCs w:val="24"/>
                <w:highlight w:val="none"/>
                <w:u w:val="none"/>
              </w:rPr>
              <w:t>】日【1</w:t>
            </w:r>
            <w:r>
              <w:rPr>
                <w:rFonts w:ascii="宋体" w:hAnsi="宋体"/>
                <w:b/>
                <w:color w:val="auto"/>
                <w:szCs w:val="24"/>
                <w:highlight w:val="none"/>
                <w:u w:val="none"/>
              </w:rPr>
              <w:t>5</w:t>
            </w:r>
            <w:r>
              <w:rPr>
                <w:rFonts w:hint="eastAsia" w:ascii="宋体" w:hAnsi="宋体"/>
                <w:b/>
                <w:color w:val="auto"/>
                <w:szCs w:val="24"/>
                <w:highlight w:val="none"/>
                <w:u w:val="none"/>
              </w:rPr>
              <w:t>:00】</w:t>
            </w:r>
          </w:p>
          <w:p w14:paraId="3E3967A4">
            <w:pPr>
              <w:widowControl/>
              <w:autoSpaceDE w:val="0"/>
              <w:autoSpaceDN w:val="0"/>
              <w:adjustRightInd w:val="0"/>
              <w:snapToGrid w:val="0"/>
              <w:spacing w:line="240" w:lineRule="auto"/>
              <w:jc w:val="left"/>
              <w:textAlignment w:val="auto"/>
              <w:rPr>
                <w:rFonts w:hint="eastAsia" w:ascii="仿宋_GB2312" w:hAnsi="等线" w:eastAsia="仿宋_GB2312" w:cs="仿宋_GB2312"/>
                <w:bCs/>
                <w:color w:val="auto"/>
                <w:sz w:val="24"/>
                <w:highlight w:val="none"/>
              </w:rPr>
            </w:pPr>
            <w:r>
              <w:rPr>
                <w:rFonts w:hint="eastAsia"/>
                <w:color w:val="auto"/>
                <w:szCs w:val="24"/>
                <w:highlight w:val="none"/>
                <w:u w:val="none"/>
              </w:rPr>
              <w:t>销售机构实际受理时间可能与说明书不一致，具体以销售机构通知为准。</w:t>
            </w:r>
            <w:r>
              <w:rPr>
                <w:rFonts w:hint="eastAsia" w:ascii="宋体" w:hAnsi="宋体"/>
                <w:b/>
                <w:color w:val="auto"/>
                <w:szCs w:val="24"/>
                <w:highlight w:val="none"/>
                <w:u w:val="none"/>
              </w:rPr>
              <w:t>管理人有权提前结束募集并提前成立理财产品或延长募集期，具体以管理人或销售机构公告为准。</w:t>
            </w:r>
          </w:p>
        </w:tc>
      </w:tr>
      <w:tr w14:paraId="0791F4EE">
        <w:tblPrEx>
          <w:tblCellMar>
            <w:top w:w="0" w:type="dxa"/>
            <w:left w:w="108" w:type="dxa"/>
            <w:bottom w:w="0" w:type="dxa"/>
            <w:right w:w="108" w:type="dxa"/>
          </w:tblCellMar>
        </w:tblPrEx>
        <w:trPr>
          <w:trHeight w:val="888" w:hRule="atLeast"/>
        </w:trPr>
        <w:tc>
          <w:tcPr>
            <w:tcW w:w="2453" w:type="dxa"/>
            <w:tcBorders>
              <w:top w:val="single" w:color="auto" w:sz="4" w:space="0"/>
              <w:left w:val="single" w:color="auto" w:sz="4" w:space="0"/>
              <w:bottom w:val="single" w:color="auto" w:sz="4" w:space="0"/>
              <w:right w:val="single" w:color="auto" w:sz="4" w:space="0"/>
            </w:tcBorders>
            <w:vAlign w:val="center"/>
          </w:tcPr>
          <w:p w14:paraId="27762DAF">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产品成立日期</w:t>
            </w:r>
          </w:p>
        </w:tc>
        <w:tc>
          <w:tcPr>
            <w:tcW w:w="6972" w:type="dxa"/>
            <w:tcBorders>
              <w:top w:val="single" w:color="auto" w:sz="4" w:space="0"/>
              <w:left w:val="single" w:color="auto" w:sz="4" w:space="0"/>
              <w:bottom w:val="single" w:color="auto" w:sz="4" w:space="0"/>
              <w:right w:val="single" w:color="auto" w:sz="4" w:space="0"/>
            </w:tcBorders>
            <w:vAlign w:val="center"/>
          </w:tcPr>
          <w:p w14:paraId="189E7596">
            <w:pPr>
              <w:widowControl/>
              <w:spacing w:line="400" w:lineRule="exact"/>
              <w:jc w:val="left"/>
              <w:textAlignment w:val="center"/>
              <w:rPr>
                <w:rFonts w:hint="eastAsia" w:ascii="宋体" w:hAnsi="宋体"/>
                <w:color w:val="auto"/>
                <w:szCs w:val="24"/>
                <w:highlight w:val="none"/>
                <w:u w:val="none"/>
              </w:rPr>
            </w:pPr>
            <w:r>
              <w:rPr>
                <w:rFonts w:hint="eastAsia" w:ascii="宋体" w:hAnsi="宋体"/>
                <w:color w:val="auto"/>
                <w:szCs w:val="24"/>
                <w:highlight w:val="none"/>
                <w:u w:val="none"/>
              </w:rPr>
              <w:t>【</w:t>
            </w:r>
            <w:r>
              <w:rPr>
                <w:rFonts w:hint="eastAsia" w:ascii="宋体" w:hAnsi="宋体"/>
                <w:color w:val="auto"/>
                <w:szCs w:val="24"/>
                <w:highlight w:val="none"/>
                <w:u w:val="none"/>
                <w:lang w:val="en-US" w:eastAsia="zh-CN"/>
              </w:rPr>
              <w:t>2025</w:t>
            </w:r>
            <w:r>
              <w:rPr>
                <w:rFonts w:hint="eastAsia" w:ascii="宋体" w:hAnsi="宋体"/>
                <w:color w:val="auto"/>
                <w:szCs w:val="24"/>
                <w:highlight w:val="none"/>
                <w:u w:val="none"/>
              </w:rPr>
              <w:t>】年【</w:t>
            </w:r>
            <w:r>
              <w:rPr>
                <w:rFonts w:hint="eastAsia" w:ascii="宋体" w:hAnsi="宋体"/>
                <w:color w:val="auto"/>
                <w:szCs w:val="24"/>
                <w:highlight w:val="none"/>
                <w:u w:val="none"/>
                <w:lang w:val="en-US" w:eastAsia="zh-CN"/>
              </w:rPr>
              <w:t>9</w:t>
            </w:r>
            <w:r>
              <w:rPr>
                <w:rFonts w:hint="eastAsia" w:ascii="宋体" w:hAnsi="宋体"/>
                <w:color w:val="auto"/>
                <w:szCs w:val="24"/>
                <w:highlight w:val="none"/>
                <w:u w:val="none"/>
              </w:rPr>
              <w:t>】月【</w:t>
            </w:r>
            <w:r>
              <w:rPr>
                <w:rFonts w:hint="eastAsia" w:ascii="宋体" w:hAnsi="宋体"/>
                <w:color w:val="auto"/>
                <w:szCs w:val="24"/>
                <w:highlight w:val="none"/>
                <w:u w:val="none"/>
                <w:lang w:val="en-US" w:eastAsia="zh-CN"/>
              </w:rPr>
              <w:t>24</w:t>
            </w:r>
            <w:r>
              <w:rPr>
                <w:rFonts w:hint="eastAsia" w:ascii="宋体" w:hAnsi="宋体"/>
                <w:color w:val="auto"/>
                <w:szCs w:val="24"/>
                <w:highlight w:val="none"/>
                <w:u w:val="none"/>
              </w:rPr>
              <w:t>】日</w:t>
            </w:r>
          </w:p>
          <w:p w14:paraId="0595AC99">
            <w:pPr>
              <w:snapToGrid w:val="0"/>
              <w:rPr>
                <w:rFonts w:ascii="宋体" w:hAnsi="宋体"/>
                <w:b/>
                <w:color w:val="auto"/>
                <w:szCs w:val="24"/>
                <w:highlight w:val="none"/>
                <w:u w:val="none"/>
              </w:rPr>
            </w:pPr>
            <w:r>
              <w:rPr>
                <w:rFonts w:hint="eastAsia" w:ascii="宋体" w:hAnsi="宋体"/>
                <w:b/>
                <w:color w:val="auto"/>
                <w:szCs w:val="24"/>
                <w:highlight w:val="none"/>
                <w:u w:val="none"/>
              </w:rPr>
              <w:t>如遇非交易日则顺延至下一交易日。</w:t>
            </w:r>
          </w:p>
          <w:p w14:paraId="521423BA">
            <w:pPr>
              <w:widowControl/>
              <w:spacing w:line="400" w:lineRule="exact"/>
              <w:jc w:val="left"/>
              <w:textAlignment w:val="center"/>
              <w:rPr>
                <w:rFonts w:hint="eastAsia" w:ascii="宋体" w:hAnsi="宋体"/>
                <w:color w:val="auto"/>
                <w:szCs w:val="24"/>
                <w:highlight w:val="none"/>
                <w:u w:val="none"/>
              </w:rPr>
            </w:pPr>
            <w:r>
              <w:rPr>
                <w:rFonts w:hint="eastAsia" w:ascii="宋体" w:hAnsi="宋体"/>
                <w:b/>
                <w:color w:val="auto"/>
                <w:szCs w:val="24"/>
                <w:highlight w:val="none"/>
                <w:u w:val="none"/>
              </w:rPr>
              <w:t>如本理财产品募集期提前终止或延长，实际成立日以管理人或销售机构公告为准。</w:t>
            </w:r>
          </w:p>
        </w:tc>
      </w:tr>
      <w:tr w14:paraId="580CF873">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2C6DF32F">
            <w:pPr>
              <w:widowControl/>
              <w:spacing w:line="400" w:lineRule="exact"/>
              <w:jc w:val="center"/>
              <w:textAlignment w:val="center"/>
              <w:rPr>
                <w:rFonts w:hint="eastAsia" w:ascii="仿宋_GB2312" w:hAnsi="等线" w:eastAsia="仿宋_GB2312" w:cs="仿宋_GB2312"/>
                <w:color w:val="auto"/>
                <w:kern w:val="0"/>
                <w:sz w:val="24"/>
                <w:highlight w:val="none"/>
                <w:lang w:bidi="ar"/>
              </w:rPr>
            </w:pPr>
            <w:r>
              <w:rPr>
                <w:rFonts w:hint="eastAsia" w:ascii="仿宋_GB2312" w:hAnsi="等线" w:eastAsia="仿宋_GB2312" w:cs="仿宋_GB2312"/>
                <w:color w:val="auto"/>
                <w:kern w:val="0"/>
                <w:sz w:val="24"/>
                <w:highlight w:val="none"/>
                <w:lang w:bidi="ar"/>
              </w:rPr>
              <w:t>产品到期日期</w:t>
            </w:r>
          </w:p>
        </w:tc>
        <w:tc>
          <w:tcPr>
            <w:tcW w:w="6972" w:type="dxa"/>
            <w:tcBorders>
              <w:top w:val="single" w:color="auto" w:sz="4" w:space="0"/>
              <w:left w:val="single" w:color="auto" w:sz="4" w:space="0"/>
              <w:bottom w:val="single" w:color="auto" w:sz="4" w:space="0"/>
              <w:right w:val="single" w:color="auto" w:sz="4" w:space="0"/>
            </w:tcBorders>
            <w:vAlign w:val="center"/>
          </w:tcPr>
          <w:p w14:paraId="771EC14E">
            <w:pPr>
              <w:widowControl/>
              <w:spacing w:line="400" w:lineRule="exact"/>
              <w:jc w:val="left"/>
              <w:textAlignment w:val="center"/>
              <w:rPr>
                <w:rFonts w:hint="eastAsia" w:ascii="仿宋_GB2312" w:hAnsi="等线" w:cs="仿宋_GB2312"/>
                <w:bCs/>
                <w:color w:val="auto"/>
                <w:sz w:val="24"/>
                <w:highlight w:val="none"/>
                <w:lang w:eastAsia="zh-CN"/>
              </w:rPr>
            </w:pPr>
            <w:r>
              <w:rPr>
                <w:rFonts w:hint="eastAsia" w:ascii="仿宋_GB2312" w:hAnsi="等线" w:cs="仿宋_GB2312"/>
                <w:bCs/>
                <w:color w:val="auto"/>
                <w:sz w:val="24"/>
                <w:highlight w:val="none"/>
                <w:lang w:eastAsia="zh-CN"/>
              </w:rPr>
              <w:t>无固定期限</w:t>
            </w:r>
          </w:p>
          <w:p w14:paraId="16F76C9B">
            <w:pPr>
              <w:widowControl/>
              <w:spacing w:line="400" w:lineRule="exact"/>
              <w:jc w:val="left"/>
              <w:textAlignment w:val="center"/>
              <w:rPr>
                <w:rFonts w:hint="eastAsia" w:ascii="仿宋_GB2312" w:hAnsi="等线" w:cs="仿宋_GB2312"/>
                <w:bCs/>
                <w:color w:val="auto"/>
                <w:sz w:val="24"/>
                <w:highlight w:val="none"/>
                <w:lang w:eastAsia="zh-CN"/>
              </w:rPr>
            </w:pPr>
            <w:r>
              <w:rPr>
                <w:rFonts w:hint="eastAsia" w:ascii="宋体" w:hAnsi="宋体"/>
                <w:color w:val="auto"/>
                <w:szCs w:val="24"/>
                <w:highlight w:val="none"/>
                <w:u w:val="none"/>
              </w:rPr>
              <w:t>产品管理人有权根据实际情况提前终止，并提前【</w:t>
            </w:r>
            <w:r>
              <w:rPr>
                <w:rFonts w:hint="eastAsia" w:ascii="宋体" w:hAnsi="宋体"/>
                <w:color w:val="auto"/>
                <w:szCs w:val="24"/>
                <w:highlight w:val="none"/>
                <w:u w:val="none"/>
                <w:lang w:val="en-US" w:eastAsia="zh-CN"/>
              </w:rPr>
              <w:t>1</w:t>
            </w:r>
            <w:r>
              <w:rPr>
                <w:rFonts w:hint="eastAsia" w:ascii="宋体" w:hAnsi="宋体"/>
                <w:color w:val="auto"/>
                <w:szCs w:val="24"/>
                <w:highlight w:val="none"/>
                <w:u w:val="none"/>
              </w:rPr>
              <w:t>】个</w:t>
            </w:r>
            <w:r>
              <w:rPr>
                <w:rFonts w:ascii="宋体" w:hAnsi="宋体"/>
                <w:color w:val="auto"/>
                <w:szCs w:val="24"/>
                <w:highlight w:val="none"/>
                <w:u w:val="none"/>
              </w:rPr>
              <w:t>工作</w:t>
            </w:r>
            <w:r>
              <w:rPr>
                <w:rFonts w:hint="eastAsia" w:ascii="宋体" w:hAnsi="宋体"/>
                <w:color w:val="auto"/>
                <w:szCs w:val="24"/>
                <w:highlight w:val="none"/>
                <w:u w:val="none"/>
              </w:rPr>
              <w:t>日按照本《产品说明书》“信息披露”约定的方式通知投资者。</w:t>
            </w:r>
          </w:p>
        </w:tc>
      </w:tr>
      <w:tr w14:paraId="0C3D6BF4">
        <w:tblPrEx>
          <w:tblCellMar>
            <w:top w:w="0" w:type="dxa"/>
            <w:left w:w="108" w:type="dxa"/>
            <w:bottom w:w="0" w:type="dxa"/>
            <w:right w:w="108" w:type="dxa"/>
          </w:tblCellMar>
        </w:tblPrEx>
        <w:trPr>
          <w:trHeight w:val="447" w:hRule="atLeast"/>
        </w:trPr>
        <w:tc>
          <w:tcPr>
            <w:tcW w:w="2453" w:type="dxa"/>
            <w:tcBorders>
              <w:top w:val="single" w:color="auto" w:sz="4" w:space="0"/>
              <w:left w:val="single" w:color="auto" w:sz="4" w:space="0"/>
              <w:bottom w:val="single" w:color="auto" w:sz="4" w:space="0"/>
              <w:right w:val="single" w:color="auto" w:sz="4" w:space="0"/>
            </w:tcBorders>
            <w:vAlign w:val="center"/>
          </w:tcPr>
          <w:p w14:paraId="2BD37BBA">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资金到账日</w:t>
            </w:r>
          </w:p>
        </w:tc>
        <w:tc>
          <w:tcPr>
            <w:tcW w:w="6972" w:type="dxa"/>
            <w:tcBorders>
              <w:top w:val="single" w:color="auto" w:sz="4" w:space="0"/>
              <w:left w:val="single" w:color="auto" w:sz="4" w:space="0"/>
              <w:bottom w:val="single" w:color="auto" w:sz="4" w:space="0"/>
              <w:right w:val="single" w:color="auto" w:sz="4" w:space="0"/>
            </w:tcBorders>
            <w:vAlign w:val="center"/>
          </w:tcPr>
          <w:p w14:paraId="605B9C59">
            <w:pPr>
              <w:widowControl/>
              <w:spacing w:line="400" w:lineRule="exact"/>
              <w:jc w:val="left"/>
              <w:textAlignment w:val="center"/>
              <w:rPr>
                <w:rFonts w:hint="eastAsia" w:ascii="宋体" w:hAnsi="宋体" w:eastAsia="仿宋_GB2312" w:cstheme="minorBidi"/>
                <w:bCs w:val="0"/>
                <w:color w:val="auto"/>
                <w:sz w:val="24"/>
                <w:szCs w:val="24"/>
                <w:highlight w:val="none"/>
                <w:u w:val="none"/>
              </w:rPr>
            </w:pPr>
            <w:r>
              <w:rPr>
                <w:rFonts w:hint="eastAsia" w:ascii="宋体" w:hAnsi="宋体" w:eastAsia="仿宋_GB2312" w:cstheme="minorBidi"/>
                <w:bCs w:val="0"/>
                <w:color w:val="auto"/>
                <w:kern w:val="2"/>
                <w:sz w:val="24"/>
                <w:szCs w:val="24"/>
                <w:highlight w:val="none"/>
                <w:u w:val="none"/>
                <w:lang w:bidi="ar"/>
              </w:rPr>
              <w:t>T+</w:t>
            </w:r>
            <w:r>
              <w:rPr>
                <w:rFonts w:hint="eastAsia" w:ascii="宋体" w:hAnsi="宋体" w:cstheme="minorBidi"/>
                <w:bCs w:val="0"/>
                <w:color w:val="auto"/>
                <w:kern w:val="2"/>
                <w:sz w:val="24"/>
                <w:szCs w:val="24"/>
                <w:highlight w:val="none"/>
                <w:u w:val="none"/>
                <w:lang w:val="en-US" w:eastAsia="zh-CN" w:bidi="ar"/>
              </w:rPr>
              <w:t>5</w:t>
            </w:r>
            <w:r>
              <w:rPr>
                <w:rFonts w:hint="eastAsia" w:ascii="宋体" w:hAnsi="宋体" w:eastAsia="仿宋_GB2312" w:cstheme="minorBidi"/>
                <w:bCs w:val="0"/>
                <w:color w:val="auto"/>
                <w:kern w:val="2"/>
                <w:sz w:val="24"/>
                <w:szCs w:val="24"/>
                <w:highlight w:val="none"/>
                <w:u w:val="none"/>
                <w:lang w:bidi="ar"/>
              </w:rPr>
              <w:t>及以上</w:t>
            </w:r>
          </w:p>
        </w:tc>
      </w:tr>
      <w:tr w14:paraId="5FDB6780">
        <w:tblPrEx>
          <w:tblCellMar>
            <w:top w:w="0" w:type="dxa"/>
            <w:left w:w="108" w:type="dxa"/>
            <w:bottom w:w="0" w:type="dxa"/>
            <w:right w:w="108" w:type="dxa"/>
          </w:tblCellMar>
        </w:tblPrEx>
        <w:trPr>
          <w:trHeight w:val="328" w:hRule="atLeast"/>
        </w:trPr>
        <w:tc>
          <w:tcPr>
            <w:tcW w:w="2453" w:type="dxa"/>
            <w:tcBorders>
              <w:top w:val="single" w:color="auto" w:sz="4" w:space="0"/>
              <w:left w:val="single" w:color="auto" w:sz="4" w:space="0"/>
              <w:bottom w:val="single" w:color="auto" w:sz="4" w:space="0"/>
              <w:right w:val="single" w:color="auto" w:sz="4" w:space="0"/>
            </w:tcBorders>
            <w:vAlign w:val="center"/>
          </w:tcPr>
          <w:p w14:paraId="3A21F2A6">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投资周期</w:t>
            </w:r>
          </w:p>
        </w:tc>
        <w:tc>
          <w:tcPr>
            <w:tcW w:w="6972" w:type="dxa"/>
            <w:tcBorders>
              <w:top w:val="single" w:color="auto" w:sz="4" w:space="0"/>
              <w:left w:val="single" w:color="auto" w:sz="4" w:space="0"/>
              <w:bottom w:val="single" w:color="auto" w:sz="4" w:space="0"/>
              <w:right w:val="single" w:color="auto" w:sz="4" w:space="0"/>
            </w:tcBorders>
            <w:vAlign w:val="center"/>
          </w:tcPr>
          <w:p w14:paraId="7AB21F91">
            <w:pPr>
              <w:widowControl/>
              <w:spacing w:line="400" w:lineRule="exact"/>
              <w:jc w:val="left"/>
              <w:textAlignment w:val="center"/>
              <w:rPr>
                <w:rFonts w:hint="eastAsia" w:ascii="宋体" w:hAnsi="宋体" w:eastAsia="仿宋_GB2312" w:cstheme="minorBidi"/>
                <w:bCs w:val="0"/>
                <w:color w:val="auto"/>
                <w:sz w:val="24"/>
                <w:szCs w:val="24"/>
                <w:highlight w:val="none"/>
                <w:u w:val="none"/>
              </w:rPr>
            </w:pPr>
            <w:r>
              <w:rPr>
                <w:rFonts w:hint="eastAsia" w:ascii="宋体" w:hAnsi="宋体" w:eastAsia="仿宋_GB2312" w:cstheme="minorBidi"/>
                <w:bCs w:val="0"/>
                <w:color w:val="auto"/>
                <w:kern w:val="2"/>
                <w:sz w:val="24"/>
                <w:szCs w:val="24"/>
                <w:highlight w:val="none"/>
                <w:u w:val="none"/>
                <w:lang w:bidi="ar"/>
              </w:rPr>
              <w:t>每天</w:t>
            </w:r>
          </w:p>
        </w:tc>
      </w:tr>
      <w:tr w14:paraId="19F5DF05">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7F58A58E">
            <w:pPr>
              <w:widowControl/>
              <w:spacing w:line="400" w:lineRule="exact"/>
              <w:jc w:val="center"/>
              <w:textAlignment w:val="center"/>
              <w:rPr>
                <w:rFonts w:hint="eastAsia" w:ascii="楷体_GB2312" w:hAnsi="等线" w:eastAsia="楷体_GB2312" w:cs="楷体_GB2312"/>
                <w:b/>
                <w:bCs/>
                <w:color w:val="auto"/>
                <w:sz w:val="24"/>
                <w:highlight w:val="none"/>
              </w:rPr>
            </w:pPr>
            <w:r>
              <w:rPr>
                <w:rFonts w:hint="eastAsia" w:ascii="楷体_GB2312" w:hAnsi="等线" w:eastAsia="楷体_GB2312" w:cs="楷体_GB2312"/>
                <w:b/>
                <w:bCs/>
                <w:color w:val="auto"/>
                <w:kern w:val="0"/>
                <w:sz w:val="24"/>
                <w:highlight w:val="none"/>
                <w:lang w:bidi="ar"/>
              </w:rPr>
              <w:t>（五）产品费用</w:t>
            </w:r>
          </w:p>
        </w:tc>
      </w:tr>
      <w:tr w14:paraId="49D01740">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410FEA0D">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销售</w:t>
            </w:r>
            <w:r>
              <w:rPr>
                <w:rFonts w:hint="eastAsia" w:ascii="仿宋_GB2312" w:hAnsi="等线" w:cs="仿宋_GB2312"/>
                <w:color w:val="auto"/>
                <w:kern w:val="0"/>
                <w:sz w:val="24"/>
                <w:highlight w:val="none"/>
                <w:lang w:eastAsia="zh-CN" w:bidi="ar"/>
              </w:rPr>
              <w:t>服务</w:t>
            </w:r>
            <w:r>
              <w:rPr>
                <w:rFonts w:hint="eastAsia" w:ascii="仿宋_GB2312" w:hAnsi="等线" w:eastAsia="仿宋_GB2312" w:cs="仿宋_GB2312"/>
                <w:color w:val="auto"/>
                <w:kern w:val="0"/>
                <w:sz w:val="24"/>
                <w:highlight w:val="none"/>
                <w:lang w:bidi="ar"/>
              </w:rPr>
              <w:t>费率（年化）</w:t>
            </w:r>
          </w:p>
        </w:tc>
        <w:tc>
          <w:tcPr>
            <w:tcW w:w="6972" w:type="dxa"/>
            <w:tcBorders>
              <w:top w:val="single" w:color="auto" w:sz="4" w:space="0"/>
              <w:left w:val="single" w:color="auto" w:sz="4" w:space="0"/>
              <w:bottom w:val="single" w:color="auto" w:sz="4" w:space="0"/>
              <w:right w:val="single" w:color="auto" w:sz="4" w:space="0"/>
            </w:tcBorders>
            <w:vAlign w:val="center"/>
          </w:tcPr>
          <w:p w14:paraId="129341A9">
            <w:pPr>
              <w:widowControl/>
              <w:spacing w:line="400" w:lineRule="exact"/>
              <w:jc w:val="left"/>
              <w:textAlignment w:val="center"/>
              <w:rPr>
                <w:rFonts w:hint="default" w:ascii="宋体" w:hAnsi="宋体"/>
                <w:color w:val="auto"/>
                <w:szCs w:val="24"/>
                <w:highlight w:val="none"/>
                <w:u w:val="none"/>
                <w:lang w:val="en-US" w:eastAsia="zh-CN"/>
              </w:rPr>
            </w:pPr>
            <w:r>
              <w:rPr>
                <w:rFonts w:hint="eastAsia" w:ascii="宋体" w:hAnsi="宋体" w:cs="宋体"/>
                <w:color w:val="auto"/>
                <w:kern w:val="0"/>
                <w:szCs w:val="24"/>
                <w:highlight w:val="none"/>
              </w:rPr>
              <w:t>ZYYJG0013</w:t>
            </w:r>
            <w:r>
              <w:rPr>
                <w:rFonts w:hint="eastAsia" w:ascii="宋体" w:hAnsi="宋体"/>
                <w:color w:val="auto"/>
                <w:szCs w:val="24"/>
                <w:highlight w:val="none"/>
                <w:u w:val="none"/>
                <w:lang w:val="en-US" w:eastAsia="zh-CN"/>
              </w:rPr>
              <w:t>A：0.3%</w:t>
            </w:r>
          </w:p>
          <w:p w14:paraId="20076920">
            <w:pPr>
              <w:widowControl/>
              <w:spacing w:line="400" w:lineRule="exact"/>
              <w:jc w:val="left"/>
              <w:textAlignment w:val="center"/>
              <w:rPr>
                <w:rFonts w:hint="default" w:ascii="仿宋_GB2312" w:hAnsi="等线" w:eastAsia="仿宋_GB2312" w:cs="仿宋_GB2312"/>
                <w:bCs/>
                <w:color w:val="auto"/>
                <w:sz w:val="24"/>
                <w:highlight w:val="none"/>
                <w:lang w:val="en-US"/>
              </w:rPr>
            </w:pPr>
            <w:r>
              <w:rPr>
                <w:rFonts w:hint="eastAsia" w:ascii="宋体" w:hAnsi="宋体" w:cs="宋体"/>
                <w:color w:val="auto"/>
                <w:kern w:val="0"/>
                <w:szCs w:val="24"/>
                <w:highlight w:val="none"/>
              </w:rPr>
              <w:t>ZYYJG001</w:t>
            </w:r>
            <w:r>
              <w:rPr>
                <w:rFonts w:hint="eastAsia" w:ascii="宋体" w:hAnsi="宋体" w:cs="宋体"/>
                <w:color w:val="auto"/>
                <w:kern w:val="0"/>
                <w:szCs w:val="24"/>
                <w:highlight w:val="none"/>
                <w:lang w:val="en-US" w:eastAsia="zh-CN"/>
              </w:rPr>
              <w:t>3B</w:t>
            </w:r>
            <w:r>
              <w:rPr>
                <w:rFonts w:hint="eastAsia" w:ascii="宋体" w:hAnsi="宋体"/>
                <w:color w:val="auto"/>
                <w:szCs w:val="24"/>
                <w:highlight w:val="none"/>
                <w:u w:val="none"/>
                <w:lang w:val="en-US" w:eastAsia="zh-CN"/>
              </w:rPr>
              <w:t>：0.3%</w:t>
            </w:r>
          </w:p>
          <w:p w14:paraId="20CEFFBB">
            <w:pPr>
              <w:widowControl/>
              <w:spacing w:line="400" w:lineRule="exact"/>
              <w:jc w:val="left"/>
              <w:textAlignment w:val="center"/>
              <w:rPr>
                <w:rFonts w:hint="default" w:ascii="仿宋_GB2312" w:hAnsi="等线" w:eastAsia="仿宋_GB2312" w:cs="仿宋_GB2312"/>
                <w:bCs/>
                <w:color w:val="auto"/>
                <w:sz w:val="24"/>
                <w:highlight w:val="none"/>
                <w:lang w:val="en-US"/>
              </w:rPr>
            </w:pPr>
            <w:r>
              <w:rPr>
                <w:rFonts w:hint="eastAsia" w:ascii="宋体" w:hAnsi="宋体"/>
                <w:color w:val="auto"/>
                <w:szCs w:val="24"/>
                <w:highlight w:val="none"/>
                <w:u w:val="none"/>
              </w:rPr>
              <w:t>ZYYJG0013C</w:t>
            </w:r>
            <w:r>
              <w:rPr>
                <w:rFonts w:hint="eastAsia" w:ascii="宋体" w:hAnsi="宋体"/>
                <w:color w:val="auto"/>
                <w:szCs w:val="24"/>
                <w:highlight w:val="none"/>
                <w:u w:val="none"/>
                <w:lang w:val="en-US" w:eastAsia="zh-CN"/>
              </w:rPr>
              <w:t>：0.3%</w:t>
            </w:r>
          </w:p>
        </w:tc>
      </w:tr>
      <w:tr w14:paraId="0487E35F">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0BC691F9">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托管费率（年化）</w:t>
            </w:r>
          </w:p>
        </w:tc>
        <w:tc>
          <w:tcPr>
            <w:tcW w:w="6972" w:type="dxa"/>
            <w:tcBorders>
              <w:top w:val="single" w:color="auto" w:sz="4" w:space="0"/>
              <w:left w:val="single" w:color="auto" w:sz="4" w:space="0"/>
              <w:bottom w:val="single" w:color="auto" w:sz="4" w:space="0"/>
              <w:right w:val="single" w:color="auto" w:sz="4" w:space="0"/>
            </w:tcBorders>
            <w:vAlign w:val="center"/>
          </w:tcPr>
          <w:p w14:paraId="267D8353">
            <w:pPr>
              <w:widowControl/>
              <w:spacing w:line="400" w:lineRule="exact"/>
              <w:jc w:val="left"/>
              <w:textAlignment w:val="center"/>
              <w:rPr>
                <w:rFonts w:hint="eastAsia" w:ascii="仿宋_GB2312" w:hAnsi="等线" w:eastAsia="仿宋_GB2312" w:cs="仿宋_GB2312"/>
                <w:bCs/>
                <w:color w:val="auto"/>
                <w:sz w:val="24"/>
                <w:highlight w:val="none"/>
              </w:rPr>
            </w:pPr>
            <w:r>
              <w:rPr>
                <w:rFonts w:hint="eastAsia" w:ascii="宋体" w:hAnsi="宋体"/>
                <w:color w:val="auto"/>
                <w:szCs w:val="24"/>
                <w:highlight w:val="none"/>
                <w:u w:val="none"/>
                <w:lang w:val="en-US" w:eastAsia="zh-CN"/>
              </w:rPr>
              <w:t>/%</w:t>
            </w:r>
          </w:p>
        </w:tc>
      </w:tr>
      <w:tr w14:paraId="2986A85E">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14A3C134">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cs="仿宋_GB2312"/>
                <w:color w:val="auto"/>
                <w:kern w:val="0"/>
                <w:sz w:val="24"/>
                <w:highlight w:val="none"/>
                <w:lang w:eastAsia="zh-CN" w:bidi="ar"/>
              </w:rPr>
              <w:t>固定</w:t>
            </w:r>
            <w:r>
              <w:rPr>
                <w:rFonts w:hint="eastAsia" w:ascii="仿宋_GB2312" w:hAnsi="等线" w:eastAsia="仿宋_GB2312" w:cs="仿宋_GB2312"/>
                <w:color w:val="auto"/>
                <w:kern w:val="0"/>
                <w:sz w:val="24"/>
                <w:highlight w:val="none"/>
                <w:lang w:bidi="ar"/>
              </w:rPr>
              <w:t>管理费率（年化）</w:t>
            </w:r>
          </w:p>
        </w:tc>
        <w:tc>
          <w:tcPr>
            <w:tcW w:w="6972" w:type="dxa"/>
            <w:tcBorders>
              <w:top w:val="single" w:color="auto" w:sz="4" w:space="0"/>
              <w:left w:val="single" w:color="auto" w:sz="4" w:space="0"/>
              <w:bottom w:val="single" w:color="auto" w:sz="4" w:space="0"/>
              <w:right w:val="single" w:color="auto" w:sz="4" w:space="0"/>
            </w:tcBorders>
            <w:vAlign w:val="center"/>
          </w:tcPr>
          <w:p w14:paraId="533C7717">
            <w:pPr>
              <w:widowControl/>
              <w:spacing w:line="400" w:lineRule="exact"/>
              <w:jc w:val="left"/>
              <w:textAlignment w:val="center"/>
              <w:rPr>
                <w:rFonts w:hint="eastAsia" w:ascii="仿宋_GB2312" w:hAnsi="等线" w:eastAsia="仿宋_GB2312" w:cs="仿宋_GB2312"/>
                <w:bCs/>
                <w:color w:val="auto"/>
                <w:sz w:val="24"/>
                <w:highlight w:val="none"/>
              </w:rPr>
            </w:pPr>
            <w:r>
              <w:rPr>
                <w:rFonts w:hint="eastAsia" w:ascii="宋体" w:hAnsi="宋体"/>
                <w:color w:val="auto"/>
                <w:szCs w:val="24"/>
                <w:highlight w:val="none"/>
                <w:u w:val="none"/>
                <w:lang w:val="en-US" w:eastAsia="zh-CN"/>
              </w:rPr>
              <w:t>0.3%</w:t>
            </w:r>
          </w:p>
        </w:tc>
      </w:tr>
      <w:tr w14:paraId="266DF98C">
        <w:tblPrEx>
          <w:tblCellMar>
            <w:top w:w="0" w:type="dxa"/>
            <w:left w:w="108" w:type="dxa"/>
            <w:bottom w:w="0" w:type="dxa"/>
            <w:right w:w="108" w:type="dxa"/>
          </w:tblCellMar>
        </w:tblPrEx>
        <w:trPr>
          <w:trHeight w:val="810" w:hRule="atLeast"/>
        </w:trPr>
        <w:tc>
          <w:tcPr>
            <w:tcW w:w="2453" w:type="dxa"/>
            <w:tcBorders>
              <w:top w:val="single" w:color="auto" w:sz="4" w:space="0"/>
              <w:left w:val="single" w:color="auto" w:sz="4" w:space="0"/>
              <w:bottom w:val="single" w:color="auto" w:sz="4" w:space="0"/>
              <w:right w:val="single" w:color="auto" w:sz="4" w:space="0"/>
            </w:tcBorders>
            <w:vAlign w:val="center"/>
          </w:tcPr>
          <w:p w14:paraId="242E7961">
            <w:pPr>
              <w:widowControl/>
              <w:spacing w:line="400" w:lineRule="exact"/>
              <w:jc w:val="center"/>
              <w:textAlignment w:val="center"/>
              <w:rPr>
                <w:rFonts w:hint="eastAsia" w:ascii="仿宋_GB2312" w:hAnsi="等线" w:eastAsia="仿宋_GB2312" w:cs="仿宋_GB2312"/>
                <w:color w:val="auto"/>
                <w:sz w:val="24"/>
                <w:highlight w:val="none"/>
                <w:lang w:eastAsia="zh-CN"/>
              </w:rPr>
            </w:pPr>
            <w:r>
              <w:rPr>
                <w:rFonts w:hint="eastAsia" w:ascii="仿宋_GB2312" w:hAnsi="等线" w:cs="仿宋_GB2312"/>
                <w:color w:val="auto"/>
                <w:kern w:val="0"/>
                <w:sz w:val="24"/>
                <w:highlight w:val="none"/>
                <w:lang w:eastAsia="zh-CN" w:bidi="ar"/>
              </w:rPr>
              <w:t>浮动管理费</w:t>
            </w:r>
          </w:p>
        </w:tc>
        <w:tc>
          <w:tcPr>
            <w:tcW w:w="6972" w:type="dxa"/>
            <w:tcBorders>
              <w:top w:val="single" w:color="auto" w:sz="4" w:space="0"/>
              <w:left w:val="single" w:color="auto" w:sz="4" w:space="0"/>
              <w:bottom w:val="single" w:color="auto" w:sz="4" w:space="0"/>
              <w:right w:val="single" w:color="auto" w:sz="4" w:space="0"/>
            </w:tcBorders>
            <w:vAlign w:val="center"/>
          </w:tcPr>
          <w:p w14:paraId="42325A43">
            <w:pPr>
              <w:widowControl/>
              <w:tabs>
                <w:tab w:val="left" w:pos="312"/>
              </w:tabs>
              <w:jc w:val="left"/>
              <w:rPr>
                <w:rFonts w:hint="eastAsia" w:ascii="宋体" w:hAnsi="宋体"/>
                <w:b/>
                <w:color w:val="auto"/>
                <w:szCs w:val="24"/>
                <w:highlight w:val="none"/>
                <w:lang w:eastAsia="zh-CN"/>
              </w:rPr>
            </w:pPr>
            <w:r>
              <w:rPr>
                <w:rFonts w:hint="eastAsia" w:ascii="宋体" w:hAnsi="宋体"/>
                <w:b/>
                <w:color w:val="auto"/>
                <w:szCs w:val="24"/>
                <w:highlight w:val="none"/>
                <w:lang w:eastAsia="zh-CN"/>
              </w:rPr>
              <w:t>☑</w:t>
            </w:r>
            <w:r>
              <w:rPr>
                <w:rFonts w:hint="eastAsia" w:ascii="宋体" w:hAnsi="宋体"/>
                <w:b/>
                <w:color w:val="auto"/>
                <w:szCs w:val="24"/>
                <w:highlight w:val="none"/>
              </w:rPr>
              <w:t xml:space="preserve"> 产品管理人不设</w:t>
            </w:r>
            <w:r>
              <w:rPr>
                <w:rFonts w:hint="eastAsia" w:ascii="宋体" w:hAnsi="宋体"/>
                <w:b/>
                <w:color w:val="auto"/>
                <w:szCs w:val="24"/>
                <w:highlight w:val="none"/>
                <w:lang w:eastAsia="zh-CN"/>
              </w:rPr>
              <w:t>浮动管理费</w:t>
            </w:r>
          </w:p>
          <w:p w14:paraId="618BFBA7">
            <w:pPr>
              <w:widowControl/>
              <w:snapToGrid/>
              <w:spacing w:line="400" w:lineRule="exact"/>
              <w:jc w:val="left"/>
              <w:textAlignment w:val="center"/>
              <w:rPr>
                <w:rFonts w:hint="eastAsia" w:ascii="宋体" w:hAnsi="宋体"/>
                <w:b/>
                <w:color w:val="auto"/>
                <w:szCs w:val="24"/>
                <w:highlight w:val="none"/>
              </w:rPr>
            </w:pPr>
            <w:r>
              <w:rPr>
                <w:rFonts w:hint="eastAsia" w:ascii="宋体" w:hAnsi="宋体"/>
                <w:b/>
                <w:color w:val="auto"/>
                <w:szCs w:val="24"/>
                <w:highlight w:val="none"/>
                <w:lang w:eastAsia="zh-CN"/>
              </w:rPr>
              <w:t>浮动管理费计提基准：无</w:t>
            </w:r>
          </w:p>
          <w:p w14:paraId="64AE3CD9">
            <w:pPr>
              <w:widowControl/>
              <w:snapToGrid/>
              <w:spacing w:line="400" w:lineRule="exact"/>
              <w:jc w:val="left"/>
              <w:textAlignment w:val="center"/>
              <w:rPr>
                <w:rFonts w:ascii="宋体" w:hAnsi="宋体"/>
                <w:b/>
                <w:color w:val="auto"/>
                <w:szCs w:val="24"/>
                <w:highlight w:val="none"/>
              </w:rPr>
            </w:pPr>
            <w:r>
              <w:rPr>
                <w:rFonts w:hint="eastAsia" w:ascii="宋体" w:hAnsi="宋体"/>
                <w:b/>
                <w:color w:val="auto"/>
                <w:szCs w:val="24"/>
                <w:highlight w:val="none"/>
                <w:lang w:eastAsia="zh-CN"/>
              </w:rPr>
              <w:t>浮动管理费</w:t>
            </w:r>
            <w:r>
              <w:rPr>
                <w:rFonts w:hint="eastAsia" w:ascii="宋体" w:hAnsi="宋体"/>
                <w:b/>
                <w:color w:val="auto"/>
                <w:szCs w:val="24"/>
                <w:highlight w:val="none"/>
              </w:rPr>
              <w:t>计提基准的提示：</w:t>
            </w:r>
          </w:p>
          <w:p w14:paraId="6AFA06A3">
            <w:pPr>
              <w:widowControl/>
              <w:snapToGrid/>
              <w:spacing w:line="400" w:lineRule="exact"/>
              <w:jc w:val="left"/>
              <w:textAlignment w:val="center"/>
              <w:rPr>
                <w:rFonts w:ascii="宋体" w:hAnsi="宋体"/>
                <w:b/>
                <w:color w:val="auto"/>
                <w:szCs w:val="24"/>
                <w:highlight w:val="none"/>
              </w:rPr>
            </w:pPr>
            <w:r>
              <w:rPr>
                <w:rFonts w:hint="eastAsia" w:ascii="宋体" w:hAnsi="宋体"/>
                <w:b/>
                <w:color w:val="auto"/>
                <w:szCs w:val="24"/>
                <w:highlight w:val="none"/>
              </w:rPr>
              <w:t>（1）</w:t>
            </w:r>
            <w:r>
              <w:rPr>
                <w:rFonts w:hint="eastAsia" w:ascii="宋体" w:hAnsi="宋体"/>
                <w:b/>
                <w:color w:val="auto"/>
                <w:szCs w:val="24"/>
                <w:highlight w:val="none"/>
                <w:lang w:eastAsia="zh-CN"/>
              </w:rPr>
              <w:t>浮动管理费计</w:t>
            </w:r>
            <w:r>
              <w:rPr>
                <w:rFonts w:hint="eastAsia" w:ascii="宋体" w:hAnsi="宋体"/>
                <w:b/>
                <w:color w:val="auto"/>
                <w:szCs w:val="24"/>
                <w:highlight w:val="none"/>
              </w:rPr>
              <w:t>提基准仅作为管理人计算</w:t>
            </w:r>
            <w:r>
              <w:rPr>
                <w:rFonts w:hint="eastAsia" w:ascii="宋体" w:hAnsi="宋体"/>
                <w:b/>
                <w:color w:val="auto"/>
                <w:szCs w:val="24"/>
                <w:highlight w:val="none"/>
                <w:lang w:eastAsia="zh-CN"/>
              </w:rPr>
              <w:t>浮动管理费</w:t>
            </w:r>
            <w:r>
              <w:rPr>
                <w:rFonts w:hint="eastAsia" w:ascii="宋体" w:hAnsi="宋体"/>
                <w:b/>
                <w:color w:val="auto"/>
                <w:szCs w:val="24"/>
                <w:highlight w:val="none"/>
              </w:rPr>
              <w:t>的参照标准。</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计提基准不是预期收益率，不代表产品的未来表现和实际收益，不构成对产品收益的承诺。</w:t>
            </w:r>
          </w:p>
          <w:p w14:paraId="52AFA4A1">
            <w:pPr>
              <w:widowControl/>
              <w:spacing w:line="400" w:lineRule="exact"/>
              <w:jc w:val="left"/>
              <w:textAlignment w:val="center"/>
              <w:rPr>
                <w:rFonts w:hint="eastAsia" w:ascii="仿宋" w:hAnsi="仿宋" w:eastAsia="仿宋" w:cs="宋体"/>
                <w:bCs/>
                <w:color w:val="auto"/>
                <w:kern w:val="0"/>
                <w:sz w:val="24"/>
                <w:highlight w:val="none"/>
                <w:lang w:bidi="ar"/>
              </w:rPr>
            </w:pPr>
            <w:r>
              <w:rPr>
                <w:rFonts w:hint="eastAsia" w:ascii="宋体" w:hAnsi="宋体"/>
                <w:b/>
                <w:color w:val="auto"/>
                <w:szCs w:val="24"/>
                <w:highlight w:val="none"/>
              </w:rPr>
              <w:t>（2）如果法律法规、</w:t>
            </w:r>
            <w:r>
              <w:rPr>
                <w:rFonts w:ascii="宋体" w:hAnsi="宋体"/>
                <w:b/>
                <w:color w:val="auto"/>
                <w:szCs w:val="24"/>
                <w:highlight w:val="none"/>
              </w:rPr>
              <w:t>国家政策</w:t>
            </w:r>
            <w:r>
              <w:rPr>
                <w:rFonts w:hint="eastAsia" w:ascii="宋体" w:hAnsi="宋体"/>
                <w:b/>
                <w:color w:val="auto"/>
                <w:szCs w:val="24"/>
                <w:highlight w:val="none"/>
              </w:rPr>
              <w:t>发生变化，或者有其他代表性更强、更科学客观的</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计提基准适用于本产品时，经产品管理人和产品托管人协商一致后，本产品可以调整</w:t>
            </w:r>
            <w:r>
              <w:rPr>
                <w:rFonts w:hint="eastAsia" w:ascii="宋体" w:hAnsi="宋体"/>
                <w:b/>
                <w:color w:val="auto"/>
                <w:szCs w:val="24"/>
                <w:highlight w:val="none"/>
                <w:lang w:eastAsia="zh-CN"/>
              </w:rPr>
              <w:t>浮动管理费</w:t>
            </w:r>
            <w:r>
              <w:rPr>
                <w:rFonts w:hint="eastAsia" w:ascii="宋体" w:hAnsi="宋体"/>
                <w:b/>
                <w:color w:val="auto"/>
                <w:szCs w:val="24"/>
                <w:highlight w:val="none"/>
              </w:rPr>
              <w:t>计提基准并及时公告。</w:t>
            </w:r>
          </w:p>
        </w:tc>
      </w:tr>
      <w:tr w14:paraId="3F199BCA">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3B6BCB92">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认购费率</w:t>
            </w:r>
          </w:p>
        </w:tc>
        <w:tc>
          <w:tcPr>
            <w:tcW w:w="6972" w:type="dxa"/>
            <w:tcBorders>
              <w:top w:val="single" w:color="auto" w:sz="4" w:space="0"/>
              <w:left w:val="single" w:color="auto" w:sz="4" w:space="0"/>
              <w:bottom w:val="single" w:color="auto" w:sz="4" w:space="0"/>
              <w:right w:val="single" w:color="auto" w:sz="4" w:space="0"/>
            </w:tcBorders>
            <w:vAlign w:val="center"/>
          </w:tcPr>
          <w:p w14:paraId="4651CBBF">
            <w:pPr>
              <w:widowControl/>
              <w:spacing w:line="400" w:lineRule="exact"/>
              <w:jc w:val="left"/>
              <w:textAlignment w:val="center"/>
              <w:rPr>
                <w:rFonts w:hint="eastAsia" w:ascii="仿宋_GB2312" w:hAnsi="等线" w:eastAsia="仿宋_GB2312" w:cs="仿宋_GB2312"/>
                <w:bCs/>
                <w:color w:val="auto"/>
                <w:sz w:val="24"/>
                <w:highlight w:val="none"/>
                <w:lang w:val="en-US" w:eastAsia="zh-CN"/>
              </w:rPr>
            </w:pPr>
            <w:r>
              <w:rPr>
                <w:rFonts w:hint="eastAsia" w:ascii="宋体" w:hAnsi="宋体"/>
                <w:b/>
                <w:color w:val="auto"/>
                <w:szCs w:val="24"/>
                <w:highlight w:val="none"/>
                <w:lang w:val="en-US" w:eastAsia="zh-CN"/>
              </w:rPr>
              <w:t>/</w:t>
            </w:r>
          </w:p>
        </w:tc>
      </w:tr>
      <w:tr w14:paraId="43658105">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0F4EB8F5">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申购费率</w:t>
            </w:r>
          </w:p>
        </w:tc>
        <w:tc>
          <w:tcPr>
            <w:tcW w:w="6972" w:type="dxa"/>
            <w:tcBorders>
              <w:top w:val="single" w:color="auto" w:sz="4" w:space="0"/>
              <w:left w:val="single" w:color="auto" w:sz="4" w:space="0"/>
              <w:bottom w:val="single" w:color="auto" w:sz="4" w:space="0"/>
              <w:right w:val="single" w:color="auto" w:sz="4" w:space="0"/>
            </w:tcBorders>
            <w:vAlign w:val="center"/>
          </w:tcPr>
          <w:p w14:paraId="58F1CC75">
            <w:pPr>
              <w:widowControl/>
              <w:spacing w:line="400" w:lineRule="exact"/>
              <w:jc w:val="left"/>
              <w:textAlignment w:val="center"/>
              <w:rPr>
                <w:rFonts w:hint="eastAsia" w:ascii="仿宋_GB2312" w:hAnsi="等线" w:eastAsia="仿宋_GB2312" w:cs="仿宋_GB2312"/>
                <w:bCs/>
                <w:color w:val="auto"/>
                <w:sz w:val="24"/>
                <w:highlight w:val="none"/>
              </w:rPr>
            </w:pPr>
            <w:r>
              <w:rPr>
                <w:rFonts w:hint="eastAsia" w:ascii="宋体" w:hAnsi="宋体"/>
                <w:b/>
                <w:color w:val="auto"/>
                <w:szCs w:val="24"/>
                <w:highlight w:val="none"/>
                <w:lang w:val="en-US" w:eastAsia="zh-CN"/>
              </w:rPr>
              <w:t>/</w:t>
            </w:r>
          </w:p>
        </w:tc>
      </w:tr>
      <w:tr w14:paraId="2F01BA5D">
        <w:tblPrEx>
          <w:tblCellMar>
            <w:top w:w="0" w:type="dxa"/>
            <w:left w:w="108" w:type="dxa"/>
            <w:bottom w:w="0" w:type="dxa"/>
            <w:right w:w="108" w:type="dxa"/>
          </w:tblCellMar>
        </w:tblPrEx>
        <w:trPr>
          <w:trHeight w:val="540" w:hRule="atLeast"/>
        </w:trPr>
        <w:tc>
          <w:tcPr>
            <w:tcW w:w="2453" w:type="dxa"/>
            <w:tcBorders>
              <w:top w:val="single" w:color="auto" w:sz="4" w:space="0"/>
              <w:left w:val="single" w:color="auto" w:sz="4" w:space="0"/>
              <w:bottom w:val="single" w:color="auto" w:sz="4" w:space="0"/>
              <w:right w:val="single" w:color="auto" w:sz="4" w:space="0"/>
            </w:tcBorders>
            <w:vAlign w:val="center"/>
          </w:tcPr>
          <w:p w14:paraId="2FBA4569">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赎回费率</w:t>
            </w:r>
          </w:p>
        </w:tc>
        <w:tc>
          <w:tcPr>
            <w:tcW w:w="6972" w:type="dxa"/>
            <w:tcBorders>
              <w:top w:val="single" w:color="auto" w:sz="4" w:space="0"/>
              <w:left w:val="single" w:color="auto" w:sz="4" w:space="0"/>
              <w:bottom w:val="single" w:color="auto" w:sz="4" w:space="0"/>
              <w:right w:val="single" w:color="auto" w:sz="4" w:space="0"/>
            </w:tcBorders>
            <w:vAlign w:val="center"/>
          </w:tcPr>
          <w:p w14:paraId="25AC8AF3">
            <w:pPr>
              <w:widowControl/>
              <w:spacing w:line="400" w:lineRule="exact"/>
              <w:jc w:val="left"/>
              <w:textAlignment w:val="center"/>
              <w:rPr>
                <w:rFonts w:hint="eastAsia" w:ascii="仿宋_GB2312" w:hAnsi="等线" w:eastAsia="仿宋_GB2312" w:cs="仿宋_GB2312"/>
                <w:bCs/>
                <w:color w:val="auto"/>
                <w:sz w:val="24"/>
                <w:highlight w:val="none"/>
              </w:rPr>
            </w:pPr>
            <w:r>
              <w:rPr>
                <w:rFonts w:hint="eastAsia" w:ascii="宋体" w:hAnsi="宋体"/>
                <w:b/>
                <w:color w:val="auto"/>
                <w:szCs w:val="24"/>
                <w:highlight w:val="none"/>
                <w:lang w:val="en-US" w:eastAsia="zh-CN"/>
              </w:rPr>
              <w:t>/</w:t>
            </w:r>
          </w:p>
        </w:tc>
      </w:tr>
      <w:tr w14:paraId="313B9979">
        <w:tblPrEx>
          <w:tblCellMar>
            <w:top w:w="0" w:type="dxa"/>
            <w:left w:w="108" w:type="dxa"/>
            <w:bottom w:w="0" w:type="dxa"/>
            <w:right w:w="108" w:type="dxa"/>
          </w:tblCellMar>
        </w:tblPrEx>
        <w:trPr>
          <w:trHeight w:val="830" w:hRule="atLeast"/>
        </w:trPr>
        <w:tc>
          <w:tcPr>
            <w:tcW w:w="2453" w:type="dxa"/>
            <w:tcBorders>
              <w:top w:val="single" w:color="auto" w:sz="4" w:space="0"/>
              <w:left w:val="single" w:color="auto" w:sz="4" w:space="0"/>
              <w:bottom w:val="single" w:color="auto" w:sz="4" w:space="0"/>
              <w:right w:val="single" w:color="auto" w:sz="4" w:space="0"/>
            </w:tcBorders>
            <w:vAlign w:val="center"/>
          </w:tcPr>
          <w:p w14:paraId="5F58D4BF">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其他费用说明</w:t>
            </w:r>
          </w:p>
        </w:tc>
        <w:tc>
          <w:tcPr>
            <w:tcW w:w="6972" w:type="dxa"/>
            <w:tcBorders>
              <w:top w:val="single" w:color="auto" w:sz="4" w:space="0"/>
              <w:left w:val="single" w:color="auto" w:sz="4" w:space="0"/>
              <w:bottom w:val="single" w:color="auto" w:sz="4" w:space="0"/>
              <w:right w:val="single" w:color="auto" w:sz="4" w:space="0"/>
            </w:tcBorders>
            <w:vAlign w:val="center"/>
          </w:tcPr>
          <w:p w14:paraId="16B81A5D">
            <w:pPr>
              <w:widowControl/>
              <w:spacing w:line="400" w:lineRule="exact"/>
              <w:jc w:val="left"/>
              <w:textAlignment w:val="center"/>
              <w:rPr>
                <w:rFonts w:hint="eastAsia" w:ascii="宋体" w:hAnsi="宋体"/>
                <w:b/>
                <w:bCs/>
                <w:color w:val="auto"/>
                <w:szCs w:val="24"/>
                <w:highlight w:val="none"/>
                <w:u w:val="none"/>
              </w:rPr>
            </w:pPr>
            <w:r>
              <w:rPr>
                <w:rFonts w:hint="eastAsia" w:ascii="宋体" w:hAnsi="宋体"/>
                <w:b/>
                <w:bCs/>
                <w:color w:val="auto"/>
                <w:szCs w:val="24"/>
                <w:highlight w:val="none"/>
                <w:u w:val="none"/>
              </w:rPr>
              <w:t>其他费用</w:t>
            </w:r>
            <w:r>
              <w:rPr>
                <w:rFonts w:hint="eastAsia" w:ascii="宋体" w:hAnsi="宋体"/>
                <w:b/>
                <w:bCs/>
                <w:color w:val="auto"/>
                <w:szCs w:val="24"/>
                <w:highlight w:val="none"/>
                <w:u w:val="none"/>
                <w:lang w:eastAsia="zh-CN"/>
              </w:rPr>
              <w:t>（如有）</w:t>
            </w:r>
            <w:r>
              <w:rPr>
                <w:rFonts w:hint="eastAsia" w:ascii="宋体" w:hAnsi="宋体"/>
                <w:b/>
                <w:bCs/>
                <w:color w:val="auto"/>
                <w:szCs w:val="24"/>
                <w:highlight w:val="none"/>
                <w:u w:val="none"/>
              </w:rPr>
              <w:t xml:space="preserve">：与理财产品相关的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 </w:t>
            </w:r>
          </w:p>
          <w:p w14:paraId="035035EC">
            <w:pPr>
              <w:widowControl/>
              <w:spacing w:line="400" w:lineRule="exact"/>
              <w:jc w:val="left"/>
              <w:textAlignment w:val="center"/>
              <w:rPr>
                <w:rFonts w:hint="eastAsia" w:ascii="宋体" w:hAnsi="宋体"/>
                <w:color w:val="auto"/>
                <w:szCs w:val="24"/>
                <w:highlight w:val="none"/>
                <w:u w:val="none"/>
              </w:rPr>
            </w:pPr>
            <w:r>
              <w:rPr>
                <w:rFonts w:hint="eastAsia" w:ascii="宋体" w:hAnsi="宋体"/>
                <w:color w:val="auto"/>
                <w:szCs w:val="24"/>
                <w:highlight w:val="none"/>
                <w:u w:val="none"/>
              </w:rPr>
              <w:t>产品管理人保留调整上述理财产品收取费率标准的权利。以上费用精确到小数点后2位，小数点2位以后四舍五入。</w:t>
            </w:r>
          </w:p>
          <w:p w14:paraId="35ED975A">
            <w:pPr>
              <w:widowControl/>
              <w:spacing w:line="400" w:lineRule="exact"/>
              <w:jc w:val="left"/>
              <w:textAlignment w:val="center"/>
              <w:rPr>
                <w:rFonts w:hint="eastAsia" w:ascii="仿宋_GB2312" w:hAnsi="等线" w:eastAsia="仿宋_GB2312" w:cs="仿宋_GB2312"/>
                <w:bCs/>
                <w:color w:val="auto"/>
                <w:sz w:val="24"/>
                <w:highlight w:val="none"/>
              </w:rPr>
            </w:pPr>
            <w:r>
              <w:rPr>
                <w:rFonts w:hint="eastAsia" w:ascii="宋体" w:hAnsi="宋体"/>
                <w:b/>
                <w:bCs/>
                <w:color w:val="auto"/>
                <w:szCs w:val="24"/>
                <w:highlight w:val="none"/>
                <w:u w:val="none"/>
                <w:lang w:eastAsia="zh-CN"/>
              </w:rPr>
              <w:t>其他费用说明</w:t>
            </w:r>
            <w:r>
              <w:rPr>
                <w:rFonts w:hint="eastAsia" w:ascii="宋体" w:hAnsi="宋体"/>
                <w:b/>
                <w:bCs/>
                <w:color w:val="auto"/>
                <w:szCs w:val="24"/>
                <w:highlight w:val="none"/>
                <w:u w:val="none"/>
              </w:rPr>
              <w:t>详见</w:t>
            </w:r>
            <w:r>
              <w:rPr>
                <w:rFonts w:ascii="宋体" w:hAnsi="宋体"/>
                <w:b/>
                <w:bCs/>
                <w:color w:val="auto"/>
                <w:szCs w:val="24"/>
                <w:highlight w:val="none"/>
                <w:u w:val="none"/>
              </w:rPr>
              <w:t>第</w:t>
            </w:r>
            <w:r>
              <w:rPr>
                <w:rFonts w:hint="eastAsia" w:ascii="宋体" w:hAnsi="宋体"/>
                <w:b/>
                <w:bCs/>
                <w:color w:val="auto"/>
                <w:szCs w:val="24"/>
                <w:highlight w:val="none"/>
                <w:u w:val="none"/>
                <w:lang w:val="en-US" w:eastAsia="zh-CN"/>
              </w:rPr>
              <w:t>十</w:t>
            </w:r>
            <w:r>
              <w:rPr>
                <w:rFonts w:ascii="宋体" w:hAnsi="宋体"/>
                <w:b/>
                <w:bCs/>
                <w:color w:val="auto"/>
                <w:szCs w:val="24"/>
                <w:highlight w:val="none"/>
                <w:u w:val="none"/>
              </w:rPr>
              <w:t>节</w:t>
            </w:r>
            <w:r>
              <w:rPr>
                <w:rFonts w:hint="eastAsia" w:ascii="宋体" w:hAnsi="宋体"/>
                <w:b/>
                <w:bCs/>
                <w:color w:val="auto"/>
                <w:szCs w:val="24"/>
                <w:highlight w:val="none"/>
                <w:u w:val="none"/>
              </w:rPr>
              <w:t xml:space="preserve"> “理财</w:t>
            </w:r>
            <w:r>
              <w:rPr>
                <w:rFonts w:ascii="宋体" w:hAnsi="宋体"/>
                <w:b/>
                <w:bCs/>
                <w:color w:val="auto"/>
                <w:szCs w:val="24"/>
                <w:highlight w:val="none"/>
                <w:u w:val="none"/>
              </w:rPr>
              <w:t>产品</w:t>
            </w:r>
            <w:r>
              <w:rPr>
                <w:rFonts w:hint="eastAsia" w:ascii="宋体" w:hAnsi="宋体"/>
                <w:b/>
                <w:bCs/>
                <w:color w:val="auto"/>
                <w:szCs w:val="24"/>
                <w:highlight w:val="none"/>
                <w:u w:val="none"/>
                <w:lang w:eastAsia="zh-CN"/>
              </w:rPr>
              <w:t>的</w:t>
            </w:r>
            <w:r>
              <w:rPr>
                <w:rFonts w:ascii="宋体" w:hAnsi="宋体"/>
                <w:b/>
                <w:bCs/>
                <w:color w:val="auto"/>
                <w:szCs w:val="24"/>
                <w:highlight w:val="none"/>
                <w:u w:val="none"/>
              </w:rPr>
              <w:t>费用与税收”</w:t>
            </w:r>
            <w:r>
              <w:rPr>
                <w:rFonts w:hint="eastAsia" w:ascii="宋体" w:hAnsi="宋体"/>
                <w:b/>
                <w:bCs/>
                <w:color w:val="auto"/>
                <w:szCs w:val="24"/>
                <w:highlight w:val="none"/>
                <w:u w:val="none"/>
              </w:rPr>
              <w:t>。</w:t>
            </w:r>
          </w:p>
        </w:tc>
      </w:tr>
      <w:tr w14:paraId="59D2F695">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6D0B2BEA">
            <w:pPr>
              <w:widowControl/>
              <w:spacing w:line="400" w:lineRule="exact"/>
              <w:jc w:val="center"/>
              <w:textAlignment w:val="center"/>
              <w:rPr>
                <w:rFonts w:hint="eastAsia" w:ascii="楷体_GB2312" w:hAnsi="等线" w:eastAsia="楷体_GB2312" w:cs="楷体_GB2312"/>
                <w:b/>
                <w:bCs/>
                <w:color w:val="auto"/>
                <w:sz w:val="24"/>
                <w:highlight w:val="none"/>
              </w:rPr>
            </w:pPr>
            <w:r>
              <w:rPr>
                <w:rFonts w:hint="eastAsia" w:ascii="楷体_GB2312" w:hAnsi="等线" w:eastAsia="楷体_GB2312" w:cs="楷体_GB2312"/>
                <w:b/>
                <w:bCs/>
                <w:color w:val="auto"/>
                <w:kern w:val="0"/>
                <w:sz w:val="24"/>
                <w:highlight w:val="none"/>
                <w:lang w:bidi="ar"/>
              </w:rPr>
              <w:t>（六）业绩比较基准</w:t>
            </w:r>
          </w:p>
        </w:tc>
      </w:tr>
      <w:tr w14:paraId="71062957">
        <w:tblPrEx>
          <w:tblCellMar>
            <w:top w:w="0" w:type="dxa"/>
            <w:left w:w="108" w:type="dxa"/>
            <w:bottom w:w="0" w:type="dxa"/>
            <w:right w:w="108" w:type="dxa"/>
          </w:tblCellMar>
        </w:tblPrEx>
        <w:trPr>
          <w:trHeight w:val="1180" w:hRule="atLeast"/>
        </w:trPr>
        <w:tc>
          <w:tcPr>
            <w:tcW w:w="2453" w:type="dxa"/>
            <w:tcBorders>
              <w:top w:val="single" w:color="auto" w:sz="4" w:space="0"/>
              <w:left w:val="single" w:color="auto" w:sz="4" w:space="0"/>
              <w:bottom w:val="single" w:color="auto" w:sz="4" w:space="0"/>
              <w:right w:val="single" w:color="auto" w:sz="4" w:space="0"/>
            </w:tcBorders>
            <w:vAlign w:val="center"/>
          </w:tcPr>
          <w:p w14:paraId="618899FD">
            <w:pPr>
              <w:widowControl/>
              <w:spacing w:line="40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业绩比较基准</w:t>
            </w:r>
          </w:p>
        </w:tc>
        <w:tc>
          <w:tcPr>
            <w:tcW w:w="6972" w:type="dxa"/>
            <w:tcBorders>
              <w:top w:val="single" w:color="auto" w:sz="4" w:space="0"/>
              <w:left w:val="single" w:color="auto" w:sz="4" w:space="0"/>
              <w:bottom w:val="single" w:color="auto" w:sz="4" w:space="0"/>
              <w:right w:val="single" w:color="auto" w:sz="4" w:space="0"/>
            </w:tcBorders>
            <w:vAlign w:val="center"/>
          </w:tcPr>
          <w:p w14:paraId="52BB2926">
            <w:pPr>
              <w:widowControl/>
              <w:spacing w:line="400" w:lineRule="exact"/>
              <w:jc w:val="left"/>
              <w:textAlignment w:val="center"/>
              <w:rPr>
                <w:rFonts w:hint="eastAsia" w:ascii="宋体" w:hAnsi="宋体"/>
                <w:b/>
                <w:color w:val="auto"/>
                <w:szCs w:val="24"/>
                <w:highlight w:val="none"/>
                <w:u w:val="none"/>
              </w:rPr>
            </w:pPr>
            <w:r>
              <w:rPr>
                <w:rFonts w:hint="eastAsia" w:ascii="宋体" w:hAnsi="宋体"/>
                <w:b/>
                <w:color w:val="auto"/>
                <w:szCs w:val="24"/>
                <w:highlight w:val="none"/>
                <w:u w:val="none"/>
              </w:rPr>
              <w:t>业绩比较基准设置</w:t>
            </w:r>
          </w:p>
          <w:p w14:paraId="72D7BE8E">
            <w:pPr>
              <w:widowControl/>
              <w:spacing w:line="400" w:lineRule="exact"/>
              <w:jc w:val="left"/>
              <w:textAlignment w:val="center"/>
              <w:rPr>
                <w:rFonts w:ascii="宋体" w:hAnsi="宋体"/>
                <w:b/>
                <w:color w:val="auto"/>
                <w:szCs w:val="24"/>
                <w:highlight w:val="none"/>
                <w:u w:val="none"/>
              </w:rPr>
            </w:pPr>
            <w:r>
              <w:rPr>
                <w:rFonts w:hint="eastAsia" w:ascii="宋体" w:hAnsi="宋体"/>
                <w:b/>
                <w:color w:val="auto"/>
                <w:szCs w:val="24"/>
                <w:highlight w:val="none"/>
                <w:u w:val="none"/>
              </w:rPr>
              <w:t>■ 设置业绩比较基准。</w:t>
            </w:r>
          </w:p>
          <w:p w14:paraId="1952F019">
            <w:pPr>
              <w:widowControl/>
              <w:spacing w:line="400" w:lineRule="exact"/>
              <w:jc w:val="left"/>
              <w:textAlignment w:val="center"/>
              <w:rPr>
                <w:rFonts w:hint="default" w:ascii="宋体" w:hAnsi="宋体"/>
                <w:color w:val="auto"/>
                <w:szCs w:val="24"/>
                <w:highlight w:val="none"/>
                <w:u w:val="none"/>
                <w:lang w:val="en-US" w:eastAsia="zh-CN"/>
              </w:rPr>
            </w:pPr>
            <w:r>
              <w:rPr>
                <w:rFonts w:hint="eastAsia" w:ascii="宋体" w:hAnsi="宋体" w:cs="宋体"/>
                <w:color w:val="auto"/>
                <w:kern w:val="0"/>
                <w:szCs w:val="24"/>
                <w:highlight w:val="none"/>
              </w:rPr>
              <w:t>ZYYJG0013</w:t>
            </w:r>
            <w:r>
              <w:rPr>
                <w:rFonts w:hint="eastAsia" w:ascii="宋体" w:hAnsi="宋体"/>
                <w:color w:val="auto"/>
                <w:szCs w:val="24"/>
                <w:highlight w:val="none"/>
                <w:u w:val="none"/>
                <w:lang w:val="en-US" w:eastAsia="zh-CN"/>
              </w:rPr>
              <w:t>A：</w:t>
            </w:r>
            <w:r>
              <w:rPr>
                <w:rFonts w:hint="eastAsia" w:ascii="宋体" w:hAnsi="宋体"/>
                <w:b/>
                <w:color w:val="auto"/>
                <w:szCs w:val="24"/>
                <w:highlight w:val="none"/>
              </w:rPr>
              <w:t>中债新综合全价(1年以下)指数收益率（CBA00113.CS)*40.00%+中国人民银行公布的一年期定期存款基准利率*60.00%。</w:t>
            </w:r>
          </w:p>
          <w:p w14:paraId="71166BA6">
            <w:pPr>
              <w:widowControl/>
              <w:spacing w:line="400" w:lineRule="exact"/>
              <w:jc w:val="left"/>
              <w:textAlignment w:val="center"/>
              <w:rPr>
                <w:rFonts w:hint="eastAsia" w:ascii="宋体" w:hAnsi="宋体"/>
                <w:b/>
                <w:color w:val="auto"/>
                <w:szCs w:val="24"/>
                <w:highlight w:val="none"/>
                <w:u w:val="none"/>
                <w:lang w:eastAsia="zh-CN"/>
              </w:rPr>
            </w:pPr>
            <w:r>
              <w:rPr>
                <w:rFonts w:hint="eastAsia" w:ascii="宋体" w:hAnsi="宋体" w:cs="宋体"/>
                <w:color w:val="auto"/>
                <w:kern w:val="0"/>
                <w:szCs w:val="24"/>
                <w:highlight w:val="none"/>
              </w:rPr>
              <w:t>ZYYJG0013</w:t>
            </w:r>
            <w:r>
              <w:rPr>
                <w:rFonts w:hint="eastAsia" w:ascii="宋体" w:hAnsi="宋体" w:cs="宋体"/>
                <w:color w:val="auto"/>
                <w:kern w:val="0"/>
                <w:szCs w:val="24"/>
                <w:highlight w:val="none"/>
                <w:lang w:val="en-US" w:eastAsia="zh-CN"/>
              </w:rPr>
              <w:t>B</w:t>
            </w:r>
            <w:r>
              <w:rPr>
                <w:rFonts w:hint="eastAsia" w:ascii="宋体" w:hAnsi="宋体"/>
                <w:color w:val="auto"/>
                <w:szCs w:val="24"/>
                <w:highlight w:val="none"/>
                <w:u w:val="none"/>
                <w:lang w:val="en-US" w:eastAsia="zh-CN"/>
              </w:rPr>
              <w:t>：</w:t>
            </w:r>
            <w:r>
              <w:rPr>
                <w:rFonts w:hint="eastAsia" w:ascii="宋体" w:hAnsi="宋体"/>
                <w:b/>
                <w:color w:val="auto"/>
                <w:szCs w:val="24"/>
                <w:highlight w:val="none"/>
              </w:rPr>
              <w:t>中债新综合全价(1年以下)指数收益率（CBA00113.CS)*40.00%+中国人民银行公布的一年期定期存款基准利率*60.00%。</w:t>
            </w:r>
          </w:p>
          <w:p w14:paraId="5DB676F3">
            <w:pPr>
              <w:widowControl/>
              <w:spacing w:line="400" w:lineRule="exact"/>
              <w:jc w:val="left"/>
              <w:textAlignment w:val="center"/>
              <w:rPr>
                <w:rFonts w:hint="eastAsia" w:ascii="宋体" w:hAnsi="宋体"/>
                <w:b/>
                <w:color w:val="auto"/>
                <w:szCs w:val="24"/>
                <w:highlight w:val="none"/>
                <w:u w:val="none"/>
                <w:lang w:eastAsia="zh-CN"/>
              </w:rPr>
            </w:pPr>
            <w:r>
              <w:rPr>
                <w:rFonts w:hint="eastAsia" w:ascii="宋体" w:hAnsi="宋体"/>
                <w:color w:val="auto"/>
                <w:szCs w:val="24"/>
                <w:highlight w:val="none"/>
                <w:u w:val="none"/>
              </w:rPr>
              <w:t>ZYYJG0013C</w:t>
            </w:r>
            <w:r>
              <w:rPr>
                <w:rFonts w:hint="eastAsia" w:ascii="宋体" w:hAnsi="宋体"/>
                <w:color w:val="auto"/>
                <w:szCs w:val="24"/>
                <w:highlight w:val="none"/>
                <w:u w:val="none"/>
                <w:lang w:val="en-US" w:eastAsia="zh-CN"/>
              </w:rPr>
              <w:t>：</w:t>
            </w:r>
            <w:r>
              <w:rPr>
                <w:rFonts w:hint="eastAsia" w:ascii="宋体" w:hAnsi="宋体"/>
                <w:b/>
                <w:color w:val="auto"/>
                <w:szCs w:val="24"/>
                <w:highlight w:val="none"/>
                <w:u w:val="none"/>
              </w:rPr>
              <w:t>中债新综合全价(1年以下)指数收益率（CBA00113.CS)*40.00%+中国人民银行公布的一年期定期存款基准利率*60.00%</w:t>
            </w:r>
            <w:r>
              <w:rPr>
                <w:rFonts w:hint="eastAsia" w:ascii="宋体" w:hAnsi="宋体"/>
                <w:b/>
                <w:color w:val="auto"/>
                <w:szCs w:val="24"/>
                <w:highlight w:val="none"/>
                <w:u w:val="none"/>
                <w:lang w:eastAsia="zh-CN"/>
              </w:rPr>
              <w:t>。</w:t>
            </w:r>
          </w:p>
          <w:p w14:paraId="07B3AFDF">
            <w:pPr>
              <w:widowControl/>
              <w:spacing w:line="400" w:lineRule="exact"/>
              <w:jc w:val="left"/>
              <w:textAlignment w:val="center"/>
              <w:rPr>
                <w:rFonts w:hint="eastAsia" w:ascii="宋体" w:hAnsi="宋体"/>
                <w:b/>
                <w:color w:val="auto"/>
                <w:szCs w:val="24"/>
                <w:highlight w:val="none"/>
                <w:u w:val="none"/>
                <w:lang w:eastAsia="zh-CN"/>
              </w:rPr>
            </w:pPr>
            <w:r>
              <w:rPr>
                <w:rFonts w:hint="eastAsia" w:ascii="宋体" w:hAnsi="宋体"/>
                <w:b/>
                <w:color w:val="auto"/>
                <w:szCs w:val="24"/>
                <w:highlight w:val="none"/>
                <w:u w:val="none"/>
              </w:rPr>
              <w:t xml:space="preserve">□ </w:t>
            </w:r>
            <w:r>
              <w:rPr>
                <w:rFonts w:hint="eastAsia" w:ascii="宋体" w:hAnsi="宋体"/>
                <w:b/>
                <w:color w:val="auto"/>
                <w:szCs w:val="24"/>
                <w:highlight w:val="none"/>
                <w:u w:val="none"/>
                <w:lang w:eastAsia="zh-CN"/>
              </w:rPr>
              <w:t>无</w:t>
            </w:r>
            <w:r>
              <w:rPr>
                <w:rFonts w:hint="eastAsia" w:ascii="宋体" w:hAnsi="宋体"/>
                <w:b/>
                <w:color w:val="auto"/>
                <w:szCs w:val="24"/>
                <w:highlight w:val="none"/>
                <w:u w:val="none"/>
              </w:rPr>
              <w:t>业绩比较基准。</w:t>
            </w:r>
          </w:p>
          <w:p w14:paraId="0A258EEE">
            <w:pPr>
              <w:widowControl/>
              <w:spacing w:line="400" w:lineRule="exact"/>
              <w:jc w:val="left"/>
              <w:textAlignment w:val="center"/>
              <w:rPr>
                <w:rFonts w:hint="eastAsia" w:ascii="宋体" w:hAnsi="宋体"/>
                <w:b/>
                <w:color w:val="auto"/>
                <w:szCs w:val="24"/>
                <w:highlight w:val="none"/>
                <w:u w:val="none"/>
                <w:lang w:eastAsia="zh-CN"/>
              </w:rPr>
            </w:pPr>
            <w:r>
              <w:rPr>
                <w:rFonts w:hint="eastAsia" w:ascii="宋体" w:hAnsi="宋体"/>
                <w:b/>
                <w:color w:val="auto"/>
                <w:szCs w:val="24"/>
                <w:highlight w:val="none"/>
                <w:u w:val="none"/>
              </w:rPr>
              <w:t>2</w:t>
            </w:r>
            <w:r>
              <w:rPr>
                <w:rFonts w:ascii="宋体" w:hAnsi="宋体"/>
                <w:b/>
                <w:color w:val="auto"/>
                <w:szCs w:val="24"/>
                <w:highlight w:val="none"/>
                <w:u w:val="none"/>
              </w:rPr>
              <w:t>.</w:t>
            </w:r>
            <w:r>
              <w:rPr>
                <w:rFonts w:hint="eastAsia" w:ascii="宋体" w:hAnsi="宋体"/>
                <w:b/>
                <w:color w:val="auto"/>
                <w:szCs w:val="24"/>
                <w:highlight w:val="none"/>
                <w:u w:val="none"/>
              </w:rPr>
              <w:t>业绩</w:t>
            </w:r>
            <w:r>
              <w:rPr>
                <w:rFonts w:ascii="宋体" w:hAnsi="宋体"/>
                <w:b/>
                <w:color w:val="auto"/>
                <w:szCs w:val="24"/>
                <w:highlight w:val="none"/>
                <w:u w:val="none"/>
              </w:rPr>
              <w:t>比较基准</w:t>
            </w:r>
            <w:r>
              <w:rPr>
                <w:rFonts w:hint="eastAsia" w:ascii="宋体" w:hAnsi="宋体"/>
                <w:b/>
                <w:color w:val="auto"/>
                <w:szCs w:val="24"/>
                <w:highlight w:val="none"/>
                <w:u w:val="none"/>
              </w:rPr>
              <w:t>提示</w:t>
            </w:r>
          </w:p>
          <w:p w14:paraId="395C1B5B">
            <w:pPr>
              <w:widowControl/>
              <w:spacing w:line="400" w:lineRule="exact"/>
              <w:jc w:val="left"/>
              <w:textAlignment w:val="center"/>
              <w:rPr>
                <w:rFonts w:ascii="宋体" w:hAnsi="宋体"/>
                <w:b/>
                <w:color w:val="auto"/>
                <w:szCs w:val="24"/>
                <w:highlight w:val="none"/>
                <w:u w:val="none"/>
              </w:rPr>
            </w:pPr>
            <w:r>
              <w:rPr>
                <w:rFonts w:hint="eastAsia" w:ascii="宋体" w:hAnsi="宋体"/>
                <w:b/>
                <w:color w:val="auto"/>
                <w:szCs w:val="24"/>
                <w:highlight w:val="none"/>
                <w:u w:val="none"/>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14:paraId="4B25AA57">
            <w:pPr>
              <w:widowControl/>
              <w:snapToGrid/>
              <w:spacing w:line="400" w:lineRule="exact"/>
              <w:jc w:val="left"/>
              <w:textAlignment w:val="center"/>
              <w:rPr>
                <w:rFonts w:ascii="宋体" w:hAnsi="宋体"/>
                <w:b/>
                <w:bCs/>
                <w:color w:val="auto"/>
                <w:szCs w:val="24"/>
                <w:highlight w:val="none"/>
                <w:u w:val="none"/>
              </w:rPr>
            </w:pPr>
            <w:r>
              <w:rPr>
                <w:rFonts w:hint="eastAsia" w:asciiTheme="minorEastAsia" w:hAnsiTheme="minorEastAsia"/>
                <w:color w:val="auto"/>
                <w:kern w:val="0"/>
                <w:szCs w:val="24"/>
                <w:highlight w:val="none"/>
                <w:u w:val="none"/>
              </w:rPr>
              <w:t>本理财产品</w:t>
            </w:r>
            <w:r>
              <w:rPr>
                <w:rFonts w:hint="eastAsia" w:ascii="宋体" w:hAnsi="宋体"/>
                <w:b/>
                <w:color w:val="auto"/>
                <w:szCs w:val="24"/>
                <w:highlight w:val="none"/>
                <w:u w:val="none"/>
              </w:rPr>
              <w:t>投向</w:t>
            </w:r>
            <w:r>
              <w:rPr>
                <w:rFonts w:hint="eastAsia" w:ascii="宋体" w:hAnsi="宋体"/>
                <w:b/>
                <w:color w:val="auto"/>
                <w:szCs w:val="24"/>
                <w:highlight w:val="none"/>
                <w:u w:val="none"/>
                <w:lang w:eastAsia="zh-CN"/>
              </w:rPr>
              <w:t>债权</w:t>
            </w:r>
            <w:r>
              <w:rPr>
                <w:rFonts w:hint="eastAsia" w:ascii="宋体" w:hAnsi="宋体"/>
                <w:b/>
                <w:color w:val="auto"/>
                <w:szCs w:val="24"/>
                <w:highlight w:val="none"/>
                <w:u w:val="none"/>
              </w:rPr>
              <w:t>类资产投资比例不低于80%，投向权益类资产、商品及金融衍生品类资产不高于20%。</w:t>
            </w:r>
            <w:r>
              <w:rPr>
                <w:rFonts w:hint="eastAsia" w:ascii="仿宋_GB2312" w:hAnsi="宋体" w:cs="宋体"/>
                <w:bCs/>
                <w:color w:val="auto"/>
                <w:kern w:val="0"/>
                <w:szCs w:val="24"/>
                <w:highlight w:val="none"/>
                <w:u w:val="none"/>
              </w:rPr>
              <w:t>本理财</w:t>
            </w:r>
            <w:r>
              <w:rPr>
                <w:rFonts w:ascii="仿宋_GB2312" w:hAnsi="宋体" w:cs="宋体"/>
                <w:bCs/>
                <w:color w:val="auto"/>
                <w:kern w:val="0"/>
                <w:szCs w:val="24"/>
                <w:highlight w:val="none"/>
                <w:u w:val="none"/>
              </w:rPr>
              <w:t>产品在投资</w:t>
            </w:r>
            <w:r>
              <w:rPr>
                <w:rFonts w:hint="eastAsia" w:ascii="仿宋_GB2312" w:hAnsi="宋体" w:cs="宋体"/>
                <w:bCs/>
                <w:color w:val="auto"/>
                <w:kern w:val="0"/>
                <w:szCs w:val="24"/>
                <w:highlight w:val="none"/>
                <w:u w:val="none"/>
              </w:rPr>
              <w:t>于</w:t>
            </w:r>
            <w:r>
              <w:rPr>
                <w:rFonts w:ascii="仿宋_GB2312" w:hAnsi="宋体" w:cs="宋体"/>
                <w:bCs/>
                <w:color w:val="auto"/>
                <w:kern w:val="0"/>
                <w:szCs w:val="24"/>
                <w:highlight w:val="none"/>
                <w:u w:val="none"/>
              </w:rPr>
              <w:t>商品及金融衍生品类资产之前，管理人应获得相应的业务经营范围或投资交易资格</w:t>
            </w:r>
            <w:r>
              <w:rPr>
                <w:rFonts w:hint="eastAsia" w:ascii="宋体" w:hAnsi="宋体"/>
                <w:b/>
                <w:bCs/>
                <w:color w:val="auto"/>
                <w:szCs w:val="24"/>
                <w:highlight w:val="none"/>
                <w:u w:val="none"/>
              </w:rPr>
              <w:t>，管理人根据拟投资资产种类、配置比例、运作策略等因素，结合宏观经济情况和市场趋势的预判分析，综合测算、确定本理财产品的业绩比较基准。</w:t>
            </w:r>
          </w:p>
          <w:p w14:paraId="1FF4111D">
            <w:pPr>
              <w:widowControl/>
              <w:snapToGrid/>
              <w:spacing w:line="400" w:lineRule="exact"/>
              <w:jc w:val="left"/>
              <w:textAlignment w:val="center"/>
              <w:rPr>
                <w:rFonts w:asciiTheme="minorEastAsia" w:hAnsiTheme="minorEastAsia" w:cstheme="minorEastAsia"/>
                <w:b/>
                <w:color w:val="auto"/>
                <w:highlight w:val="none"/>
                <w:u w:val="none"/>
              </w:rPr>
            </w:pPr>
            <w:r>
              <w:rPr>
                <w:rFonts w:hint="eastAsia" w:asciiTheme="minorEastAsia" w:hAnsiTheme="minorEastAsia" w:cstheme="minorEastAsia"/>
                <w:b/>
                <w:color w:val="auto"/>
                <w:highlight w:val="none"/>
                <w:u w:val="none"/>
              </w:rPr>
              <w:t>业绩比较基准不是预期收益率，不代表产品的未来表现和实际收益，仅作为业绩参考和</w:t>
            </w:r>
            <w:r>
              <w:rPr>
                <w:rFonts w:asciiTheme="minorEastAsia" w:hAnsiTheme="minorEastAsia" w:cstheme="minorEastAsia"/>
                <w:b/>
                <w:color w:val="auto"/>
                <w:highlight w:val="none"/>
                <w:u w:val="none"/>
              </w:rPr>
              <w:t>计算</w:t>
            </w:r>
            <w:r>
              <w:rPr>
                <w:rFonts w:hint="eastAsia" w:asciiTheme="minorEastAsia" w:hAnsiTheme="minorEastAsia" w:cstheme="minorEastAsia"/>
                <w:b/>
                <w:color w:val="auto"/>
                <w:highlight w:val="none"/>
                <w:u w:val="none"/>
                <w:lang w:eastAsia="zh-CN"/>
              </w:rPr>
              <w:t>浮动管理费</w:t>
            </w:r>
            <w:r>
              <w:rPr>
                <w:rFonts w:hint="eastAsia" w:asciiTheme="minorEastAsia" w:hAnsiTheme="minorEastAsia" w:cstheme="minorEastAsia"/>
                <w:b/>
                <w:color w:val="auto"/>
                <w:highlight w:val="none"/>
                <w:u w:val="none"/>
              </w:rPr>
              <w:t>（如有）的依据，不构成对该理财产品的任何收益承诺，投资者能获得的最终收益以实际支付为准。</w:t>
            </w:r>
          </w:p>
          <w:p w14:paraId="7DB3F8C2">
            <w:pPr>
              <w:widowControl/>
              <w:spacing w:line="400" w:lineRule="exact"/>
              <w:jc w:val="left"/>
              <w:textAlignment w:val="center"/>
              <w:rPr>
                <w:rFonts w:hint="eastAsia" w:ascii="仿宋_GB2312" w:hAnsi="等线" w:eastAsia="仿宋_GB2312" w:cs="仿宋_GB2312"/>
                <w:bCs/>
                <w:color w:val="auto"/>
                <w:sz w:val="24"/>
                <w:highlight w:val="none"/>
              </w:rPr>
            </w:pPr>
            <w:r>
              <w:rPr>
                <w:rFonts w:hint="eastAsia" w:asciiTheme="minorEastAsia" w:hAnsiTheme="minorEastAsia" w:cstheme="minorEastAsia"/>
                <w:b/>
                <w:color w:val="auto"/>
                <w:highlight w:val="none"/>
                <w:u w:val="none"/>
              </w:rPr>
              <w:t>理财产品存续期内，管理人有权根据市场情况对业绩比较基准进行调整，该调整将通过本《产品说明书》之“信息披露”约定的方式进行信息披露，如未披露调整，以最新披露的业绩比较基准为准。</w:t>
            </w:r>
          </w:p>
        </w:tc>
      </w:tr>
      <w:tr w14:paraId="72B90807">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4D93C19A">
            <w:pPr>
              <w:widowControl/>
              <w:spacing w:line="400" w:lineRule="exact"/>
              <w:jc w:val="center"/>
              <w:textAlignment w:val="center"/>
              <w:rPr>
                <w:rFonts w:hint="eastAsia" w:ascii="楷体_GB2312" w:hAnsi="等线" w:eastAsia="楷体_GB2312" w:cs="楷体_GB2312"/>
                <w:bCs/>
                <w:color w:val="auto"/>
                <w:sz w:val="24"/>
                <w:highlight w:val="none"/>
              </w:rPr>
            </w:pPr>
            <w:r>
              <w:rPr>
                <w:rFonts w:hint="eastAsia" w:ascii="楷体_GB2312" w:hAnsi="等线" w:eastAsia="楷体_GB2312" w:cs="楷体_GB2312"/>
                <w:b/>
                <w:color w:val="auto"/>
                <w:kern w:val="0"/>
                <w:sz w:val="24"/>
                <w:highlight w:val="none"/>
                <w:lang w:bidi="ar"/>
              </w:rPr>
              <w:t>（七）投资范围与策略</w:t>
            </w:r>
          </w:p>
        </w:tc>
      </w:tr>
      <w:tr w14:paraId="2874D038">
        <w:tblPrEx>
          <w:tblCellMar>
            <w:top w:w="0" w:type="dxa"/>
            <w:left w:w="108" w:type="dxa"/>
            <w:bottom w:w="0" w:type="dxa"/>
            <w:right w:w="108" w:type="dxa"/>
          </w:tblCellMar>
        </w:tblPrEx>
        <w:trPr>
          <w:trHeight w:val="1420" w:hRule="atLeast"/>
        </w:trPr>
        <w:tc>
          <w:tcPr>
            <w:tcW w:w="2453" w:type="dxa"/>
            <w:tcBorders>
              <w:top w:val="single" w:color="auto" w:sz="4" w:space="0"/>
              <w:left w:val="single" w:color="auto" w:sz="4" w:space="0"/>
              <w:bottom w:val="single" w:color="auto" w:sz="4" w:space="0"/>
              <w:right w:val="single" w:color="auto" w:sz="4" w:space="0"/>
            </w:tcBorders>
            <w:vAlign w:val="center"/>
          </w:tcPr>
          <w:p w14:paraId="741A795D">
            <w:pPr>
              <w:widowControl/>
              <w:spacing w:line="56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投资范围</w:t>
            </w:r>
          </w:p>
        </w:tc>
        <w:tc>
          <w:tcPr>
            <w:tcW w:w="6972" w:type="dxa"/>
            <w:tcBorders>
              <w:top w:val="single" w:color="auto" w:sz="4" w:space="0"/>
              <w:left w:val="single" w:color="auto" w:sz="4" w:space="0"/>
              <w:bottom w:val="single" w:color="auto" w:sz="4" w:space="0"/>
              <w:right w:val="single" w:color="auto" w:sz="4" w:space="0"/>
            </w:tcBorders>
            <w:vAlign w:val="center"/>
          </w:tcPr>
          <w:p w14:paraId="4B54BEB4">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向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14:paraId="023F95FB">
            <w:pPr>
              <w:tabs>
                <w:tab w:val="left" w:pos="3119"/>
              </w:tabs>
              <w:autoSpaceDE w:val="0"/>
              <w:autoSpaceDN w:val="0"/>
              <w:adjustRightInd/>
              <w:snapToGrid/>
              <w:spacing w:line="360" w:lineRule="auto"/>
              <w:ind w:right="36" w:rightChars="15" w:firstLine="480" w:firstLineChars="200"/>
              <w:jc w:val="left"/>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本理财产</w:t>
            </w:r>
            <w:r>
              <w:rPr>
                <w:rFonts w:ascii="仿宋_GB2312" w:hAnsi="宋体" w:cs="宋体"/>
                <w:bCs/>
                <w:color w:val="auto"/>
                <w:kern w:val="0"/>
                <w:szCs w:val="24"/>
                <w:highlight w:val="none"/>
              </w:rPr>
              <w:t>品在投资</w:t>
            </w:r>
            <w:r>
              <w:rPr>
                <w:rFonts w:hint="eastAsia" w:ascii="仿宋_GB2312" w:hAnsi="宋体" w:cs="宋体"/>
                <w:bCs/>
                <w:color w:val="auto"/>
                <w:kern w:val="0"/>
                <w:szCs w:val="24"/>
                <w:highlight w:val="none"/>
              </w:rPr>
              <w:t>于</w:t>
            </w:r>
            <w:r>
              <w:rPr>
                <w:rFonts w:ascii="仿宋_GB2312" w:hAnsi="宋体" w:cs="宋体"/>
                <w:bCs/>
                <w:color w:val="auto"/>
                <w:kern w:val="0"/>
                <w:szCs w:val="24"/>
                <w:highlight w:val="none"/>
              </w:rPr>
              <w:t>商品及金融衍生品类资产之前，管理人应获得相应的业务经营范围或投资交易资格。</w:t>
            </w:r>
          </w:p>
          <w:p w14:paraId="1CE68ACA">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622EE5AF">
            <w:pPr>
              <w:tabs>
                <w:tab w:val="left" w:pos="3119"/>
              </w:tabs>
              <w:autoSpaceDE w:val="0"/>
              <w:autoSpaceDN w:val="0"/>
              <w:spacing w:line="360" w:lineRule="auto"/>
              <w:ind w:right="36" w:rightChars="15"/>
              <w:rPr>
                <w:rFonts w:hint="eastAsia" w:ascii="仿宋_GB2312" w:hAnsi="等线" w:eastAsia="仿宋_GB2312" w:cs="仿宋_GB2312"/>
                <w:bCs/>
                <w:color w:val="auto"/>
                <w:sz w:val="24"/>
                <w:highlight w:val="none"/>
              </w:rPr>
            </w:pPr>
          </w:p>
        </w:tc>
      </w:tr>
      <w:tr w14:paraId="57712D32">
        <w:tblPrEx>
          <w:tblCellMar>
            <w:top w:w="0" w:type="dxa"/>
            <w:left w:w="108" w:type="dxa"/>
            <w:bottom w:w="0" w:type="dxa"/>
            <w:right w:w="108" w:type="dxa"/>
          </w:tblCellMar>
        </w:tblPrEx>
        <w:trPr>
          <w:trHeight w:val="780" w:hRule="atLeast"/>
        </w:trPr>
        <w:tc>
          <w:tcPr>
            <w:tcW w:w="2453" w:type="dxa"/>
            <w:tcBorders>
              <w:top w:val="single" w:color="auto" w:sz="4" w:space="0"/>
              <w:left w:val="single" w:color="auto" w:sz="4" w:space="0"/>
              <w:bottom w:val="single" w:color="auto" w:sz="4" w:space="0"/>
              <w:right w:val="single" w:color="auto" w:sz="4" w:space="0"/>
            </w:tcBorders>
            <w:vAlign w:val="center"/>
          </w:tcPr>
          <w:p w14:paraId="60220AE0">
            <w:pPr>
              <w:widowControl/>
              <w:spacing w:line="56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投资策略</w:t>
            </w:r>
          </w:p>
        </w:tc>
        <w:tc>
          <w:tcPr>
            <w:tcW w:w="6972" w:type="dxa"/>
            <w:tcBorders>
              <w:top w:val="single" w:color="auto" w:sz="4" w:space="0"/>
              <w:left w:val="single" w:color="auto" w:sz="4" w:space="0"/>
              <w:bottom w:val="single" w:color="auto" w:sz="4" w:space="0"/>
              <w:right w:val="single" w:color="auto" w:sz="4" w:space="0"/>
            </w:tcBorders>
            <w:vAlign w:val="center"/>
          </w:tcPr>
          <w:p w14:paraId="27C6C6C6">
            <w:pPr>
              <w:tabs>
                <w:tab w:val="left" w:pos="3119"/>
              </w:tabs>
              <w:autoSpaceDE w:val="0"/>
              <w:autoSpaceDN w:val="0"/>
              <w:adjustRightInd w:val="0"/>
              <w:snapToGrid w:val="0"/>
              <w:spacing w:line="360" w:lineRule="auto"/>
              <w:rPr>
                <w:color w:val="auto"/>
                <w:highlight w:val="none"/>
              </w:rPr>
            </w:pPr>
            <w:r>
              <w:rPr>
                <w:rFonts w:hint="eastAsia"/>
                <w:color w:val="auto"/>
                <w:highlight w:val="none"/>
              </w:rPr>
              <w:t>本产品本着稳健投资的理念，通过对宏观经济的研究，在较低风险资产间进行合理配置，在有效控制信用风险的基础上尽可能提高投资组合收益。理财产品主要投资于各类银行存款、同业存单、回购等货币市场工具以及债券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792AC8BA">
            <w:pPr>
              <w:tabs>
                <w:tab w:val="left" w:pos="3119"/>
              </w:tabs>
              <w:autoSpaceDE w:val="0"/>
              <w:autoSpaceDN w:val="0"/>
              <w:adjustRightInd w:val="0"/>
              <w:snapToGrid w:val="0"/>
              <w:spacing w:line="360" w:lineRule="auto"/>
              <w:rPr>
                <w:color w:val="auto"/>
                <w:highlight w:val="none"/>
              </w:rPr>
            </w:pPr>
          </w:p>
          <w:p w14:paraId="0AAF8F6E">
            <w:pPr>
              <w:tabs>
                <w:tab w:val="left" w:pos="3119"/>
              </w:tabs>
              <w:autoSpaceDE w:val="0"/>
              <w:autoSpaceDN w:val="0"/>
              <w:adjustRightInd w:val="0"/>
              <w:snapToGrid w:val="0"/>
              <w:spacing w:line="360" w:lineRule="auto"/>
              <w:rPr>
                <w:color w:val="auto"/>
                <w:highlight w:val="none"/>
              </w:rPr>
            </w:pPr>
            <w:r>
              <w:rPr>
                <w:color w:val="auto"/>
                <w:highlight w:val="none"/>
              </w:rPr>
              <w:t>本产品可在符合监管规定的前提下适当运用杠杆原理，通过回购操作，增强投资组合的收益水平</w:t>
            </w:r>
            <w:r>
              <w:rPr>
                <w:rFonts w:hint="eastAsia"/>
                <w:color w:val="auto"/>
                <w:highlight w:val="none"/>
              </w:rPr>
              <w:t>，</w:t>
            </w:r>
            <w:r>
              <w:rPr>
                <w:color w:val="auto"/>
                <w:highlight w:val="none"/>
              </w:rPr>
              <w:t>但本理财产品总资产不超过净资产的</w:t>
            </w:r>
            <w:r>
              <w:rPr>
                <w:rFonts w:hint="eastAsia"/>
                <w:color w:val="auto"/>
                <w:highlight w:val="none"/>
              </w:rPr>
              <w:t>【</w:t>
            </w:r>
            <w:r>
              <w:rPr>
                <w:rFonts w:hint="eastAsia"/>
                <w:color w:val="auto"/>
                <w:highlight w:val="none"/>
                <w:lang w:val="en-US" w:eastAsia="zh-CN"/>
              </w:rPr>
              <w:t>140%</w:t>
            </w:r>
            <w:r>
              <w:rPr>
                <w:rFonts w:hint="eastAsia"/>
                <w:color w:val="auto"/>
                <w:highlight w:val="none"/>
              </w:rPr>
              <w:t>】</w:t>
            </w:r>
            <w:r>
              <w:rPr>
                <w:color w:val="auto"/>
                <w:highlight w:val="none"/>
              </w:rPr>
              <w:t>。</w:t>
            </w:r>
          </w:p>
          <w:p w14:paraId="21642858">
            <w:pPr>
              <w:widowControl/>
              <w:tabs>
                <w:tab w:val="left" w:pos="3119"/>
              </w:tabs>
              <w:autoSpaceDE w:val="0"/>
              <w:autoSpaceDN w:val="0"/>
              <w:adjustRightInd w:val="0"/>
              <w:snapToGrid w:val="0"/>
              <w:spacing w:line="360" w:lineRule="auto"/>
              <w:ind w:firstLine="0" w:firstLineChars="0"/>
              <w:jc w:val="left"/>
              <w:textAlignment w:val="auto"/>
              <w:rPr>
                <w:rFonts w:hint="eastAsia" w:ascii="仿宋_GB2312" w:hAnsi="等线" w:eastAsia="仿宋_GB2312" w:cs="仿宋_GB2312"/>
                <w:bCs/>
                <w:color w:val="auto"/>
                <w:sz w:val="24"/>
                <w:highlight w:val="none"/>
              </w:rPr>
            </w:pPr>
          </w:p>
        </w:tc>
      </w:tr>
      <w:tr w14:paraId="097E7472">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11001D07">
            <w:pPr>
              <w:widowControl/>
              <w:spacing w:line="560" w:lineRule="exact"/>
              <w:jc w:val="center"/>
              <w:textAlignment w:val="center"/>
              <w:rPr>
                <w:rFonts w:hint="eastAsia" w:ascii="仿宋_GB2312" w:hAnsi="等线" w:eastAsia="仿宋_GB2312" w:cs="仿宋_GB2312"/>
                <w:color w:val="auto"/>
                <w:sz w:val="24"/>
                <w:highlight w:val="none"/>
              </w:rPr>
            </w:pPr>
            <w:r>
              <w:rPr>
                <w:rFonts w:hint="eastAsia" w:ascii="仿宋_GB2312" w:hAnsi="等线" w:cs="仿宋_GB2312"/>
                <w:color w:val="auto"/>
                <w:kern w:val="0"/>
                <w:sz w:val="24"/>
                <w:highlight w:val="none"/>
                <w:lang w:eastAsia="zh-CN" w:bidi="ar"/>
              </w:rPr>
              <w:t>债权</w:t>
            </w:r>
            <w:r>
              <w:rPr>
                <w:rFonts w:hint="eastAsia" w:ascii="仿宋_GB2312" w:hAnsi="等线" w:eastAsia="仿宋_GB2312" w:cs="仿宋_GB2312"/>
                <w:color w:val="auto"/>
                <w:kern w:val="0"/>
                <w:sz w:val="24"/>
                <w:highlight w:val="none"/>
                <w:lang w:bidi="ar"/>
              </w:rPr>
              <w:t>类资产投资上限</w:t>
            </w:r>
          </w:p>
        </w:tc>
        <w:tc>
          <w:tcPr>
            <w:tcW w:w="6972" w:type="dxa"/>
            <w:tcBorders>
              <w:top w:val="single" w:color="auto" w:sz="4" w:space="0"/>
              <w:left w:val="single" w:color="auto" w:sz="4" w:space="0"/>
              <w:bottom w:val="single" w:color="auto" w:sz="4" w:space="0"/>
              <w:right w:val="single" w:color="auto" w:sz="4" w:space="0"/>
            </w:tcBorders>
            <w:vAlign w:val="center"/>
          </w:tcPr>
          <w:p w14:paraId="2445C81F">
            <w:pPr>
              <w:widowControl/>
              <w:spacing w:line="560" w:lineRule="exact"/>
              <w:jc w:val="left"/>
              <w:textAlignment w:val="center"/>
              <w:rPr>
                <w:rFonts w:hint="eastAsia" w:ascii="仿宋_GB2312" w:hAnsi="等线" w:eastAsia="仿宋_GB2312" w:cs="仿宋_GB2312"/>
                <w:bCs/>
                <w:color w:val="auto"/>
                <w:sz w:val="24"/>
                <w:highlight w:val="none"/>
              </w:rPr>
            </w:pPr>
            <w:r>
              <w:rPr>
                <w:rFonts w:hint="eastAsia" w:ascii="仿宋_GB2312" w:hAnsi="宋体" w:cs="宋体"/>
                <w:b/>
                <w:bCs/>
                <w:color w:val="auto"/>
                <w:kern w:val="0"/>
                <w:szCs w:val="24"/>
                <w:highlight w:val="none"/>
                <w:u w:val="none"/>
                <w:lang w:val="en-US" w:eastAsia="zh-CN"/>
              </w:rPr>
              <w:t>100%</w:t>
            </w:r>
          </w:p>
        </w:tc>
      </w:tr>
      <w:tr w14:paraId="145E2E54">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004DF308">
            <w:pPr>
              <w:widowControl/>
              <w:spacing w:line="560" w:lineRule="exact"/>
              <w:jc w:val="center"/>
              <w:textAlignment w:val="center"/>
              <w:rPr>
                <w:rFonts w:hint="eastAsia" w:ascii="仿宋_GB2312" w:hAnsi="等线" w:eastAsia="仿宋_GB2312" w:cs="仿宋_GB2312"/>
                <w:color w:val="auto"/>
                <w:sz w:val="24"/>
                <w:highlight w:val="none"/>
              </w:rPr>
            </w:pPr>
            <w:r>
              <w:rPr>
                <w:rFonts w:hint="eastAsia" w:ascii="仿宋_GB2312" w:hAnsi="等线" w:cs="仿宋_GB2312"/>
                <w:color w:val="auto"/>
                <w:kern w:val="0"/>
                <w:sz w:val="24"/>
                <w:highlight w:val="none"/>
                <w:lang w:eastAsia="zh-CN" w:bidi="ar"/>
              </w:rPr>
              <w:t>债权</w:t>
            </w:r>
            <w:r>
              <w:rPr>
                <w:rFonts w:hint="eastAsia" w:ascii="仿宋_GB2312" w:hAnsi="等线" w:eastAsia="仿宋_GB2312" w:cs="仿宋_GB2312"/>
                <w:color w:val="auto"/>
                <w:kern w:val="0"/>
                <w:sz w:val="24"/>
                <w:highlight w:val="none"/>
                <w:lang w:bidi="ar"/>
              </w:rPr>
              <w:t>类资产投资下限</w:t>
            </w:r>
          </w:p>
        </w:tc>
        <w:tc>
          <w:tcPr>
            <w:tcW w:w="6972" w:type="dxa"/>
            <w:tcBorders>
              <w:top w:val="single" w:color="auto" w:sz="4" w:space="0"/>
              <w:left w:val="single" w:color="auto" w:sz="4" w:space="0"/>
              <w:bottom w:val="single" w:color="auto" w:sz="4" w:space="0"/>
              <w:right w:val="single" w:color="auto" w:sz="4" w:space="0"/>
            </w:tcBorders>
            <w:vAlign w:val="center"/>
          </w:tcPr>
          <w:p w14:paraId="44433C55">
            <w:pPr>
              <w:widowControl/>
              <w:spacing w:line="560" w:lineRule="exact"/>
              <w:jc w:val="left"/>
              <w:textAlignment w:val="center"/>
              <w:rPr>
                <w:rFonts w:hint="eastAsia" w:ascii="仿宋_GB2312" w:hAnsi="等线" w:eastAsia="仿宋_GB2312" w:cs="仿宋_GB2312"/>
                <w:bCs/>
                <w:color w:val="auto"/>
                <w:sz w:val="24"/>
                <w:highlight w:val="none"/>
              </w:rPr>
            </w:pPr>
            <w:r>
              <w:rPr>
                <w:rFonts w:hint="eastAsia" w:ascii="仿宋_GB2312" w:hAnsi="宋体" w:cs="宋体"/>
                <w:b/>
                <w:bCs/>
                <w:color w:val="auto"/>
                <w:kern w:val="0"/>
                <w:szCs w:val="24"/>
                <w:highlight w:val="none"/>
                <w:u w:val="none"/>
                <w:lang w:val="en-US" w:eastAsia="zh-CN"/>
              </w:rPr>
              <w:t>80%</w:t>
            </w:r>
          </w:p>
        </w:tc>
      </w:tr>
      <w:tr w14:paraId="331E75E1">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034E38CA">
            <w:pPr>
              <w:widowControl/>
              <w:spacing w:line="56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权益类资产投资上限</w:t>
            </w:r>
          </w:p>
        </w:tc>
        <w:tc>
          <w:tcPr>
            <w:tcW w:w="6972" w:type="dxa"/>
            <w:tcBorders>
              <w:top w:val="single" w:color="auto" w:sz="4" w:space="0"/>
              <w:left w:val="single" w:color="auto" w:sz="4" w:space="0"/>
              <w:bottom w:val="single" w:color="auto" w:sz="4" w:space="0"/>
              <w:right w:val="single" w:color="auto" w:sz="4" w:space="0"/>
            </w:tcBorders>
            <w:vAlign w:val="center"/>
          </w:tcPr>
          <w:p w14:paraId="66E9EBE4">
            <w:pPr>
              <w:widowControl/>
              <w:spacing w:line="560" w:lineRule="exact"/>
              <w:jc w:val="left"/>
              <w:textAlignment w:val="center"/>
              <w:rPr>
                <w:rFonts w:hint="eastAsia" w:ascii="仿宋_GB2312" w:hAnsi="等线" w:eastAsia="仿宋_GB2312" w:cs="仿宋_GB2312"/>
                <w:bCs/>
                <w:color w:val="auto"/>
                <w:sz w:val="24"/>
                <w:highlight w:val="none"/>
              </w:rPr>
            </w:pPr>
            <w:r>
              <w:rPr>
                <w:rFonts w:hint="eastAsia" w:ascii="仿宋_GB2312" w:hAnsi="宋体" w:cs="宋体"/>
                <w:b/>
                <w:bCs/>
                <w:color w:val="auto"/>
                <w:kern w:val="0"/>
                <w:szCs w:val="24"/>
                <w:highlight w:val="none"/>
                <w:u w:val="none"/>
                <w:lang w:val="en-US" w:eastAsia="zh-CN"/>
              </w:rPr>
              <w:t>20%</w:t>
            </w:r>
          </w:p>
        </w:tc>
      </w:tr>
      <w:tr w14:paraId="06A0C279">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6AB896DF">
            <w:pPr>
              <w:widowControl/>
              <w:spacing w:line="56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权益类资产投资下限</w:t>
            </w:r>
          </w:p>
        </w:tc>
        <w:tc>
          <w:tcPr>
            <w:tcW w:w="6972" w:type="dxa"/>
            <w:tcBorders>
              <w:top w:val="single" w:color="auto" w:sz="4" w:space="0"/>
              <w:left w:val="single" w:color="auto" w:sz="4" w:space="0"/>
              <w:bottom w:val="single" w:color="auto" w:sz="4" w:space="0"/>
              <w:right w:val="single" w:color="auto" w:sz="4" w:space="0"/>
            </w:tcBorders>
            <w:vAlign w:val="center"/>
          </w:tcPr>
          <w:p w14:paraId="0CE59259">
            <w:pPr>
              <w:widowControl/>
              <w:spacing w:line="560" w:lineRule="exact"/>
              <w:jc w:val="left"/>
              <w:textAlignment w:val="center"/>
              <w:rPr>
                <w:rFonts w:hint="eastAsia" w:ascii="仿宋_GB2312" w:hAnsi="等线" w:eastAsia="仿宋_GB2312" w:cs="仿宋_GB2312"/>
                <w:bCs/>
                <w:color w:val="auto"/>
                <w:sz w:val="24"/>
                <w:highlight w:val="none"/>
              </w:rPr>
            </w:pPr>
            <w:r>
              <w:rPr>
                <w:rFonts w:hint="eastAsia" w:ascii="仿宋_GB2312" w:hAnsi="宋体" w:cs="宋体"/>
                <w:b/>
                <w:bCs/>
                <w:color w:val="auto"/>
                <w:kern w:val="0"/>
                <w:szCs w:val="24"/>
                <w:highlight w:val="none"/>
                <w:u w:val="none"/>
                <w:lang w:val="en-US" w:eastAsia="zh-CN"/>
              </w:rPr>
              <w:t>0%</w:t>
            </w:r>
          </w:p>
        </w:tc>
      </w:tr>
      <w:tr w14:paraId="26E6EE14">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44B2AE4D">
            <w:pPr>
              <w:widowControl/>
              <w:spacing w:line="56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商品及金融衍生品类资产投资上限</w:t>
            </w:r>
          </w:p>
        </w:tc>
        <w:tc>
          <w:tcPr>
            <w:tcW w:w="6972" w:type="dxa"/>
            <w:tcBorders>
              <w:top w:val="single" w:color="auto" w:sz="4" w:space="0"/>
              <w:left w:val="single" w:color="auto" w:sz="4" w:space="0"/>
              <w:bottom w:val="single" w:color="auto" w:sz="4" w:space="0"/>
              <w:right w:val="single" w:color="auto" w:sz="4" w:space="0"/>
            </w:tcBorders>
            <w:vAlign w:val="center"/>
          </w:tcPr>
          <w:p w14:paraId="215B6E46">
            <w:pPr>
              <w:widowControl/>
              <w:spacing w:line="560" w:lineRule="exact"/>
              <w:jc w:val="left"/>
              <w:textAlignment w:val="center"/>
              <w:rPr>
                <w:rFonts w:hint="eastAsia" w:ascii="仿宋_GB2312" w:hAnsi="等线" w:eastAsia="仿宋_GB2312" w:cs="仿宋_GB2312"/>
                <w:bCs/>
                <w:color w:val="auto"/>
                <w:sz w:val="24"/>
                <w:highlight w:val="none"/>
              </w:rPr>
            </w:pPr>
            <w:r>
              <w:rPr>
                <w:rFonts w:hint="eastAsia" w:ascii="仿宋_GB2312" w:hAnsi="宋体" w:cs="宋体"/>
                <w:b/>
                <w:bCs/>
                <w:color w:val="auto"/>
                <w:kern w:val="0"/>
                <w:szCs w:val="24"/>
                <w:highlight w:val="none"/>
                <w:u w:val="none"/>
                <w:lang w:val="en-US" w:eastAsia="zh-CN"/>
              </w:rPr>
              <w:t>20%</w:t>
            </w:r>
          </w:p>
        </w:tc>
      </w:tr>
      <w:tr w14:paraId="70D443AE">
        <w:tblPrEx>
          <w:tblCellMar>
            <w:top w:w="0" w:type="dxa"/>
            <w:left w:w="108" w:type="dxa"/>
            <w:bottom w:w="0" w:type="dxa"/>
            <w:right w:w="108" w:type="dxa"/>
          </w:tblCellMar>
        </w:tblPrEx>
        <w:trPr>
          <w:trHeight w:val="555" w:hRule="atLeast"/>
        </w:trPr>
        <w:tc>
          <w:tcPr>
            <w:tcW w:w="2453" w:type="dxa"/>
            <w:tcBorders>
              <w:top w:val="single" w:color="auto" w:sz="4" w:space="0"/>
              <w:left w:val="single" w:color="auto" w:sz="4" w:space="0"/>
              <w:bottom w:val="single" w:color="auto" w:sz="4" w:space="0"/>
              <w:right w:val="single" w:color="auto" w:sz="4" w:space="0"/>
            </w:tcBorders>
            <w:vAlign w:val="center"/>
          </w:tcPr>
          <w:p w14:paraId="59FCBC2A">
            <w:pPr>
              <w:widowControl/>
              <w:spacing w:line="56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商品及金融衍生品类资产投资下限</w:t>
            </w:r>
          </w:p>
        </w:tc>
        <w:tc>
          <w:tcPr>
            <w:tcW w:w="6972" w:type="dxa"/>
            <w:tcBorders>
              <w:top w:val="single" w:color="auto" w:sz="4" w:space="0"/>
              <w:left w:val="single" w:color="auto" w:sz="4" w:space="0"/>
              <w:bottom w:val="single" w:color="auto" w:sz="4" w:space="0"/>
              <w:right w:val="single" w:color="auto" w:sz="4" w:space="0"/>
            </w:tcBorders>
            <w:vAlign w:val="center"/>
          </w:tcPr>
          <w:p w14:paraId="24C9DC3B">
            <w:pPr>
              <w:widowControl/>
              <w:spacing w:line="560" w:lineRule="exact"/>
              <w:jc w:val="left"/>
              <w:textAlignment w:val="center"/>
              <w:rPr>
                <w:rFonts w:hint="default" w:ascii="仿宋_GB2312" w:hAnsi="等线" w:eastAsia="仿宋_GB2312" w:cs="仿宋_GB2312"/>
                <w:bCs/>
                <w:color w:val="auto"/>
                <w:sz w:val="24"/>
                <w:highlight w:val="none"/>
                <w:lang w:val="en-US" w:eastAsia="zh-CN"/>
              </w:rPr>
            </w:pPr>
            <w:r>
              <w:rPr>
                <w:rFonts w:hint="eastAsia" w:ascii="仿宋_GB2312" w:hAnsi="宋体" w:cs="宋体"/>
                <w:b/>
                <w:bCs/>
                <w:color w:val="auto"/>
                <w:kern w:val="0"/>
                <w:szCs w:val="24"/>
                <w:highlight w:val="none"/>
                <w:u w:val="none"/>
                <w:lang w:val="en-US" w:eastAsia="zh-CN"/>
              </w:rPr>
              <w:t>0%</w:t>
            </w:r>
          </w:p>
        </w:tc>
      </w:tr>
      <w:tr w14:paraId="04F31A49">
        <w:tblPrEx>
          <w:tblCellMar>
            <w:top w:w="0" w:type="dxa"/>
            <w:left w:w="108" w:type="dxa"/>
            <w:bottom w:w="0" w:type="dxa"/>
            <w:right w:w="108" w:type="dxa"/>
          </w:tblCellMar>
        </w:tblPrEx>
        <w:trPr>
          <w:trHeight w:val="270" w:hRule="atLeast"/>
        </w:trPr>
        <w:tc>
          <w:tcPr>
            <w:tcW w:w="9425" w:type="dxa"/>
            <w:gridSpan w:val="2"/>
            <w:tcBorders>
              <w:top w:val="single" w:color="auto" w:sz="4" w:space="0"/>
              <w:left w:val="single" w:color="auto" w:sz="4" w:space="0"/>
              <w:bottom w:val="single" w:color="auto" w:sz="4" w:space="0"/>
              <w:right w:val="single" w:color="auto" w:sz="4" w:space="0"/>
            </w:tcBorders>
            <w:vAlign w:val="center"/>
          </w:tcPr>
          <w:p w14:paraId="21716EBC">
            <w:pPr>
              <w:widowControl/>
              <w:spacing w:line="560" w:lineRule="exact"/>
              <w:jc w:val="center"/>
              <w:textAlignment w:val="center"/>
              <w:rPr>
                <w:rFonts w:hint="eastAsia" w:ascii="楷体_GB2312" w:hAnsi="等线" w:eastAsia="楷体_GB2312" w:cs="楷体_GB2312"/>
                <w:bCs/>
                <w:color w:val="auto"/>
                <w:sz w:val="24"/>
                <w:highlight w:val="none"/>
              </w:rPr>
            </w:pPr>
            <w:r>
              <w:rPr>
                <w:rFonts w:hint="eastAsia" w:ascii="楷体_GB2312" w:hAnsi="等线" w:eastAsia="楷体_GB2312" w:cs="楷体_GB2312"/>
                <w:b/>
                <w:color w:val="auto"/>
                <w:kern w:val="0"/>
                <w:sz w:val="24"/>
                <w:highlight w:val="none"/>
                <w:lang w:bidi="ar"/>
              </w:rPr>
              <w:t>（八）其他约定</w:t>
            </w:r>
          </w:p>
        </w:tc>
      </w:tr>
      <w:tr w14:paraId="047FA06A">
        <w:tblPrEx>
          <w:tblCellMar>
            <w:top w:w="0" w:type="dxa"/>
            <w:left w:w="108" w:type="dxa"/>
            <w:bottom w:w="0" w:type="dxa"/>
            <w:right w:w="108" w:type="dxa"/>
          </w:tblCellMar>
        </w:tblPrEx>
        <w:trPr>
          <w:trHeight w:val="1010" w:hRule="atLeast"/>
        </w:trPr>
        <w:tc>
          <w:tcPr>
            <w:tcW w:w="2453" w:type="dxa"/>
            <w:tcBorders>
              <w:top w:val="single" w:color="auto" w:sz="4" w:space="0"/>
              <w:left w:val="single" w:color="auto" w:sz="4" w:space="0"/>
              <w:bottom w:val="single" w:color="auto" w:sz="4" w:space="0"/>
              <w:right w:val="single" w:color="auto" w:sz="4" w:space="0"/>
            </w:tcBorders>
            <w:vAlign w:val="center"/>
          </w:tcPr>
          <w:p w14:paraId="226D5F82">
            <w:pPr>
              <w:snapToGrid w:val="0"/>
              <w:ind w:left="-163" w:leftChars="-74" w:hanging="15" w:firstLineChars="0"/>
              <w:jc w:val="center"/>
              <w:rPr>
                <w:rFonts w:hint="eastAsia" w:ascii="仿宋_GB2312" w:hAnsi="等线" w:eastAsia="仿宋_GB2312" w:cs="仿宋_GB2312"/>
                <w:color w:val="auto"/>
                <w:kern w:val="0"/>
                <w:sz w:val="24"/>
                <w:highlight w:val="none"/>
                <w:lang w:bidi="ar"/>
              </w:rPr>
            </w:pPr>
            <w:r>
              <w:rPr>
                <w:rFonts w:hint="eastAsia" w:ascii="宋体" w:hAnsi="宋体"/>
                <w:color w:val="auto"/>
                <w:kern w:val="0"/>
                <w:szCs w:val="24"/>
                <w:highlight w:val="none"/>
                <w:u w:val="none"/>
              </w:rPr>
              <w:t>信息披露</w:t>
            </w:r>
          </w:p>
        </w:tc>
        <w:tc>
          <w:tcPr>
            <w:tcW w:w="6972" w:type="dxa"/>
            <w:tcBorders>
              <w:top w:val="single" w:color="auto" w:sz="4" w:space="0"/>
              <w:left w:val="single" w:color="auto" w:sz="4" w:space="0"/>
              <w:bottom w:val="single" w:color="auto" w:sz="4" w:space="0"/>
              <w:right w:val="single" w:color="auto" w:sz="4" w:space="0"/>
            </w:tcBorders>
            <w:vAlign w:val="center"/>
          </w:tcPr>
          <w:p w14:paraId="31FF3A03">
            <w:pPr>
              <w:snapToGrid w:val="0"/>
              <w:rPr>
                <w:rFonts w:hint="eastAsia" w:ascii="仿宋_GB2312" w:hAnsi="宋体" w:eastAsia="仿宋_GB2312" w:cs="宋体"/>
                <w:b/>
                <w:color w:val="auto"/>
                <w:kern w:val="0"/>
                <w:szCs w:val="24"/>
                <w:highlight w:val="none"/>
                <w:u w:val="none"/>
                <w:lang w:eastAsia="zh-CN"/>
              </w:rPr>
            </w:pPr>
            <w:r>
              <w:rPr>
                <w:rFonts w:hint="eastAsia" w:ascii="宋体" w:hAnsi="宋体"/>
                <w:b/>
                <w:color w:val="auto"/>
                <w:szCs w:val="24"/>
                <w:highlight w:val="none"/>
                <w:u w:val="none"/>
              </w:rPr>
              <w:t>本理财产品成立后，管理人将通过《产品说明书》之“信息披露”约定的方式进行信息披露。详细内容见《本产品说明书》之“信息披露”</w:t>
            </w:r>
          </w:p>
          <w:p w14:paraId="08FE7EDF">
            <w:pPr>
              <w:snapToGrid w:val="0"/>
              <w:rPr>
                <w:rFonts w:hint="eastAsia" w:ascii="宋体" w:hAnsi="宋体"/>
                <w:b/>
                <w:bCs/>
                <w:iCs/>
                <w:color w:val="auto"/>
                <w:szCs w:val="24"/>
                <w:highlight w:val="none"/>
                <w:u w:val="none"/>
              </w:rPr>
            </w:pPr>
            <w:r>
              <w:rPr>
                <w:rFonts w:hint="eastAsia" w:asciiTheme="minorEastAsia" w:hAnsiTheme="minorEastAsia"/>
                <w:color w:val="auto"/>
                <w:szCs w:val="24"/>
                <w:highlight w:val="none"/>
                <w:u w:val="none"/>
              </w:rPr>
              <w:t>本产品成立、运行、到期、净值等信息将通过</w:t>
            </w:r>
            <w:r>
              <w:rPr>
                <w:rFonts w:hint="eastAsia" w:asciiTheme="minorEastAsia" w:hAnsiTheme="minorEastAsia"/>
                <w:color w:val="auto"/>
                <w:szCs w:val="24"/>
                <w:highlight w:val="none"/>
                <w:u w:val="none"/>
                <w:lang w:eastAsia="zh-CN"/>
              </w:rPr>
              <w:t>产品</w:t>
            </w:r>
            <w:r>
              <w:rPr>
                <w:rFonts w:hint="eastAsia" w:asciiTheme="minorEastAsia" w:hAnsiTheme="minorEastAsia"/>
                <w:color w:val="auto"/>
                <w:szCs w:val="24"/>
                <w:highlight w:val="none"/>
                <w:u w:val="none"/>
              </w:rPr>
              <w:t>管理人</w:t>
            </w:r>
            <w:r>
              <w:rPr>
                <w:rFonts w:asciiTheme="minorEastAsia" w:hAnsiTheme="minorEastAsia"/>
                <w:color w:val="auto"/>
                <w:szCs w:val="24"/>
                <w:highlight w:val="none"/>
                <w:u w:val="none"/>
              </w:rPr>
              <w:t>官方网站</w:t>
            </w:r>
            <w:r>
              <w:rPr>
                <w:rFonts w:hint="eastAsia" w:ascii="仿宋_GB2312" w:hAnsi="宋体" w:cs="宋体"/>
                <w:color w:val="auto"/>
                <w:kern w:val="0"/>
                <w:szCs w:val="24"/>
                <w:highlight w:val="none"/>
                <w:u w:val="none"/>
              </w:rPr>
              <w:t>【</w:t>
            </w:r>
            <w:r>
              <w:rPr>
                <w:rFonts w:ascii="仿宋_GB2312" w:hAnsi="宋体" w:cs="宋体"/>
                <w:color w:val="auto"/>
                <w:kern w:val="0"/>
                <w:szCs w:val="24"/>
                <w:highlight w:val="none"/>
                <w:u w:val="none"/>
              </w:rPr>
              <w:t>www.czbank-wm.com</w:t>
            </w:r>
            <w:r>
              <w:rPr>
                <w:rFonts w:hint="eastAsia" w:ascii="仿宋_GB2312" w:hAnsi="宋体" w:cs="宋体"/>
                <w:color w:val="auto"/>
                <w:kern w:val="0"/>
                <w:szCs w:val="24"/>
                <w:highlight w:val="none"/>
                <w:u w:val="none"/>
              </w:rPr>
              <w:t>】、销售机构官方网站、个人手机银行或其他约定的方式等</w:t>
            </w:r>
            <w:r>
              <w:rPr>
                <w:rFonts w:hint="eastAsia" w:cs="宋体" w:asciiTheme="minorEastAsia" w:hAnsiTheme="minorEastAsia"/>
                <w:color w:val="auto"/>
                <w:kern w:val="0"/>
                <w:szCs w:val="24"/>
                <w:highlight w:val="none"/>
                <w:u w:val="none"/>
              </w:rPr>
              <w:t>一种或多种渠道进行信息披露，</w:t>
            </w:r>
            <w:r>
              <w:rPr>
                <w:rFonts w:hint="eastAsia" w:asciiTheme="minorEastAsia" w:hAnsiTheme="minorEastAsia"/>
                <w:color w:val="auto"/>
                <w:szCs w:val="24"/>
                <w:highlight w:val="none"/>
                <w:u w:val="none"/>
              </w:rPr>
              <w:t>请投资者持续关注并及时查看。</w:t>
            </w:r>
          </w:p>
        </w:tc>
      </w:tr>
      <w:tr w14:paraId="1607CD8E">
        <w:tblPrEx>
          <w:tblCellMar>
            <w:top w:w="0" w:type="dxa"/>
            <w:left w:w="108" w:type="dxa"/>
            <w:bottom w:w="0" w:type="dxa"/>
            <w:right w:w="108" w:type="dxa"/>
          </w:tblCellMar>
        </w:tblPrEx>
        <w:trPr>
          <w:trHeight w:val="1010" w:hRule="atLeast"/>
        </w:trPr>
        <w:tc>
          <w:tcPr>
            <w:tcW w:w="2453" w:type="dxa"/>
            <w:tcBorders>
              <w:top w:val="single" w:color="auto" w:sz="4" w:space="0"/>
              <w:left w:val="single" w:color="auto" w:sz="4" w:space="0"/>
              <w:bottom w:val="single" w:color="auto" w:sz="4" w:space="0"/>
              <w:right w:val="single" w:color="auto" w:sz="4" w:space="0"/>
            </w:tcBorders>
            <w:vAlign w:val="center"/>
          </w:tcPr>
          <w:p w14:paraId="5955AB65">
            <w:pPr>
              <w:widowControl/>
              <w:spacing w:line="560" w:lineRule="exact"/>
              <w:jc w:val="center"/>
              <w:textAlignment w:val="center"/>
              <w:rPr>
                <w:rFonts w:hint="eastAsia" w:ascii="仿宋_GB2312" w:hAnsi="等线" w:eastAsia="仿宋_GB2312" w:cs="仿宋_GB2312"/>
                <w:color w:val="auto"/>
                <w:sz w:val="24"/>
                <w:highlight w:val="none"/>
              </w:rPr>
            </w:pPr>
            <w:r>
              <w:rPr>
                <w:rFonts w:hint="eastAsia" w:ascii="仿宋_GB2312" w:hAnsi="等线" w:eastAsia="仿宋_GB2312" w:cs="仿宋_GB2312"/>
                <w:color w:val="auto"/>
                <w:kern w:val="0"/>
                <w:sz w:val="24"/>
                <w:highlight w:val="none"/>
                <w:lang w:bidi="ar"/>
              </w:rPr>
              <w:t>其他约定</w:t>
            </w:r>
          </w:p>
        </w:tc>
        <w:tc>
          <w:tcPr>
            <w:tcW w:w="6972" w:type="dxa"/>
            <w:tcBorders>
              <w:top w:val="single" w:color="auto" w:sz="4" w:space="0"/>
              <w:left w:val="single" w:color="auto" w:sz="4" w:space="0"/>
              <w:bottom w:val="single" w:color="auto" w:sz="4" w:space="0"/>
              <w:right w:val="single" w:color="auto" w:sz="4" w:space="0"/>
            </w:tcBorders>
            <w:vAlign w:val="center"/>
          </w:tcPr>
          <w:p w14:paraId="0975D7F6">
            <w:pPr>
              <w:snapToGrid w:val="0"/>
              <w:jc w:val="left"/>
              <w:rPr>
                <w:rFonts w:ascii="宋体" w:hAnsi="宋体"/>
                <w:b/>
                <w:bCs/>
                <w:iCs/>
                <w:color w:val="auto"/>
                <w:szCs w:val="24"/>
                <w:highlight w:val="none"/>
                <w:u w:val="none"/>
              </w:rPr>
            </w:pPr>
            <w:r>
              <w:rPr>
                <w:rFonts w:ascii="宋体" w:hAnsi="宋体"/>
                <w:b/>
                <w:bCs/>
                <w:iCs/>
                <w:color w:val="auto"/>
                <w:szCs w:val="24"/>
                <w:highlight w:val="none"/>
                <w:u w:val="none"/>
              </w:rPr>
              <w:t>1.</w:t>
            </w:r>
            <w:r>
              <w:rPr>
                <w:rFonts w:hint="eastAsia" w:ascii="宋体" w:hAnsi="宋体"/>
                <w:b/>
                <w:bCs/>
                <w:iCs/>
                <w:color w:val="auto"/>
                <w:szCs w:val="24"/>
                <w:highlight w:val="none"/>
                <w:u w:val="none"/>
              </w:rPr>
              <w:t>募集期内认购资金是否计息以销售机构为准，但利息不计入认购本金份额。</w:t>
            </w:r>
          </w:p>
          <w:p w14:paraId="23EB60CB">
            <w:pPr>
              <w:widowControl/>
              <w:snapToGrid w:val="0"/>
              <w:spacing w:line="240" w:lineRule="auto"/>
              <w:jc w:val="left"/>
              <w:textAlignment w:val="auto"/>
              <w:rPr>
                <w:rFonts w:hint="eastAsia" w:ascii="宋体" w:hAnsi="宋体"/>
                <w:b/>
                <w:bCs/>
                <w:iCs/>
                <w:color w:val="auto"/>
                <w:szCs w:val="24"/>
                <w:highlight w:val="none"/>
                <w:u w:val="none"/>
              </w:rPr>
            </w:pPr>
            <w:r>
              <w:rPr>
                <w:rFonts w:hint="eastAsia" w:ascii="宋体" w:hAnsi="宋体"/>
                <w:b/>
                <w:bCs/>
                <w:iCs/>
                <w:color w:val="auto"/>
                <w:szCs w:val="24"/>
                <w:highlight w:val="none"/>
                <w:u w:val="none"/>
              </w:rPr>
              <w:t>2.本产品到期日（或提前/延期终止日）至资金到账日期间，投资者理财资金如因清算安排实际产生利息的，相关利息归投资者所有。</w:t>
            </w:r>
          </w:p>
          <w:p w14:paraId="79A6F380">
            <w:pPr>
              <w:widowControl/>
              <w:snapToGrid w:val="0"/>
              <w:spacing w:line="240" w:lineRule="auto"/>
              <w:jc w:val="left"/>
              <w:textAlignment w:val="auto"/>
              <w:rPr>
                <w:rFonts w:hint="eastAsia" w:ascii="仿宋_GB2312" w:hAnsi="等线" w:eastAsia="仿宋_GB2312" w:cs="仿宋_GB2312"/>
                <w:bCs/>
                <w:color w:val="auto"/>
                <w:sz w:val="24"/>
                <w:highlight w:val="none"/>
              </w:rPr>
            </w:pPr>
            <w:r>
              <w:rPr>
                <w:rFonts w:hint="eastAsia" w:ascii="宋体" w:hAnsi="宋体"/>
                <w:b/>
                <w:bCs/>
                <w:iCs/>
                <w:color w:val="auto"/>
                <w:szCs w:val="24"/>
                <w:highlight w:val="none"/>
                <w:u w:val="none"/>
              </w:rPr>
              <w:t>3.理财产品份额转让</w:t>
            </w:r>
            <w:r>
              <w:rPr>
                <w:rFonts w:ascii="宋体" w:hAnsi="宋体"/>
                <w:b/>
                <w:bCs/>
                <w:iCs/>
                <w:color w:val="auto"/>
                <w:szCs w:val="24"/>
                <w:highlight w:val="none"/>
                <w:u w:val="none"/>
              </w:rPr>
              <w:t>、</w:t>
            </w:r>
            <w:r>
              <w:rPr>
                <w:rFonts w:hint="eastAsia" w:ascii="宋体" w:hAnsi="宋体"/>
                <w:b/>
                <w:bCs/>
                <w:iCs/>
                <w:color w:val="auto"/>
                <w:szCs w:val="24"/>
                <w:highlight w:val="none"/>
                <w:u w:val="none"/>
              </w:rPr>
              <w:t>质押将依照销售机构</w:t>
            </w:r>
            <w:r>
              <w:rPr>
                <w:rFonts w:hint="eastAsia" w:ascii="宋体" w:hAnsi="宋体"/>
                <w:b/>
                <w:bCs/>
                <w:iCs/>
                <w:color w:val="auto"/>
                <w:szCs w:val="24"/>
                <w:highlight w:val="none"/>
                <w:u w:val="none"/>
                <w:lang w:eastAsia="zh-CN"/>
              </w:rPr>
              <w:t>与管理人</w:t>
            </w:r>
            <w:r>
              <w:rPr>
                <w:rFonts w:hint="eastAsia" w:ascii="宋体" w:hAnsi="宋体"/>
                <w:b/>
                <w:bCs/>
                <w:iCs/>
                <w:color w:val="auto"/>
                <w:szCs w:val="24"/>
                <w:highlight w:val="none"/>
                <w:u w:val="none"/>
              </w:rPr>
              <w:t>的业务政策执行。</w:t>
            </w:r>
          </w:p>
        </w:tc>
      </w:tr>
    </w:tbl>
    <w:p w14:paraId="0D90CD42">
      <w:pPr>
        <w:keepNext w:val="0"/>
        <w:keepLines w:val="0"/>
        <w:widowControl/>
        <w:suppressLineNumbers w:val="0"/>
        <w:jc w:val="center"/>
        <w:rPr>
          <w:rFonts w:ascii="宋体" w:hAnsi="宋体" w:eastAsia="宋体" w:cs="宋体"/>
          <w:b/>
          <w:bCs/>
          <w:color w:val="auto"/>
          <w:kern w:val="0"/>
          <w:sz w:val="20"/>
          <w:szCs w:val="20"/>
          <w:highlight w:val="none"/>
          <w:lang w:val="en-US" w:eastAsia="zh-CN" w:bidi="ar"/>
        </w:rPr>
      </w:pPr>
    </w:p>
    <w:p w14:paraId="7ED985D6">
      <w:pPr>
        <w:pStyle w:val="2"/>
        <w:rPr>
          <w:color w:val="auto"/>
          <w:highlight w:val="none"/>
        </w:rPr>
      </w:pPr>
      <w:r>
        <w:rPr>
          <w:rFonts w:hint="eastAsia" w:ascii="黑体" w:hAnsi="宋体" w:eastAsia="黑体" w:cs="宋体"/>
          <w:bCs/>
          <w:color w:val="auto"/>
          <w:kern w:val="0"/>
          <w:sz w:val="28"/>
          <w:szCs w:val="28"/>
          <w:highlight w:val="none"/>
        </w:rPr>
        <w:t>重要提示</w:t>
      </w:r>
    </w:p>
    <w:p w14:paraId="3B68D1D4">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cs="宋体" w:hAnsiTheme="minorEastAsia"/>
          <w:b/>
          <w:bCs/>
          <w:color w:val="auto"/>
          <w:kern w:val="0"/>
          <w:szCs w:val="32"/>
          <w:highlight w:val="none"/>
        </w:rPr>
        <w:t>●</w:t>
      </w:r>
      <w:r>
        <w:rPr>
          <w:rFonts w:hint="eastAsia" w:ascii="仿宋_GB2312" w:hAnsi="宋体" w:cs="宋体"/>
          <w:b/>
          <w:bCs/>
          <w:color w:val="auto"/>
          <w:kern w:val="0"/>
          <w:szCs w:val="24"/>
          <w:highlight w:val="none"/>
        </w:rPr>
        <w:t>理财非存款、产品有风险、投资须谨慎。</w:t>
      </w:r>
    </w:p>
    <w:p w14:paraId="040AE36C">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●浙银理财有限责任公司（以下称“浙银</w:t>
      </w:r>
      <w:r>
        <w:rPr>
          <w:rFonts w:ascii="仿宋_GB2312" w:hAnsi="宋体" w:cs="宋体"/>
          <w:b/>
          <w:bCs/>
          <w:color w:val="auto"/>
          <w:kern w:val="0"/>
          <w:szCs w:val="24"/>
          <w:highlight w:val="none"/>
        </w:rPr>
        <w:t>理财</w:t>
      </w:r>
      <w:r>
        <w:rPr>
          <w:rFonts w:hint="eastAsia" w:ascii="仿宋_GB2312" w:hAnsi="宋体" w:cs="宋体"/>
          <w:b/>
          <w:bCs/>
          <w:color w:val="auto"/>
          <w:kern w:val="0"/>
          <w:szCs w:val="24"/>
          <w:highlight w:val="none"/>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color w:val="auto"/>
          <w:highlight w:val="none"/>
        </w:rPr>
        <w:t>。</w:t>
      </w:r>
    </w:p>
    <w:p w14:paraId="76A9D28B">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本理财产品说明书与《风险揭示书》《投资协议书》《投资者权益须知》《（代理）销售协议书》等共同构成本理财产品完整</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不可</w:t>
      </w:r>
      <w:r>
        <w:rPr>
          <w:rFonts w:hint="eastAsia" w:ascii="仿宋_GB2312" w:hAnsi="宋体" w:cs="宋体"/>
          <w:bCs/>
          <w:color w:val="auto"/>
          <w:kern w:val="0"/>
          <w:szCs w:val="24"/>
          <w:highlight w:val="none"/>
        </w:rPr>
        <w:t>分割</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销售文件。</w:t>
      </w:r>
      <w:r>
        <w:rPr>
          <w:rFonts w:hint="eastAsia" w:ascii="仿宋_GB2312" w:hAnsi="宋体" w:cs="宋体"/>
          <w:b/>
          <w:bCs/>
          <w:color w:val="auto"/>
          <w:kern w:val="0"/>
          <w:szCs w:val="24"/>
          <w:highlight w:val="none"/>
        </w:rPr>
        <w:t>为了维护投资者的合法权益，请在投资前仔细阅读本说明书及其他销售文件，了解理财产品具体情况。</w:t>
      </w:r>
    </w:p>
    <w:p w14:paraId="1DD07D77">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本理财产品为</w:t>
      </w:r>
      <w:r>
        <w:rPr>
          <w:rFonts w:hint="eastAsia" w:ascii="仿宋_GB2312" w:hAnsi="宋体" w:cs="宋体"/>
          <w:b/>
          <w:bCs/>
          <w:color w:val="auto"/>
          <w:kern w:val="0"/>
          <w:szCs w:val="24"/>
          <w:highlight w:val="none"/>
        </w:rPr>
        <w:t>非保本浮动收益型理财产品，与银行存款存在显著区别，不受</w:t>
      </w:r>
      <w:r>
        <w:rPr>
          <w:rFonts w:hint="eastAsia" w:ascii="仿宋_GB2312" w:cs="宋体" w:hAnsiTheme="minorEastAsia"/>
          <w:b/>
          <w:bCs/>
          <w:color w:val="auto"/>
          <w:kern w:val="0"/>
          <w:szCs w:val="32"/>
          <w:highlight w:val="none"/>
        </w:rPr>
        <w:t>存款保险及其他保障机制的保障。</w:t>
      </w:r>
      <w:r>
        <w:rPr>
          <w:rFonts w:hint="eastAsia" w:ascii="仿宋_GB2312" w:hAnsi="宋体" w:cs="宋体"/>
          <w:b/>
          <w:bCs/>
          <w:color w:val="auto"/>
          <w:kern w:val="0"/>
          <w:szCs w:val="24"/>
          <w:highlight w:val="none"/>
        </w:rPr>
        <w:t>本理财产品不保证投资者理财本金安全及最低收益，投资者投资/持有本理财产品可能因市场变化、突发事件等因素遭受收益乃至本金损失</w:t>
      </w:r>
      <w:r>
        <w:rPr>
          <w:rFonts w:hint="eastAsia" w:ascii="仿宋_GB2312" w:cs="宋体" w:hAnsiTheme="minorEastAsia"/>
          <w:b/>
          <w:bCs/>
          <w:color w:val="auto"/>
          <w:kern w:val="0"/>
          <w:szCs w:val="32"/>
          <w:highlight w:val="none"/>
        </w:rPr>
        <w:t>，</w:t>
      </w:r>
      <w:r>
        <w:rPr>
          <w:rFonts w:hint="eastAsia" w:cs="宋体" w:asciiTheme="minorEastAsia" w:hAnsiTheme="minorEastAsia"/>
          <w:b/>
          <w:bCs/>
          <w:color w:val="auto"/>
          <w:kern w:val="0"/>
          <w:szCs w:val="24"/>
          <w:highlight w:val="none"/>
        </w:rPr>
        <w:t>请</w:t>
      </w:r>
      <w:r>
        <w:rPr>
          <w:rFonts w:hint="eastAsia" w:ascii="仿宋_GB2312" w:hAnsi="宋体" w:cs="宋体"/>
          <w:b/>
          <w:bCs/>
          <w:color w:val="auto"/>
          <w:kern w:val="0"/>
          <w:szCs w:val="24"/>
          <w:highlight w:val="none"/>
        </w:rPr>
        <w:t>投资者充分知晓、理解投资风险，谨慎投资。</w:t>
      </w:r>
    </w:p>
    <w:p w14:paraId="02E65F44">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hint="eastAsia" w:ascii="仿宋_GB2312" w:hAnsi="宋体" w:cs="宋体"/>
          <w:b/>
          <w:bCs/>
          <w:color w:val="auto"/>
          <w:kern w:val="0"/>
          <w:szCs w:val="24"/>
          <w:highlight w:val="none"/>
        </w:rPr>
        <w:t>请投资者仔细阅读《风险揭示书》。●本理财产品销售文件中的任何“业绩比较基准”“业绩比较基准区间”以及其他类似表述均不代表投资者可能获得的实际收益，亦不构成管理人对本理财产品的任何收益承诺，不具有法律效力。</w:t>
      </w:r>
    </w:p>
    <w:p w14:paraId="7392570B">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w:t>
      </w:r>
      <w:r>
        <w:rPr>
          <w:rFonts w:ascii="仿宋_GB2312" w:hAnsi="宋体" w:cs="宋体"/>
          <w:b/>
          <w:bCs/>
          <w:color w:val="auto"/>
          <w:kern w:val="0"/>
          <w:szCs w:val="24"/>
          <w:highlight w:val="none"/>
        </w:rPr>
        <w:t>产品的投资运作情况体现为产品净值变化，</w:t>
      </w:r>
      <w:r>
        <w:rPr>
          <w:rFonts w:hint="eastAsia" w:ascii="仿宋_GB2312" w:hAnsi="宋体" w:cs="宋体"/>
          <w:b/>
          <w:bCs/>
          <w:color w:val="auto"/>
          <w:kern w:val="0"/>
          <w:szCs w:val="24"/>
          <w:highlight w:val="none"/>
        </w:rPr>
        <w:t>投资者最终理财收益以实际到账为准。本理财产品过往业绩不代表其未来表现，不等于投资者未来可获得的实际收益。</w:t>
      </w:r>
    </w:p>
    <w:p w14:paraId="6A6A7F0E">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●本理财产品仅向依据中华人民共和国法律法规及监管规定可以购买本类理财产品的投资者发售。</w:t>
      </w:r>
      <w:r>
        <w:rPr>
          <w:rFonts w:ascii="仿宋_GB2312" w:hAnsi="宋体" w:cs="宋体"/>
          <w:b/>
          <w:color w:val="auto"/>
          <w:kern w:val="0"/>
          <w:szCs w:val="24"/>
          <w:highlight w:val="none"/>
        </w:rPr>
        <w:t>投资者通过销售机构与浙银理财签订理财产品销售文件后，销售机构或浙银理财在划款时，不再通过任何方式与投资者进行最后确认，直接划款。</w:t>
      </w:r>
      <w:r>
        <w:rPr>
          <w:rFonts w:hint="eastAsia"/>
          <w:b/>
          <w:color w:val="auto"/>
          <w:highlight w:val="none"/>
        </w:rPr>
        <w:t>投</w:t>
      </w:r>
      <w:r>
        <w:rPr>
          <w:rFonts w:ascii="仿宋_GB2312" w:hAnsi="宋体" w:cs="宋体"/>
          <w:b/>
          <w:color w:val="auto"/>
          <w:kern w:val="0"/>
          <w:szCs w:val="24"/>
          <w:highlight w:val="none"/>
        </w:rPr>
        <w:t>资者通过销售机构电子渠道购买本理财产品，成功提交认购/申购申请后视同为投资者已完全知悉并接受本理财产品销售文件载明的风险揭示、重要提示以及其他约定，与浙银理财已完成理财产品销售</w:t>
      </w:r>
      <w:r>
        <w:rPr>
          <w:rFonts w:hint="eastAsia" w:ascii="仿宋_GB2312" w:hAnsi="宋体" w:cs="宋体"/>
          <w:b/>
          <w:color w:val="auto"/>
          <w:kern w:val="0"/>
          <w:szCs w:val="24"/>
          <w:highlight w:val="none"/>
        </w:rPr>
        <w:t>文件</w:t>
      </w:r>
      <w:r>
        <w:rPr>
          <w:rFonts w:ascii="仿宋_GB2312" w:hAnsi="宋体" w:cs="宋体"/>
          <w:b/>
          <w:color w:val="auto"/>
          <w:kern w:val="0"/>
          <w:szCs w:val="24"/>
          <w:highlight w:val="none"/>
        </w:rPr>
        <w:t>的签订。</w:t>
      </w:r>
    </w:p>
    <w:p w14:paraId="776A8C60">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投资本理财产品后，投资者应随时关注本理财产品的信息披露情况，及时获取相关信息</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相关信息以销售文件约定的信息披露方式进行披露。</w:t>
      </w:r>
    </w:p>
    <w:p w14:paraId="68E4F8F5">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投资者承诺其用于购买本理财产品的资金来源合法合规，并且其系为合法之目的投资本理财产品，而非为洗钱等违法犯罪目的</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投资者应确保用于投资本理财产品的资金不来源于贷款、发行债券等筹集的非自有资金。（受托管理的资产管理产品除外）</w:t>
      </w:r>
    </w:p>
    <w:p w14:paraId="40B97E61">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ascii="仿宋_GB2312" w:hAnsi="宋体" w:cs="宋体"/>
          <w:b/>
          <w:color w:val="auto"/>
          <w:kern w:val="0"/>
          <w:szCs w:val="24"/>
          <w:highlight w:val="none"/>
        </w:rPr>
        <w:t>在本理财产品存续期内，</w:t>
      </w:r>
      <w:r>
        <w:rPr>
          <w:rFonts w:ascii="仿宋_GB2312" w:cs="宋体" w:hAnsiTheme="minorEastAsia"/>
          <w:b/>
          <w:color w:val="auto"/>
          <w:kern w:val="0"/>
          <w:szCs w:val="32"/>
          <w:highlight w:val="none"/>
        </w:rPr>
        <w:t>如因维持本理财产品正常运营的需要且在不损害投资者利益的前提下，或因监管政策、法律法规发生变化</w:t>
      </w:r>
      <w:r>
        <w:rPr>
          <w:rFonts w:ascii="仿宋_GB2312" w:hAnsi="宋体" w:cs="宋体"/>
          <w:b/>
          <w:color w:val="auto"/>
          <w:kern w:val="0"/>
          <w:szCs w:val="24"/>
          <w:highlight w:val="none"/>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14:paraId="62D17882">
      <w:pPr>
        <w:tabs>
          <w:tab w:val="left" w:pos="709"/>
        </w:tabs>
        <w:snapToGrid w:val="0"/>
        <w:spacing w:line="360" w:lineRule="auto"/>
        <w:rPr>
          <w:color w:val="auto"/>
          <w:highlight w:val="none"/>
        </w:rPr>
      </w:pPr>
      <w:r>
        <w:rPr>
          <w:rFonts w:hint="eastAsia" w:ascii="仿宋_GB2312" w:cs="宋体" w:hAnsiTheme="minorEastAsia"/>
          <w:bCs/>
          <w:color w:val="auto"/>
          <w:kern w:val="0"/>
          <w:szCs w:val="32"/>
          <w:highlight w:val="none"/>
        </w:rPr>
        <w:t>●如对本理财产品、服务有任何疑问、</w:t>
      </w:r>
      <w:r>
        <w:rPr>
          <w:rFonts w:hint="eastAsia" w:ascii="仿宋_GB2312" w:cs="宋体" w:hAnsiTheme="minorEastAsia"/>
          <w:bCs/>
          <w:color w:val="auto"/>
          <w:kern w:val="0"/>
          <w:szCs w:val="32"/>
          <w:highlight w:val="none"/>
          <w:u w:val="none"/>
        </w:rPr>
        <w:t>意见或建议，敬请联系您的销售服务机构，具体联系方式以《产品说明书》等销售文件的披露为准；或反馈至浙银理财服务电话：0571-57192881。</w:t>
      </w:r>
    </w:p>
    <w:p w14:paraId="1D4A27AA">
      <w:pPr>
        <w:rPr>
          <w:color w:val="auto"/>
          <w:highlight w:val="none"/>
        </w:rPr>
      </w:pPr>
      <w:r>
        <w:rPr>
          <w:color w:val="auto"/>
          <w:highlight w:val="none"/>
        </w:rPr>
        <w:br w:type="page"/>
      </w:r>
    </w:p>
    <w:p w14:paraId="5EBEE901">
      <w:pPr>
        <w:pStyle w:val="2"/>
        <w:rPr>
          <w:color w:val="auto"/>
          <w:highlight w:val="none"/>
        </w:rPr>
      </w:pPr>
      <w:r>
        <w:rPr>
          <w:rFonts w:hint="eastAsia"/>
          <w:color w:val="auto"/>
          <w:highlight w:val="none"/>
        </w:rPr>
        <w:t>释义</w:t>
      </w:r>
    </w:p>
    <w:p w14:paraId="118B0A0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本说明书中，除非另有明确说明，否则下列词语或简称具有如下含义：</w:t>
      </w:r>
    </w:p>
    <w:p w14:paraId="3588EDB6">
      <w:pPr>
        <w:pStyle w:val="3"/>
        <w:ind w:firstLine="482"/>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产品参与主体用语</w:t>
      </w:r>
    </w:p>
    <w:p w14:paraId="6519F176">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ascii="仿宋_GB2312" w:hAnsi="宋体" w:cs="宋体"/>
          <w:bCs/>
          <w:color w:val="auto"/>
          <w:kern w:val="0"/>
          <w:szCs w:val="24"/>
          <w:highlight w:val="none"/>
          <w:u w:val="none"/>
        </w:rPr>
        <w:t>管理人/产品管理人/理财产品管理人</w:t>
      </w:r>
      <w:r>
        <w:rPr>
          <w:rFonts w:hint="eastAsia" w:ascii="仿宋_GB2312" w:hAnsi="宋体" w:cs="宋体"/>
          <w:bCs/>
          <w:color w:val="auto"/>
          <w:kern w:val="0"/>
          <w:szCs w:val="24"/>
          <w:highlight w:val="none"/>
          <w:u w:val="none"/>
          <w:lang w:val="en-US" w:eastAsia="zh-CN"/>
        </w:rPr>
        <w:t>/发行机构</w:t>
      </w:r>
      <w:r>
        <w:rPr>
          <w:rFonts w:ascii="仿宋_GB2312" w:hAnsi="宋体" w:cs="宋体"/>
          <w:bCs/>
          <w:color w:val="auto"/>
          <w:kern w:val="0"/>
          <w:szCs w:val="24"/>
          <w:highlight w:val="none"/>
          <w:u w:val="none"/>
        </w:rPr>
        <w:t>：指浙银理财有限责任公司（简称“浙银理财”）。</w:t>
      </w:r>
    </w:p>
    <w:p w14:paraId="7CB6CD0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w:t>
      </w:r>
      <w:r>
        <w:rPr>
          <w:rFonts w:hint="eastAsia" w:ascii="仿宋_GB2312" w:hAnsi="宋体" w:cs="宋体"/>
          <w:bCs/>
          <w:color w:val="auto"/>
          <w:kern w:val="0"/>
          <w:szCs w:val="24"/>
          <w:highlight w:val="none"/>
          <w:u w:val="none"/>
        </w:rPr>
        <w:t>销售机构/理财产品销售机构：指符合</w:t>
      </w:r>
      <w:r>
        <w:rPr>
          <w:rFonts w:ascii="仿宋_GB2312" w:hAnsi="宋体" w:cs="宋体"/>
          <w:bCs/>
          <w:color w:val="auto"/>
          <w:kern w:val="0"/>
          <w:szCs w:val="24"/>
          <w:highlight w:val="none"/>
          <w:u w:val="none"/>
        </w:rPr>
        <w:t>监管</w:t>
      </w:r>
      <w:r>
        <w:rPr>
          <w:rFonts w:hint="eastAsia" w:ascii="仿宋_GB2312" w:hAnsi="宋体" w:cs="宋体"/>
          <w:bCs/>
          <w:color w:val="auto"/>
          <w:kern w:val="0"/>
          <w:szCs w:val="24"/>
          <w:highlight w:val="none"/>
          <w:u w:val="none"/>
        </w:rPr>
        <w:t>规定</w:t>
      </w:r>
      <w:r>
        <w:rPr>
          <w:rFonts w:ascii="仿宋_GB2312" w:hAnsi="宋体" w:cs="宋体"/>
          <w:bCs/>
          <w:color w:val="auto"/>
          <w:kern w:val="0"/>
          <w:szCs w:val="24"/>
          <w:highlight w:val="none"/>
          <w:u w:val="none"/>
        </w:rPr>
        <w:t>具备理财产品销售资格</w:t>
      </w:r>
      <w:r>
        <w:rPr>
          <w:rFonts w:hint="eastAsia" w:ascii="仿宋_GB2312" w:hAnsi="宋体" w:cs="宋体"/>
          <w:bCs/>
          <w:color w:val="auto"/>
          <w:kern w:val="0"/>
          <w:szCs w:val="24"/>
          <w:highlight w:val="none"/>
          <w:u w:val="none"/>
        </w:rPr>
        <w:t>的</w:t>
      </w:r>
      <w:r>
        <w:rPr>
          <w:rFonts w:ascii="仿宋_GB2312" w:hAnsi="宋体" w:cs="宋体"/>
          <w:bCs/>
          <w:color w:val="auto"/>
          <w:kern w:val="0"/>
          <w:szCs w:val="24"/>
          <w:highlight w:val="none"/>
          <w:u w:val="none"/>
        </w:rPr>
        <w:t>机构</w:t>
      </w: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销售机构在其渠道开展向投资者</w:t>
      </w:r>
      <w:r>
        <w:rPr>
          <w:rFonts w:hint="eastAsia" w:ascii="仿宋_GB2312" w:hAnsi="宋体" w:cs="宋体"/>
          <w:bCs/>
          <w:color w:val="auto"/>
          <w:kern w:val="0"/>
          <w:szCs w:val="24"/>
          <w:highlight w:val="none"/>
          <w:u w:val="none"/>
        </w:rPr>
        <w:t>进行</w:t>
      </w:r>
      <w:r>
        <w:rPr>
          <w:rFonts w:ascii="仿宋_GB2312" w:hAnsi="宋体" w:cs="宋体"/>
          <w:bCs/>
          <w:color w:val="auto"/>
          <w:kern w:val="0"/>
          <w:szCs w:val="24"/>
          <w:highlight w:val="none"/>
          <w:u w:val="none"/>
        </w:rPr>
        <w:t>宣传推介</w:t>
      </w:r>
      <w:r>
        <w:rPr>
          <w:rFonts w:hint="eastAsia" w:ascii="仿宋_GB2312" w:hAnsi="宋体" w:cs="宋体"/>
          <w:bCs/>
          <w:color w:val="auto"/>
          <w:kern w:val="0"/>
          <w:szCs w:val="24"/>
          <w:highlight w:val="none"/>
          <w:u w:val="none"/>
        </w:rPr>
        <w:t>，为</w:t>
      </w:r>
      <w:r>
        <w:rPr>
          <w:rFonts w:ascii="仿宋_GB2312" w:hAnsi="宋体" w:cs="宋体"/>
          <w:bCs/>
          <w:color w:val="auto"/>
          <w:kern w:val="0"/>
          <w:szCs w:val="24"/>
          <w:highlight w:val="none"/>
          <w:u w:val="none"/>
        </w:rPr>
        <w:t>投资者</w:t>
      </w:r>
      <w:r>
        <w:rPr>
          <w:rFonts w:hint="eastAsia" w:ascii="仿宋_GB2312" w:hAnsi="宋体" w:cs="宋体"/>
          <w:bCs/>
          <w:color w:val="auto"/>
          <w:kern w:val="0"/>
          <w:szCs w:val="24"/>
          <w:highlight w:val="none"/>
          <w:u w:val="none"/>
        </w:rPr>
        <w:t>办理理财产品认购、申购和赎回，以及监管许可的其他销售活动。理财</w:t>
      </w:r>
      <w:r>
        <w:rPr>
          <w:rFonts w:ascii="仿宋_GB2312" w:hAnsi="宋体" w:cs="宋体"/>
          <w:bCs/>
          <w:color w:val="auto"/>
          <w:kern w:val="0"/>
          <w:szCs w:val="24"/>
          <w:highlight w:val="none"/>
          <w:u w:val="none"/>
        </w:rPr>
        <w:t>产品</w:t>
      </w:r>
      <w:r>
        <w:rPr>
          <w:rFonts w:hint="eastAsia" w:ascii="仿宋_GB2312" w:hAnsi="宋体" w:cs="宋体"/>
          <w:bCs/>
          <w:color w:val="auto"/>
          <w:kern w:val="0"/>
          <w:szCs w:val="24"/>
          <w:highlight w:val="none"/>
          <w:u w:val="none"/>
        </w:rPr>
        <w:t>销售可分为直销和代理</w:t>
      </w:r>
      <w:r>
        <w:rPr>
          <w:rFonts w:ascii="仿宋_GB2312" w:hAnsi="宋体" w:cs="宋体"/>
          <w:bCs/>
          <w:color w:val="auto"/>
          <w:kern w:val="0"/>
          <w:szCs w:val="24"/>
          <w:highlight w:val="none"/>
          <w:u w:val="none"/>
        </w:rPr>
        <w:t>销售</w:t>
      </w:r>
      <w:r>
        <w:rPr>
          <w:rFonts w:hint="eastAsia" w:ascii="仿宋_GB2312" w:hAnsi="宋体" w:cs="宋体"/>
          <w:bCs/>
          <w:color w:val="auto"/>
          <w:kern w:val="0"/>
          <w:szCs w:val="24"/>
          <w:highlight w:val="none"/>
          <w:u w:val="none"/>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7A297EF9">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3.</w:t>
      </w:r>
      <w:r>
        <w:rPr>
          <w:rFonts w:hint="eastAsia" w:ascii="仿宋_GB2312" w:hAnsi="宋体" w:cs="宋体"/>
          <w:bCs/>
          <w:color w:val="auto"/>
          <w:kern w:val="0"/>
          <w:szCs w:val="24"/>
          <w:highlight w:val="none"/>
          <w:u w:val="none"/>
        </w:rPr>
        <w:t>托管人</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产品托管人</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理财产品托管人</w:t>
      </w:r>
      <w:r>
        <w:rPr>
          <w:rFonts w:hint="eastAsia" w:ascii="仿宋_GB2312" w:hAnsi="宋体" w:cs="宋体"/>
          <w:bCs/>
          <w:color w:val="auto"/>
          <w:kern w:val="0"/>
          <w:szCs w:val="24"/>
          <w:highlight w:val="none"/>
          <w:u w:val="none"/>
          <w:lang w:val="en-US" w:eastAsia="zh-CN"/>
        </w:rPr>
        <w:t>/托管机构</w:t>
      </w: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指</w:t>
      </w:r>
      <w:r>
        <w:rPr>
          <w:rFonts w:hint="eastAsia" w:ascii="仿宋_GB2312" w:hAnsi="宋体" w:cs="宋体"/>
          <w:bCs/>
          <w:color w:val="auto"/>
          <w:kern w:val="0"/>
          <w:szCs w:val="24"/>
          <w:highlight w:val="none"/>
          <w:u w:val="none"/>
        </w:rPr>
        <w:t>根据管理人委托对理财产品财产进行托管的机构。本理财</w:t>
      </w:r>
      <w:r>
        <w:rPr>
          <w:rFonts w:ascii="仿宋_GB2312" w:hAnsi="宋体" w:cs="宋体"/>
          <w:bCs/>
          <w:color w:val="auto"/>
          <w:kern w:val="0"/>
          <w:szCs w:val="24"/>
          <w:highlight w:val="none"/>
          <w:u w:val="none"/>
        </w:rPr>
        <w:t>产品托管人</w:t>
      </w:r>
      <w:r>
        <w:rPr>
          <w:rFonts w:hint="eastAsia" w:ascii="仿宋_GB2312" w:hAnsi="宋体" w:cs="宋体"/>
          <w:bCs/>
          <w:color w:val="auto"/>
          <w:kern w:val="0"/>
          <w:szCs w:val="24"/>
          <w:highlight w:val="none"/>
          <w:u w:val="none"/>
        </w:rPr>
        <w:t>指浙商银行股份有限公司（简称</w:t>
      </w:r>
      <w:r>
        <w:rPr>
          <w:rFonts w:hint="eastAsia" w:ascii="仿宋_GB2312" w:hAnsi="宋体" w:cs="宋体"/>
          <w:bCs/>
          <w:color w:val="auto"/>
          <w:kern w:val="0"/>
          <w:szCs w:val="24"/>
          <w:highlight w:val="none"/>
          <w:u w:val="none"/>
          <w:lang w:eastAsia="zh-CN"/>
        </w:rPr>
        <w:t>浙商银行</w:t>
      </w:r>
      <w:r>
        <w:rPr>
          <w:rFonts w:hint="eastAsia" w:ascii="仿宋_GB2312" w:hAnsi="宋体" w:cs="宋体"/>
          <w:bCs/>
          <w:color w:val="auto"/>
          <w:kern w:val="0"/>
          <w:szCs w:val="24"/>
          <w:highlight w:val="none"/>
          <w:u w:val="none"/>
        </w:rPr>
        <w:t>）。浙商</w:t>
      </w:r>
      <w:r>
        <w:rPr>
          <w:rFonts w:hint="eastAsia" w:ascii="仿宋_GB2312" w:hAnsi="宋体" w:cs="宋体"/>
          <w:bCs/>
          <w:color w:val="auto"/>
          <w:kern w:val="0"/>
          <w:szCs w:val="24"/>
          <w:highlight w:val="none"/>
          <w:u w:val="none"/>
          <w:lang w:eastAsia="zh-CN"/>
        </w:rPr>
        <w:t>银行</w:t>
      </w:r>
      <w:r>
        <w:rPr>
          <w:rFonts w:hint="eastAsia" w:ascii="仿宋_GB2312" w:hAnsi="宋体" w:cs="宋体"/>
          <w:bCs/>
          <w:color w:val="auto"/>
          <w:kern w:val="0"/>
          <w:szCs w:val="24"/>
          <w:highlight w:val="none"/>
          <w:u w:val="none"/>
        </w:rPr>
        <w:t>具备理财产品托管资格。</w:t>
      </w:r>
    </w:p>
    <w:p w14:paraId="757B95D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4.投资者：指符合相关法律法规、监管规定要求的，可以购买理财产品份额的自然人、法人及</w:t>
      </w:r>
      <w:r>
        <w:rPr>
          <w:rFonts w:ascii="仿宋_GB2312" w:hAnsi="宋体" w:cs="宋体"/>
          <w:bCs/>
          <w:color w:val="auto"/>
          <w:kern w:val="0"/>
          <w:szCs w:val="24"/>
          <w:highlight w:val="none"/>
          <w:u w:val="none"/>
        </w:rPr>
        <w:t>依法成立的</w:t>
      </w:r>
      <w:r>
        <w:rPr>
          <w:rFonts w:hint="eastAsia" w:ascii="仿宋_GB2312" w:hAnsi="宋体" w:cs="宋体"/>
          <w:bCs/>
          <w:color w:val="auto"/>
          <w:kern w:val="0"/>
          <w:szCs w:val="24"/>
          <w:highlight w:val="none"/>
          <w:u w:val="none"/>
        </w:rPr>
        <w:t>其他</w:t>
      </w:r>
      <w:r>
        <w:rPr>
          <w:rFonts w:ascii="仿宋_GB2312" w:hAnsi="宋体" w:cs="宋体"/>
          <w:bCs/>
          <w:color w:val="auto"/>
          <w:kern w:val="0"/>
          <w:szCs w:val="24"/>
          <w:highlight w:val="none"/>
          <w:u w:val="none"/>
        </w:rPr>
        <w:t>组织</w:t>
      </w:r>
      <w:r>
        <w:rPr>
          <w:rFonts w:hint="eastAsia" w:ascii="仿宋_GB2312" w:hAnsi="宋体" w:cs="宋体"/>
          <w:bCs/>
          <w:color w:val="auto"/>
          <w:kern w:val="0"/>
          <w:szCs w:val="24"/>
          <w:highlight w:val="none"/>
          <w:u w:val="none"/>
        </w:rPr>
        <w:t xml:space="preserve">。 </w:t>
      </w:r>
    </w:p>
    <w:p w14:paraId="25A104A4">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5.合格投资者：合格投资者是指具备相应风险识别能力和风险承受能力，投资于单只理财产品不低于一定金额且符合下列条件的自然人、法人或者依法成立的其他组织：</w:t>
      </w:r>
    </w:p>
    <w:p w14:paraId="3A228F62">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lang w:val="en-US" w:eastAsia="zh-CN"/>
        </w:rPr>
        <w:t>1</w:t>
      </w: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rPr>
        <w:t>具有2年以上投资经历，且满足家庭金融净资产不低于300万元人民币，或者家庭金融资产不低于500万元人民币，或者近3年本人年均收入不低于40万元人民币；</w:t>
      </w:r>
    </w:p>
    <w:p w14:paraId="416D0AE8">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lang w:val="en-US" w:eastAsia="zh-CN"/>
        </w:rPr>
        <w:t>2</w:t>
      </w: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rPr>
        <w:t>最近1年末净资产不低于1000万元人民币的法人或者依法成立的其他组织；</w:t>
      </w:r>
    </w:p>
    <w:p w14:paraId="5A075DE8">
      <w:pPr>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lang w:val="en-US" w:eastAsia="zh-CN"/>
        </w:rPr>
        <w:t>3</w:t>
      </w: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rPr>
        <w:t>国务院银行业监督管理机构规定的其他情形。</w:t>
      </w:r>
    </w:p>
    <w:p w14:paraId="39399841">
      <w:pPr>
        <w:tabs>
          <w:tab w:val="left" w:pos="709"/>
        </w:tabs>
        <w:snapToGrid w:val="0"/>
        <w:spacing w:line="360" w:lineRule="auto"/>
        <w:ind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6.专业投资者：符合下列条件之一的是专业投资者：</w:t>
      </w:r>
    </w:p>
    <w:p w14:paraId="01BA87F7">
      <w:pPr>
        <w:tabs>
          <w:tab w:val="left" w:pos="709"/>
        </w:tabs>
        <w:snapToGrid w:val="0"/>
        <w:spacing w:line="360" w:lineRule="auto"/>
        <w:ind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（1）银行业金融机构、保险业金融机构、金融控股公司、证券基金期货经营机构、私募基金管理人；</w:t>
      </w:r>
    </w:p>
    <w:p w14:paraId="3AD6BF56">
      <w:pPr>
        <w:tabs>
          <w:tab w:val="left" w:pos="709"/>
        </w:tabs>
        <w:snapToGrid w:val="0"/>
        <w:spacing w:line="360" w:lineRule="auto"/>
        <w:ind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（2）上述机构面向投资者发行的金融产品，信托公司管理的资产服务信托、公益慈善信托；</w:t>
      </w:r>
    </w:p>
    <w:p w14:paraId="1D9F3E88">
      <w:pPr>
        <w:tabs>
          <w:tab w:val="left" w:pos="709"/>
        </w:tabs>
        <w:snapToGrid w:val="0"/>
        <w:spacing w:line="360" w:lineRule="auto"/>
        <w:ind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（3）社会保障基金、企业年金、职业年金等养老基金，慈善基金等社会公益基金，合格境外机构投资者（QFII）、人民币合格境外机构投资者（RQFII）。</w:t>
      </w:r>
    </w:p>
    <w:p w14:paraId="38408B58">
      <w:pPr>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7.普通投资者：专业投资者之外的投资者为普通投资者。</w:t>
      </w:r>
    </w:p>
    <w:p w14:paraId="054E7B2D">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8</w:t>
      </w:r>
      <w:r>
        <w:rPr>
          <w:rFonts w:hint="eastAsia" w:ascii="仿宋_GB2312" w:hAnsi="宋体" w:cs="宋体"/>
          <w:bCs/>
          <w:color w:val="auto"/>
          <w:kern w:val="0"/>
          <w:szCs w:val="24"/>
          <w:highlight w:val="none"/>
          <w:u w:val="none"/>
        </w:rPr>
        <w:t>.全国银行业理财信息登记系统：指供商业银行及商业银行理财公司进行理财产品电子化报告和信息登记的电子信息系统。</w:t>
      </w:r>
    </w:p>
    <w:p w14:paraId="60A69EAC">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法律文件用语</w:t>
      </w:r>
    </w:p>
    <w:p w14:paraId="6D122EF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销售文件/销售文件：指产品管理人向投资者提供的，用于描述产品特征，约定权利义务的文件。具体指浙银理财琮简涌金丰收日开2号理财产品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14:paraId="3F63E53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2.《投资协议书》：指管理人统一编制的《浙银理财理财产品投资协议书》，以及对该文件的有效修改或补充。</w:t>
      </w:r>
    </w:p>
    <w:p w14:paraId="613174B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3.《产品说明书》：指管理人统一编制的《浙银理财琮简涌金丰收日开2号理财产品说明书》，以及对该文件的有效修改或补充。</w:t>
      </w:r>
    </w:p>
    <w:p w14:paraId="4BFAE31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14:paraId="6DD9791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风险揭示书》：指管理人统一编制的《浙银理财琮简涌金丰收日开2号理财产品风险揭示书》或代理销售机构接受产品管理人委托自行编制的《浙银理财琮简涌金丰收日开2号理财产品风险揭示书》（文件名称以代理销售机构实际编制为准），以及对该文件的有效修改或补充。</w:t>
      </w:r>
    </w:p>
    <w:p w14:paraId="5111306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者权益须知》：指管理人统一编制的《理财产品投资者权益须知》或代理销售机构接受产品管理人委托自行编制的《理财产品投资者权益须知》（文件名称以代理销售机构实际编制为准），以及对该文件的有效修改或补充。</w:t>
      </w:r>
    </w:p>
    <w:p w14:paraId="35B1749A">
      <w:pPr>
        <w:pStyle w:val="3"/>
        <w:ind w:firstLine="482"/>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 xml:space="preserve">理财产品用语 </w:t>
      </w:r>
    </w:p>
    <w:p w14:paraId="011A873A">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1.理财产品登记编码</w:t>
      </w:r>
      <w:r>
        <w:rPr>
          <w:rFonts w:hint="eastAsia" w:ascii="仿宋_GB2312" w:hAnsi="宋体" w:cs="宋体"/>
          <w:bCs/>
          <w:color w:val="auto"/>
          <w:kern w:val="0"/>
          <w:szCs w:val="24"/>
          <w:highlight w:val="none"/>
          <w:u w:val="none"/>
          <w:lang w:val="en-US" w:eastAsia="zh-CN"/>
        </w:rPr>
        <w:t>/产品登记编码</w:t>
      </w:r>
      <w:r>
        <w:rPr>
          <w:rFonts w:hint="eastAsia" w:ascii="仿宋_GB2312" w:hAnsi="宋体" w:cs="宋体"/>
          <w:bCs/>
          <w:color w:val="auto"/>
          <w:kern w:val="0"/>
          <w:szCs w:val="24"/>
          <w:highlight w:val="none"/>
          <w:u w:val="none"/>
        </w:rPr>
        <w:t>：指本款理财产品在全国银行业理财信息登记系统对理财产品进行信息登记后，由全国银行业理财信息登记系统发放的唯一性的理财产品编码。投资者可依据登记编码在中国理财网（www.chinawealth.com.cn）查询产品信息。</w:t>
      </w:r>
    </w:p>
    <w:p w14:paraId="17DECEAA">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2.理财产品代码/产品代码：指产品管理人在全国银行业理财信息登记系统中为理财产品设置的内部识别码。</w:t>
      </w:r>
    </w:p>
    <w:p w14:paraId="79BF602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3.理财产品销售代码/销售代码</w:t>
      </w:r>
      <w:r>
        <w:rPr>
          <w:rFonts w:hint="eastAsia" w:ascii="仿宋_GB2312" w:hAnsi="宋体" w:cs="宋体"/>
          <w:bCs/>
          <w:color w:val="auto"/>
          <w:kern w:val="0"/>
          <w:szCs w:val="24"/>
          <w:highlight w:val="none"/>
          <w:u w:val="none"/>
          <w:lang w:val="en-US" w:eastAsia="zh-CN"/>
        </w:rPr>
        <w:t>/份额代码</w:t>
      </w:r>
      <w:r>
        <w:rPr>
          <w:rFonts w:hint="eastAsia" w:ascii="仿宋_GB2312" w:hAnsi="宋体" w:cs="宋体"/>
          <w:bCs/>
          <w:color w:val="auto"/>
          <w:kern w:val="0"/>
          <w:szCs w:val="24"/>
          <w:highlight w:val="none"/>
          <w:u w:val="none"/>
        </w:rPr>
        <w:t>：指本款理财产品若设置不同产品份额类别，为在理财产品销售管理过程中区分不同产品份额类别，管理人在同一理财产品代码项下，为每类份额类别设置的唯一性内部识别码。</w:t>
      </w:r>
    </w:p>
    <w:p w14:paraId="5690AE3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用对应较高风险的评级结果。</w:t>
      </w:r>
      <w:r>
        <w:rPr>
          <w:rFonts w:hint="eastAsia" w:ascii="宋体" w:hAnsi="宋体"/>
          <w:b/>
          <w:bCs/>
          <w:color w:val="auto"/>
          <w:szCs w:val="24"/>
          <w:highlight w:val="none"/>
          <w:u w:val="none"/>
        </w:rPr>
        <w:t>产品管理人在符合监管政策的前提下可对产品风险评级进行动态管理，如产品风险等级发生调整，将提前通过本《产品说明书》“信息披露”约定的方式通知投资者。</w:t>
      </w:r>
    </w:p>
    <w:p w14:paraId="1DD32E4C">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5.投资者风险承受能力评估：指销售机构对理财投资者的风险承受能力进行评价的过程。</w:t>
      </w:r>
    </w:p>
    <w:p w14:paraId="4682F136">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6.理财产品份额：指投资者持有本理财产品的单位数额。投资者基于其所持有的理财产品单位数额享有理财产品利益、承担理财产品风险。理财产品份额四舍五入保留2位小数。</w:t>
      </w:r>
    </w:p>
    <w:p w14:paraId="5F1AC4A2">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7.理财产品资产净值/理财资产净值/产品资产净值：理财产品资产净值=理财产品资产总值-理财产品负债总值。</w:t>
      </w:r>
    </w:p>
    <w:p w14:paraId="0F02741C">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理财产品资产总值是指理财产品拥有的各类有价证券、银行存款、应收款项及其他资产的价值总和。</w:t>
      </w:r>
    </w:p>
    <w:p w14:paraId="23D1874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理财产品负债总值是指理财产品运作及融资时形成的负债价值总和，包括融资资金本息、</w:t>
      </w:r>
      <w:r>
        <w:rPr>
          <w:rFonts w:hint="eastAsia" w:ascii="仿宋_GB2312" w:hAnsi="宋体" w:cs="宋体"/>
          <w:bCs/>
          <w:color w:val="auto"/>
          <w:kern w:val="0"/>
          <w:sz w:val="22"/>
          <w:highlight w:val="none"/>
          <w:u w:val="none"/>
        </w:rPr>
        <w:t>应付各项费用</w:t>
      </w:r>
      <w:r>
        <w:rPr>
          <w:rFonts w:hint="eastAsia" w:ascii="仿宋_GB2312" w:hAnsi="宋体" w:cs="宋体"/>
          <w:bCs/>
          <w:color w:val="auto"/>
          <w:kern w:val="0"/>
          <w:szCs w:val="24"/>
          <w:highlight w:val="none"/>
          <w:u w:val="none"/>
        </w:rPr>
        <w:t>（包括</w:t>
      </w:r>
      <w:r>
        <w:rPr>
          <w:rFonts w:hint="eastAsia" w:ascii="仿宋_GB2312" w:hAnsi="宋体" w:cs="宋体"/>
          <w:bCs/>
          <w:color w:val="auto"/>
          <w:kern w:val="0"/>
          <w:szCs w:val="24"/>
          <w:highlight w:val="none"/>
          <w:u w:val="none"/>
          <w:lang w:eastAsia="zh-CN"/>
        </w:rPr>
        <w:t>托管费</w:t>
      </w:r>
      <w:r>
        <w:rPr>
          <w:rFonts w:hint="eastAsia" w:ascii="仿宋_GB2312" w:hAnsi="宋体" w:cs="宋体"/>
          <w:bCs/>
          <w:color w:val="auto"/>
          <w:kern w:val="0"/>
          <w:szCs w:val="24"/>
          <w:highlight w:val="none"/>
          <w:u w:val="none"/>
        </w:rPr>
        <w:t>、认购费、</w:t>
      </w:r>
      <w:r>
        <w:rPr>
          <w:rFonts w:hint="eastAsia" w:ascii="仿宋_GB2312" w:hAnsi="宋体" w:cs="宋体"/>
          <w:bCs/>
          <w:color w:val="auto"/>
          <w:kern w:val="0"/>
          <w:szCs w:val="24"/>
          <w:highlight w:val="none"/>
          <w:u w:val="none"/>
          <w:lang w:eastAsia="zh-CN"/>
        </w:rPr>
        <w:t>固定管理费</w:t>
      </w:r>
      <w:r>
        <w:rPr>
          <w:rFonts w:hint="eastAsia"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、其他费用等）、应付税金及其他应付款项等。</w:t>
      </w:r>
    </w:p>
    <w:p w14:paraId="442591D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留</w:t>
      </w:r>
      <w:r>
        <w:rPr>
          <w:rFonts w:hint="eastAsia" w:ascii="仿宋_GB2312" w:hAnsi="宋体" w:cs="宋体"/>
          <w:b/>
          <w:bCs w:val="0"/>
          <w:color w:val="auto"/>
          <w:kern w:val="0"/>
          <w:szCs w:val="24"/>
          <w:highlight w:val="none"/>
          <w:u w:val="none"/>
          <w:lang w:eastAsia="zh-CN"/>
        </w:rPr>
        <w:t>【</w:t>
      </w:r>
      <w:r>
        <w:rPr>
          <w:rFonts w:hint="eastAsia" w:ascii="仿宋_GB2312" w:hAnsi="宋体" w:cs="宋体"/>
          <w:b/>
          <w:bCs w:val="0"/>
          <w:color w:val="auto"/>
          <w:kern w:val="0"/>
          <w:szCs w:val="24"/>
          <w:highlight w:val="none"/>
          <w:u w:val="none"/>
          <w:lang w:val="en-US" w:eastAsia="zh-CN"/>
        </w:rPr>
        <w:t>4位</w:t>
      </w:r>
      <w:r>
        <w:rPr>
          <w:rFonts w:hint="eastAsia" w:ascii="仿宋_GB2312" w:hAnsi="宋体" w:cs="宋体"/>
          <w:b/>
          <w:bCs w:val="0"/>
          <w:color w:val="auto"/>
          <w:kern w:val="0"/>
          <w:szCs w:val="24"/>
          <w:highlight w:val="none"/>
          <w:u w:val="none"/>
          <w:lang w:eastAsia="zh-CN"/>
        </w:rPr>
        <w:t>】</w:t>
      </w:r>
      <w:r>
        <w:rPr>
          <w:rFonts w:hint="eastAsia" w:ascii="仿宋_GB2312" w:hAnsi="宋体" w:cs="宋体"/>
          <w:bCs/>
          <w:color w:val="auto"/>
          <w:kern w:val="0"/>
          <w:szCs w:val="24"/>
          <w:highlight w:val="none"/>
          <w:u w:val="none"/>
        </w:rPr>
        <w:t>小数。</w:t>
      </w:r>
    </w:p>
    <w:p w14:paraId="5F1FE7A5">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理财产品份额净值可以展示为</w:t>
      </w:r>
      <w:r>
        <w:rPr>
          <w:rFonts w:ascii="仿宋_GB2312" w:hAnsi="宋体" w:cs="宋体"/>
          <w:b/>
          <w:color w:val="auto"/>
          <w:kern w:val="0"/>
          <w:szCs w:val="24"/>
          <w:highlight w:val="none"/>
          <w:u w:val="none"/>
        </w:rPr>
        <w:t>当前理财产品份额净值</w:t>
      </w:r>
      <w:r>
        <w:rPr>
          <w:rFonts w:hint="eastAsia" w:ascii="仿宋_GB2312" w:hAnsi="宋体" w:cs="宋体"/>
          <w:bCs/>
          <w:color w:val="auto"/>
          <w:kern w:val="0"/>
          <w:szCs w:val="24"/>
          <w:highlight w:val="none"/>
          <w:u w:val="none"/>
        </w:rPr>
        <w:t>和</w:t>
      </w:r>
      <w:r>
        <w:rPr>
          <w:rFonts w:ascii="仿宋_GB2312" w:hAnsi="宋体" w:cs="宋体"/>
          <w:b/>
          <w:color w:val="auto"/>
          <w:kern w:val="0"/>
          <w:szCs w:val="24"/>
          <w:highlight w:val="none"/>
          <w:u w:val="none"/>
        </w:rPr>
        <w:t>累计理财产品份额净值</w:t>
      </w:r>
      <w:r>
        <w:rPr>
          <w:rFonts w:hint="eastAsia" w:ascii="仿宋_GB2312" w:hAnsi="宋体" w:cs="宋体"/>
          <w:bCs/>
          <w:color w:val="auto"/>
          <w:kern w:val="0"/>
          <w:szCs w:val="24"/>
          <w:highlight w:val="none"/>
          <w:u w:val="none"/>
        </w:rPr>
        <w:t>。</w:t>
      </w:r>
    </w:p>
    <w:p w14:paraId="6D737B89">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当前理财产品份额净值，指产品当前的份额净值。</w:t>
      </w:r>
    </w:p>
    <w:p w14:paraId="3DA0995F">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累计理财产品份额净值，指产品当前份额净值及产品成立到现在单位理财产品份额分红之和。</w:t>
      </w:r>
    </w:p>
    <w:p w14:paraId="05949A09">
      <w:pPr>
        <w:tabs>
          <w:tab w:val="left" w:pos="709"/>
        </w:tabs>
        <w:snapToGrid w:val="0"/>
        <w:spacing w:line="360" w:lineRule="auto"/>
        <w:ind w:firstLine="482" w:firstLineChars="200"/>
        <w:rPr>
          <w:rFonts w:ascii="仿宋_GB2312" w:hAnsi="宋体" w:cs="宋体"/>
          <w:b/>
          <w:color w:val="auto"/>
          <w:kern w:val="0"/>
          <w:szCs w:val="24"/>
          <w:highlight w:val="none"/>
          <w:u w:val="none"/>
        </w:rPr>
      </w:pPr>
      <w:r>
        <w:rPr>
          <w:rFonts w:ascii="仿宋_GB2312" w:hAnsi="宋体" w:cs="宋体"/>
          <w:b/>
          <w:color w:val="auto"/>
          <w:kern w:val="0"/>
          <w:szCs w:val="24"/>
          <w:highlight w:val="none"/>
          <w:u w:val="none"/>
        </w:rPr>
        <w:t>（注：若无特别说明，理财产品份额净值通常指当前理财产品份额净值）</w:t>
      </w:r>
    </w:p>
    <w:p w14:paraId="0665D149">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9.理财产品估值：指计算评估理财产品资产和理财产品负债的价值，以确定理财产品份额净值的过程。</w:t>
      </w:r>
    </w:p>
    <w:p w14:paraId="1574B75A">
      <w:pPr>
        <w:tabs>
          <w:tab w:val="left" w:pos="709"/>
        </w:tabs>
        <w:snapToGrid w:val="0"/>
        <w:spacing w:line="360" w:lineRule="auto"/>
        <w:ind w:firstLine="480" w:firstLineChars="200"/>
        <w:rPr>
          <w:rFonts w:ascii="仿宋_GB2312" w:hAnsi="宋体" w:cs="宋体"/>
          <w:b/>
          <w:color w:val="auto"/>
          <w:kern w:val="0"/>
          <w:szCs w:val="24"/>
          <w:highlight w:val="none"/>
          <w:u w:val="none"/>
        </w:rPr>
      </w:pPr>
      <w:r>
        <w:rPr>
          <w:rFonts w:hint="eastAsia" w:ascii="仿宋_GB2312" w:hAnsi="宋体" w:cs="宋体"/>
          <w:bCs/>
          <w:color w:val="auto"/>
          <w:kern w:val="0"/>
          <w:szCs w:val="24"/>
          <w:highlight w:val="none"/>
          <w:u w:val="none"/>
        </w:rPr>
        <w:t>10.业绩比较基准：指管理人基于过往投资经验及对产品存续期投资市场波动的预判而对本产品所设定的投资目标。</w:t>
      </w:r>
      <w:r>
        <w:rPr>
          <w:rFonts w:ascii="仿宋_GB2312" w:hAnsi="宋体" w:cs="宋体"/>
          <w:b/>
          <w:color w:val="auto"/>
          <w:kern w:val="0"/>
          <w:szCs w:val="24"/>
          <w:highlight w:val="none"/>
          <w:u w:val="none"/>
        </w:rPr>
        <w:t>业绩比较基准不代表理财产品未来表现，不等于理财产品实际收益，不作为产品收益的业绩保证，投资须谨慎。</w:t>
      </w:r>
    </w:p>
    <w:p w14:paraId="7A625F14">
      <w:pPr>
        <w:tabs>
          <w:tab w:val="left" w:pos="709"/>
        </w:tabs>
        <w:snapToGrid w:val="0"/>
        <w:spacing w:line="360" w:lineRule="auto"/>
        <w:ind w:firstLine="480" w:firstLineChars="200"/>
        <w:rPr>
          <w:rFonts w:ascii="仿宋_GB2312" w:hAnsi="宋体" w:cs="宋体"/>
          <w:b/>
          <w:color w:val="auto"/>
          <w:kern w:val="0"/>
          <w:szCs w:val="24"/>
          <w:highlight w:val="none"/>
          <w:u w:val="none"/>
        </w:rPr>
      </w:pPr>
      <w:r>
        <w:rPr>
          <w:rFonts w:ascii="仿宋_GB2312" w:hAnsi="宋体" w:cs="宋体"/>
          <w:bCs/>
          <w:color w:val="auto"/>
          <w:kern w:val="0"/>
          <w:szCs w:val="24"/>
          <w:highlight w:val="none"/>
          <w:u w:val="none"/>
        </w:rPr>
        <w:t>11.</w:t>
      </w:r>
      <w:r>
        <w:rPr>
          <w:rFonts w:hint="eastAsia" w:ascii="仿宋_GB2312" w:hAnsi="宋体" w:cs="宋体"/>
          <w:bCs/>
          <w:color w:val="auto"/>
          <w:kern w:val="0"/>
          <w:szCs w:val="24"/>
          <w:highlight w:val="none"/>
          <w:u w:val="none"/>
          <w:lang w:eastAsia="zh-CN"/>
        </w:rPr>
        <w:t>浮动管理费</w:t>
      </w:r>
      <w:r>
        <w:rPr>
          <w:rFonts w:ascii="仿宋_GB2312" w:hAnsi="宋体" w:cs="宋体"/>
          <w:bCs/>
          <w:color w:val="auto"/>
          <w:kern w:val="0"/>
          <w:szCs w:val="24"/>
          <w:highlight w:val="none"/>
          <w:u w:val="none"/>
        </w:rPr>
        <w:t>计提基准：指管理人收取</w:t>
      </w:r>
      <w:r>
        <w:rPr>
          <w:rFonts w:hint="eastAsia" w:ascii="仿宋_GB2312" w:hAnsi="宋体" w:cs="宋体"/>
          <w:bCs/>
          <w:color w:val="auto"/>
          <w:kern w:val="0"/>
          <w:szCs w:val="24"/>
          <w:highlight w:val="none"/>
          <w:u w:val="none"/>
          <w:lang w:eastAsia="zh-CN"/>
        </w:rPr>
        <w:t>浮动管理费</w:t>
      </w:r>
      <w:r>
        <w:rPr>
          <w:rFonts w:ascii="仿宋_GB2312" w:hAnsi="宋体" w:cs="宋体"/>
          <w:bCs/>
          <w:color w:val="auto"/>
          <w:kern w:val="0"/>
          <w:szCs w:val="24"/>
          <w:highlight w:val="none"/>
          <w:u w:val="none"/>
        </w:rPr>
        <w:t>的参照相关数值标准。</w:t>
      </w:r>
      <w:r>
        <w:rPr>
          <w:rFonts w:hint="eastAsia" w:ascii="仿宋_GB2312" w:hAnsi="宋体" w:cs="宋体"/>
          <w:b/>
          <w:color w:val="auto"/>
          <w:kern w:val="0"/>
          <w:szCs w:val="24"/>
          <w:highlight w:val="none"/>
          <w:u w:val="none"/>
          <w:lang w:eastAsia="zh-CN"/>
        </w:rPr>
        <w:t>浮动管理费</w:t>
      </w:r>
      <w:r>
        <w:rPr>
          <w:rFonts w:ascii="仿宋_GB2312" w:hAnsi="宋体" w:cs="宋体"/>
          <w:b/>
          <w:color w:val="auto"/>
          <w:kern w:val="0"/>
          <w:szCs w:val="24"/>
          <w:highlight w:val="none"/>
          <w:u w:val="none"/>
        </w:rPr>
        <w:t>计提基准不代表理财产品未来表现，不等于理财产品实际收益，不作为产品收益的业绩保证，投资须谨慎。</w:t>
      </w:r>
    </w:p>
    <w:p w14:paraId="19BC43F4">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12.理财产品利益/理财利益</w:t>
      </w:r>
      <w:r>
        <w:rPr>
          <w:rFonts w:hint="eastAsia" w:ascii="仿宋_GB2312" w:hAnsi="宋体" w:cs="宋体"/>
          <w:bCs/>
          <w:color w:val="auto"/>
          <w:kern w:val="0"/>
          <w:szCs w:val="24"/>
          <w:highlight w:val="none"/>
          <w:u w:val="none"/>
          <w:lang w:val="en-US" w:eastAsia="zh-CN"/>
        </w:rPr>
        <w:t>/理财产品收益/理财收益</w:t>
      </w:r>
      <w:r>
        <w:rPr>
          <w:rFonts w:hint="eastAsia" w:ascii="仿宋_GB2312" w:hAnsi="宋体" w:cs="宋体"/>
          <w:bCs/>
          <w:color w:val="auto"/>
          <w:kern w:val="0"/>
          <w:szCs w:val="24"/>
          <w:highlight w:val="none"/>
          <w:u w:val="none"/>
        </w:rPr>
        <w:t>：指投资者因持有理财产品份额，按照销售文件约定取得或有权取得的理财产品管理人分配的理财产品资产。</w:t>
      </w:r>
    </w:p>
    <w:p w14:paraId="3185F85C">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13.</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分配：指产品管理人向投资者进行理财产品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 xml:space="preserve">分配。 </w:t>
      </w:r>
    </w:p>
    <w:p w14:paraId="0A92882E">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14.期间分配：指在理财产品终止日（不含当日）前的理财产品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 xml:space="preserve">分配。 </w:t>
      </w:r>
    </w:p>
    <w:p w14:paraId="64AAF1E9">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15.终止分配：指在理财产品终止日当日及之后的理财产品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w:t>
      </w:r>
    </w:p>
    <w:p w14:paraId="28A29762">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 xml:space="preserve">16.认购：指投资者根据本协议约定在认购期/募集期内申请购买本产品理财产品份额的行为。 </w:t>
      </w:r>
    </w:p>
    <w:p w14:paraId="7DC4FE31">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17.申购：指理财产品成立后，在理财产品申购期内，投资者申请购买理财产品份额的行为。</w:t>
      </w:r>
    </w:p>
    <w:p w14:paraId="34B841C9">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首次申购，指未进行认购的投资者，在理财产品成立后申请购买理财产品份额的行为。投资者全额赎回不再持有理财产品份额后再次申购的，视同首次申购处理。</w:t>
      </w:r>
    </w:p>
    <w:p w14:paraId="24C0A3C5">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追加申购，指已经完成认购或首次申购的投资者，在理财产品成立后申请购买理财产品份额的行为。</w:t>
      </w:r>
    </w:p>
    <w:p w14:paraId="2C69A1F3">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18.赎回：指理财产品成立后，在理财产品赎回期内，投资者申请赎回理财产品份额的行为，即投资者申请将理财产品份额兑换为现金。</w:t>
      </w:r>
    </w:p>
    <w:p w14:paraId="75FD5305">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19.巨额赎回：</w:t>
      </w:r>
      <w:r>
        <w:rPr>
          <w:rFonts w:hint="eastAsia" w:ascii="仿宋_GB2312" w:hAnsi="宋体" w:cs="宋体"/>
          <w:bCs/>
          <w:color w:val="auto"/>
          <w:kern w:val="0"/>
          <w:szCs w:val="24"/>
          <w:highlight w:val="none"/>
          <w:u w:val="none"/>
        </w:rPr>
        <w:t>指</w:t>
      </w:r>
      <w:r>
        <w:rPr>
          <w:rFonts w:ascii="仿宋_GB2312" w:hAnsi="宋体" w:cs="宋体"/>
          <w:bCs/>
          <w:color w:val="auto"/>
          <w:kern w:val="0"/>
          <w:szCs w:val="24"/>
          <w:highlight w:val="none"/>
          <w:u w:val="none"/>
        </w:rPr>
        <w:t>在理财产品存续期内，</w:t>
      </w:r>
      <w:r>
        <w:rPr>
          <w:rFonts w:hint="eastAsia" w:ascii="仿宋_GB2312" w:hAnsi="宋体" w:cs="宋体"/>
          <w:bCs/>
          <w:color w:val="auto"/>
          <w:kern w:val="0"/>
          <w:szCs w:val="24"/>
          <w:highlight w:val="none"/>
          <w:u w:val="none"/>
        </w:rPr>
        <w:t>单个开放日产品净赎回申请（</w:t>
      </w:r>
      <w:r>
        <w:rPr>
          <w:rFonts w:ascii="仿宋_GB2312" w:hAnsi="宋体" w:cs="宋体"/>
          <w:bCs/>
          <w:color w:val="auto"/>
          <w:kern w:val="0"/>
          <w:szCs w:val="24"/>
          <w:highlight w:val="none"/>
          <w:u w:val="none"/>
        </w:rPr>
        <w:t>赎回</w:t>
      </w:r>
      <w:r>
        <w:rPr>
          <w:rFonts w:hint="eastAsia" w:ascii="仿宋_GB2312" w:hAnsi="宋体" w:cs="宋体"/>
          <w:bCs/>
          <w:color w:val="auto"/>
          <w:kern w:val="0"/>
          <w:szCs w:val="24"/>
          <w:highlight w:val="none"/>
          <w:u w:val="none"/>
        </w:rPr>
        <w:t>申请总份额扣除申购总份额后的余额</w:t>
      </w:r>
      <w:r>
        <w:rPr>
          <w:rFonts w:ascii="仿宋_GB2312" w:hAnsi="宋体" w:cs="宋体"/>
          <w:bCs/>
          <w:color w:val="auto"/>
          <w:kern w:val="0"/>
          <w:szCs w:val="24"/>
          <w:highlight w:val="none"/>
          <w:u w:val="none"/>
        </w:rPr>
        <w:t>,下同）</w:t>
      </w:r>
      <w:r>
        <w:rPr>
          <w:rFonts w:hint="eastAsia" w:ascii="仿宋_GB2312" w:hAnsi="宋体" w:cs="宋体"/>
          <w:bCs/>
          <w:color w:val="auto"/>
          <w:kern w:val="0"/>
          <w:szCs w:val="24"/>
          <w:highlight w:val="none"/>
          <w:u w:val="none"/>
        </w:rPr>
        <w:t>超过前一日终理财产品总份额的</w:t>
      </w:r>
      <w:r>
        <w:rPr>
          <w:rFonts w:ascii="仿宋_GB2312" w:hAnsi="宋体" w:cs="宋体"/>
          <w:bCs/>
          <w:color w:val="auto"/>
          <w:kern w:val="0"/>
          <w:szCs w:val="24"/>
          <w:highlight w:val="none"/>
          <w:u w:val="none"/>
        </w:rPr>
        <w:t>10</w:t>
      </w:r>
      <w:r>
        <w:rPr>
          <w:rFonts w:hint="eastAsia" w:ascii="仿宋_GB2312" w:hAnsi="宋体" w:cs="宋体"/>
          <w:bCs/>
          <w:color w:val="auto"/>
          <w:kern w:val="0"/>
          <w:szCs w:val="24"/>
          <w:highlight w:val="none"/>
          <w:u w:val="none"/>
        </w:rPr>
        <w:t>％的赎回行为，国家金融监督管理总局另有规定的除外。</w:t>
      </w:r>
    </w:p>
    <w:p w14:paraId="119D4A5E">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20.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70FB669E">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21.7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14:paraId="55FC9EC4">
      <w:pPr>
        <w:numPr>
          <w:ilvl w:val="-1"/>
          <w:numId w:val="0"/>
        </w:numPr>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22.</w:t>
      </w:r>
      <w:r>
        <w:rPr>
          <w:rFonts w:hint="eastAsia" w:ascii="仿宋_GB2312" w:hAnsi="宋体" w:cs="宋体"/>
          <w:bCs/>
          <w:color w:val="auto"/>
          <w:kern w:val="0"/>
          <w:szCs w:val="24"/>
          <w:highlight w:val="none"/>
          <w:u w:val="none"/>
        </w:rPr>
        <w:t>摆动定价机制：指当开放式公募理财产品遭遇大额认/申购或赎回时，通过调整理财产品份额净值的方式，将理财产品调整投资组合的市场冲击成本分配给实际认/申购、赎回的投资者，从而减少对存量理财产品份额持有人利益的不利影响，确保投资者的合法权益不受损害并得到公平对待。</w:t>
      </w:r>
    </w:p>
    <w:p w14:paraId="2DE70A6F">
      <w:pPr>
        <w:keepNext w:val="0"/>
        <w:keepLines w:val="0"/>
        <w:widowControl/>
        <w:numPr>
          <w:ilvl w:val="0"/>
          <w:numId w:val="0"/>
        </w:numPr>
        <w:suppressLineNumbers w:val="0"/>
        <w:tabs>
          <w:tab w:val="left" w:pos="709"/>
        </w:tabs>
        <w:snapToGrid w:val="0"/>
        <w:spacing w:line="360" w:lineRule="auto"/>
        <w:ind w:firstLine="480" w:firstLineChars="200"/>
        <w:jc w:val="left"/>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23.</w:t>
      </w:r>
      <w:r>
        <w:rPr>
          <w:rFonts w:hint="eastAsia" w:ascii="仿宋_GB2312" w:hAnsi="宋体" w:eastAsia="仿宋_GB2312" w:cs="宋体"/>
          <w:b w:val="0"/>
          <w:bCs/>
          <w:color w:val="auto"/>
          <w:kern w:val="0"/>
          <w:sz w:val="24"/>
          <w:szCs w:val="24"/>
          <w:highlight w:val="none"/>
          <w:u w:val="none"/>
          <w:lang w:val="en-US" w:eastAsia="zh-CN" w:bidi="ar"/>
        </w:rPr>
        <w:t>短期赎回费机制：</w:t>
      </w:r>
      <w:r>
        <w:rPr>
          <w:rFonts w:hint="eastAsia" w:ascii="仿宋_GB2312" w:hAnsi="宋体" w:eastAsia="仿宋_GB2312" w:cs="宋体"/>
          <w:bCs/>
          <w:color w:val="auto"/>
          <w:kern w:val="0"/>
          <w:sz w:val="24"/>
          <w:szCs w:val="24"/>
          <w:highlight w:val="none"/>
          <w:u w:val="none"/>
          <w:lang w:val="en-US" w:eastAsia="zh-CN" w:bidi="ar"/>
        </w:rPr>
        <w:t>指当理财计划发生巨额赎回或管理人认为可能导致理财计划流动性风险的其他情形下，理财计划管理人可临时性收取短期赎回费以应对流动性风险事件，并将上述产生费用全额计入理财计划</w:t>
      </w:r>
      <w:r>
        <w:rPr>
          <w:rFonts w:hint="eastAsia" w:ascii="仿宋_GB2312" w:hAnsi="宋体" w:cs="宋体"/>
          <w:bCs/>
          <w:color w:val="auto"/>
          <w:kern w:val="0"/>
          <w:sz w:val="24"/>
          <w:szCs w:val="24"/>
          <w:highlight w:val="none"/>
          <w:u w:val="none"/>
          <w:lang w:val="en-US" w:eastAsia="zh-CN" w:bidi="ar"/>
        </w:rPr>
        <w:t>财产。</w:t>
      </w:r>
      <w:r>
        <w:rPr>
          <w:rFonts w:hint="eastAsia" w:ascii="仿宋_GB2312" w:hAnsi="宋体" w:eastAsia="仿宋_GB2312" w:cs="宋体"/>
          <w:bCs/>
          <w:color w:val="auto"/>
          <w:kern w:val="0"/>
          <w:sz w:val="24"/>
          <w:szCs w:val="24"/>
          <w:highlight w:val="none"/>
          <w:u w:val="none"/>
          <w:lang w:val="en-US" w:eastAsia="zh-CN" w:bidi="ar"/>
        </w:rPr>
        <w:t>在此情形下，投资者在提交赎回申请时，实际赎回金额可能少于按照赎回申请当日理财产品份额净值计算出的赎回金额。</w:t>
      </w:r>
    </w:p>
    <w:p w14:paraId="21DEB3DD">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期间与日期</w:t>
      </w:r>
    </w:p>
    <w:p w14:paraId="3FFB0545">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1.日：指自然日。</w:t>
      </w:r>
    </w:p>
    <w:p w14:paraId="45E81FDF">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 xml:space="preserve">2.交易日：指证券交易所的正常开盘交易日。 </w:t>
      </w:r>
    </w:p>
    <w:p w14:paraId="1CA181CF">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 xml:space="preserve">3.工作日：指国家法定工作日。 </w:t>
      </w:r>
    </w:p>
    <w:p w14:paraId="1655F34A">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4.成立日：指达到《产品说明书》约定的成立条件后本产品开始运作的日期。</w:t>
      </w:r>
    </w:p>
    <w:p w14:paraId="0B1C6585">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到期日/终止日：指本产品终止的日期，包括理财产品正常到期之日、提前终止之日及延期终止之日。根据《产品说明书》的约定，本产品无固定期限，但管理人有权在发生终止事件时终止该理财产品。如管理人终止理财产品，将通过约定方式向投资者进行信息披露。</w:t>
      </w:r>
    </w:p>
    <w:p w14:paraId="5D84BF8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6.</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分配基准日</w:t>
      </w:r>
      <w:r>
        <w:rPr>
          <w:rFonts w:hint="eastAsia" w:ascii="仿宋_GB2312" w:hAnsi="宋体" w:cs="宋体"/>
          <w:bCs/>
          <w:color w:val="auto"/>
          <w:kern w:val="0"/>
          <w:szCs w:val="24"/>
          <w:highlight w:val="none"/>
          <w:u w:val="none"/>
          <w:lang w:val="en-US" w:eastAsia="zh-CN"/>
        </w:rPr>
        <w:t>/</w:t>
      </w:r>
      <w:r>
        <w:rPr>
          <w:rFonts w:hint="eastAsia" w:ascii="仿宋_GB2312" w:hAnsi="宋体" w:cs="宋体"/>
          <w:bCs/>
          <w:color w:val="auto"/>
          <w:kern w:val="0"/>
          <w:szCs w:val="24"/>
          <w:highlight w:val="none"/>
          <w:u w:val="none"/>
        </w:rPr>
        <w:t>分配基准日：指本产品管理人以该日日终产品份额净值计算并确定可供分配的投资期间理财</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的日期。</w:t>
      </w:r>
    </w:p>
    <w:p w14:paraId="0CAD1339">
      <w:pPr>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u w:val="none"/>
          <w:lang w:eastAsia="zh-CN"/>
        </w:rPr>
      </w:pPr>
      <w:r>
        <w:rPr>
          <w:rFonts w:hint="eastAsia" w:ascii="仿宋_GB2312" w:hAnsi="宋体" w:cs="宋体"/>
          <w:bCs/>
          <w:color w:val="auto"/>
          <w:kern w:val="0"/>
          <w:szCs w:val="24"/>
          <w:highlight w:val="none"/>
          <w:u w:val="none"/>
          <w:lang w:val="en-US" w:eastAsia="zh-CN"/>
        </w:rPr>
        <w:t>7.</w:t>
      </w:r>
      <w:r>
        <w:rPr>
          <w:rFonts w:hint="eastAsia" w:ascii="仿宋_GB2312" w:hAnsi="宋体" w:cs="宋体"/>
          <w:bCs/>
          <w:color w:val="auto"/>
          <w:kern w:val="0"/>
          <w:szCs w:val="24"/>
          <w:highlight w:val="none"/>
          <w:u w:val="none"/>
        </w:rPr>
        <w:t>除权日</w:t>
      </w:r>
      <w:r>
        <w:rPr>
          <w:rFonts w:hint="eastAsia" w:ascii="仿宋_GB2312" w:hAnsi="宋体" w:cs="宋体"/>
          <w:bCs/>
          <w:color w:val="auto"/>
          <w:kern w:val="0"/>
          <w:szCs w:val="24"/>
          <w:highlight w:val="none"/>
          <w:u w:val="none"/>
          <w:lang w:eastAsia="zh-CN"/>
        </w:rPr>
        <w:t>：指本产品的份额净值扣除收益分配金额的日期。</w:t>
      </w:r>
    </w:p>
    <w:p w14:paraId="4804C44A">
      <w:pPr>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u w:val="none"/>
          <w:lang w:eastAsia="zh-CN"/>
        </w:rPr>
      </w:pPr>
      <w:r>
        <w:rPr>
          <w:rFonts w:hint="eastAsia" w:ascii="仿宋_GB2312" w:hAnsi="宋体" w:cs="宋体"/>
          <w:bCs/>
          <w:color w:val="auto"/>
          <w:kern w:val="0"/>
          <w:szCs w:val="24"/>
          <w:highlight w:val="none"/>
          <w:u w:val="none"/>
          <w:lang w:val="en-US" w:eastAsia="zh-CN"/>
        </w:rPr>
        <w:t>8.</w:t>
      </w:r>
      <w:r>
        <w:rPr>
          <w:rFonts w:hint="eastAsia" w:ascii="仿宋_GB2312" w:hAnsi="宋体" w:cs="宋体"/>
          <w:bCs/>
          <w:color w:val="auto"/>
          <w:kern w:val="0"/>
          <w:szCs w:val="24"/>
          <w:highlight w:val="none"/>
          <w:u w:val="none"/>
          <w:lang w:eastAsia="zh-CN"/>
        </w:rPr>
        <w:t>权益登记日：指本产品理财产品收益分配时，权益登记日登记在册的理财产品份额持有人为分配对象。</w:t>
      </w:r>
    </w:p>
    <w:p w14:paraId="5C019A9B">
      <w:pPr>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9</w:t>
      </w:r>
      <w:r>
        <w:rPr>
          <w:rFonts w:hint="eastAsia" w:ascii="仿宋_GB2312" w:hAnsi="宋体" w:cs="宋体"/>
          <w:bCs/>
          <w:color w:val="auto"/>
          <w:kern w:val="0"/>
          <w:szCs w:val="24"/>
          <w:highlight w:val="none"/>
          <w:u w:val="none"/>
        </w:rPr>
        <w:t>.分配日：指产品管理人向投资者进行理财产品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分配的日期。</w:t>
      </w:r>
    </w:p>
    <w:p w14:paraId="7409980F">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10</w:t>
      </w:r>
      <w:r>
        <w:rPr>
          <w:rFonts w:hint="eastAsia" w:ascii="仿宋_GB2312" w:hAnsi="宋体" w:cs="宋体"/>
          <w:bCs/>
          <w:color w:val="auto"/>
          <w:kern w:val="0"/>
          <w:szCs w:val="24"/>
          <w:highlight w:val="none"/>
          <w:u w:val="none"/>
        </w:rPr>
        <w:t>.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14:paraId="431EF1F8">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11</w:t>
      </w:r>
      <w:r>
        <w:rPr>
          <w:rFonts w:hint="eastAsia" w:ascii="仿宋_GB2312" w:hAnsi="宋体" w:cs="宋体"/>
          <w:bCs/>
          <w:color w:val="auto"/>
          <w:kern w:val="0"/>
          <w:szCs w:val="24"/>
          <w:highlight w:val="none"/>
          <w:u w:val="none"/>
        </w:rPr>
        <w:t>.持有期：指自产品成立日/申购确认日起，投资者持有该产品份额的期间。</w:t>
      </w:r>
    </w:p>
    <w:p w14:paraId="7B84201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hint="eastAsia" w:ascii="仿宋_GB2312" w:hAnsi="宋体" w:cs="宋体"/>
          <w:bCs/>
          <w:color w:val="auto"/>
          <w:kern w:val="0"/>
          <w:szCs w:val="24"/>
          <w:highlight w:val="none"/>
          <w:u w:val="none"/>
          <w:lang w:val="en-US" w:eastAsia="zh-CN"/>
        </w:rPr>
        <w:t>2</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投资周期：投资周期指投资者持有理财产品份额所对应的理财资金由产品管理人进行</w:t>
      </w:r>
      <w:r>
        <w:rPr>
          <w:rFonts w:hint="eastAsia" w:ascii="仿宋_GB2312" w:hAnsi="宋体" w:cs="宋体"/>
          <w:bCs/>
          <w:color w:val="auto"/>
          <w:kern w:val="0"/>
          <w:szCs w:val="24"/>
          <w:highlight w:val="none"/>
          <w:u w:val="none"/>
          <w:lang w:eastAsia="zh-CN"/>
        </w:rPr>
        <w:t>最短</w:t>
      </w:r>
      <w:r>
        <w:rPr>
          <w:rFonts w:hint="eastAsia" w:ascii="仿宋_GB2312" w:hAnsi="宋体" w:cs="宋体"/>
          <w:bCs/>
          <w:color w:val="auto"/>
          <w:kern w:val="0"/>
          <w:szCs w:val="24"/>
          <w:highlight w:val="none"/>
          <w:u w:val="none"/>
        </w:rPr>
        <w:t>投资运作的一段完整期间，每一个投资周期为该投资周期起始日至该投资周期终止日的理财期间。</w:t>
      </w:r>
    </w:p>
    <w:p w14:paraId="7B1A75DB">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投资周期起始日：指每一个投资周期开始的日期。</w:t>
      </w:r>
    </w:p>
    <w:p w14:paraId="168F307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投资周期终止日：指每一个投资周期结束的日期。</w:t>
      </w:r>
    </w:p>
    <w:p w14:paraId="2665D5D2">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hint="eastAsia" w:ascii="仿宋_GB2312" w:hAnsi="宋体" w:cs="宋体"/>
          <w:bCs/>
          <w:color w:val="auto"/>
          <w:kern w:val="0"/>
          <w:szCs w:val="24"/>
          <w:highlight w:val="none"/>
          <w:u w:val="none"/>
          <w:lang w:val="en-US" w:eastAsia="zh-CN"/>
        </w:rPr>
        <w:t>3</w:t>
      </w:r>
      <w:r>
        <w:rPr>
          <w:rFonts w:hint="eastAsia" w:ascii="仿宋_GB2312" w:hAnsi="宋体" w:cs="宋体"/>
          <w:bCs/>
          <w:color w:val="auto"/>
          <w:kern w:val="0"/>
          <w:szCs w:val="24"/>
          <w:highlight w:val="none"/>
          <w:u w:val="none"/>
        </w:rPr>
        <w:t>.产品存续期：指自理财产品成立日起，至理财产品终止日的期间。</w:t>
      </w:r>
    </w:p>
    <w:p w14:paraId="58DD3DE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hint="eastAsia" w:ascii="仿宋_GB2312" w:hAnsi="宋体" w:cs="宋体"/>
          <w:bCs/>
          <w:color w:val="auto"/>
          <w:kern w:val="0"/>
          <w:szCs w:val="24"/>
          <w:highlight w:val="none"/>
          <w:u w:val="none"/>
          <w:lang w:val="en-US" w:eastAsia="zh-CN"/>
        </w:rPr>
        <w:t>4</w:t>
      </w:r>
      <w:r>
        <w:rPr>
          <w:rFonts w:hint="eastAsia" w:ascii="仿宋_GB2312" w:hAnsi="宋体" w:cs="宋体"/>
          <w:bCs/>
          <w:color w:val="auto"/>
          <w:kern w:val="0"/>
          <w:szCs w:val="24"/>
          <w:highlight w:val="none"/>
          <w:u w:val="none"/>
        </w:rPr>
        <w:t>.清算期：指自本理财产品终止日至投资者理财</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到账日之间的期间。</w:t>
      </w:r>
    </w:p>
    <w:p w14:paraId="177F4C32">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hint="eastAsia" w:ascii="仿宋_GB2312" w:hAnsi="宋体" w:cs="宋体"/>
          <w:bCs/>
          <w:color w:val="auto"/>
          <w:kern w:val="0"/>
          <w:szCs w:val="24"/>
          <w:highlight w:val="none"/>
          <w:u w:val="none"/>
          <w:lang w:val="en-US" w:eastAsia="zh-CN"/>
        </w:rPr>
        <w:t>5</w:t>
      </w:r>
      <w:r>
        <w:rPr>
          <w:rFonts w:hint="eastAsia" w:ascii="仿宋_GB2312" w:hAnsi="宋体" w:cs="宋体"/>
          <w:bCs/>
          <w:color w:val="auto"/>
          <w:kern w:val="0"/>
          <w:szCs w:val="24"/>
          <w:highlight w:val="none"/>
          <w:u w:val="none"/>
        </w:rPr>
        <w:t>.开放日：指投资者可提交申购与赎回申请的日期。</w:t>
      </w:r>
    </w:p>
    <w:p w14:paraId="052C273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hint="eastAsia" w:ascii="仿宋_GB2312" w:hAnsi="宋体" w:cs="宋体"/>
          <w:bCs/>
          <w:color w:val="auto"/>
          <w:kern w:val="0"/>
          <w:szCs w:val="24"/>
          <w:highlight w:val="none"/>
          <w:u w:val="none"/>
          <w:lang w:val="en-US" w:eastAsia="zh-CN"/>
        </w:rPr>
        <w:t>6</w:t>
      </w:r>
      <w:r>
        <w:rPr>
          <w:rFonts w:hint="eastAsia" w:ascii="仿宋_GB2312" w:hAnsi="宋体" w:cs="宋体"/>
          <w:bCs/>
          <w:color w:val="auto"/>
          <w:kern w:val="0"/>
          <w:szCs w:val="24"/>
          <w:highlight w:val="none"/>
          <w:u w:val="none"/>
        </w:rPr>
        <w:t>.申购/赎回日：指投资者提交申购、赎回申请的日期。</w:t>
      </w:r>
    </w:p>
    <w:p w14:paraId="7755A5D6">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hint="eastAsia" w:ascii="仿宋_GB2312" w:hAnsi="宋体" w:cs="宋体"/>
          <w:bCs/>
          <w:color w:val="auto"/>
          <w:kern w:val="0"/>
          <w:szCs w:val="24"/>
          <w:highlight w:val="none"/>
          <w:u w:val="none"/>
          <w:lang w:val="en-US" w:eastAsia="zh-CN"/>
        </w:rPr>
        <w:t>7</w:t>
      </w:r>
      <w:r>
        <w:rPr>
          <w:rFonts w:hint="eastAsia" w:ascii="仿宋_GB2312" w:hAnsi="宋体" w:cs="宋体"/>
          <w:bCs/>
          <w:color w:val="auto"/>
          <w:kern w:val="0"/>
          <w:szCs w:val="24"/>
          <w:highlight w:val="none"/>
          <w:u w:val="none"/>
        </w:rPr>
        <w:t>.申购/赎回确认日：指投资者提交申购、赎回申请后，管理人对申购、赎回申请进行确认的日期。</w:t>
      </w:r>
    </w:p>
    <w:p w14:paraId="4F711893">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18</w:t>
      </w:r>
      <w:r>
        <w:rPr>
          <w:rFonts w:hint="eastAsia" w:ascii="仿宋_GB2312" w:hAnsi="宋体" w:cs="宋体"/>
          <w:bCs/>
          <w:color w:val="auto"/>
          <w:kern w:val="0"/>
          <w:szCs w:val="24"/>
          <w:highlight w:val="none"/>
          <w:u w:val="none"/>
        </w:rPr>
        <w:t>.T日：指某一事件或行为发生的当日。</w:t>
      </w:r>
    </w:p>
    <w:p w14:paraId="7E621CE6">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19</w:t>
      </w:r>
      <w:r>
        <w:rPr>
          <w:rFonts w:hint="eastAsia" w:ascii="仿宋_GB2312" w:hAnsi="宋体" w:cs="宋体"/>
          <w:bCs/>
          <w:color w:val="auto"/>
          <w:kern w:val="0"/>
          <w:szCs w:val="24"/>
          <w:highlight w:val="none"/>
          <w:u w:val="none"/>
        </w:rPr>
        <w:t>.T+n日：指T日后（不包括T日）的第n个【□工作日/</w:t>
      </w:r>
      <w:r>
        <w:rPr>
          <w:rFonts w:hint="eastAsia" w:ascii="仿宋_GB2312" w:hAnsi="宋体" w:cs="宋体"/>
          <w:bCs/>
          <w:color w:val="auto"/>
          <w:kern w:val="0"/>
          <w:szCs w:val="24"/>
          <w:highlight w:val="none"/>
          <w:u w:val="none"/>
        </w:rPr>
        <w:sym w:font="Wingdings 2" w:char="0052"/>
      </w:r>
      <w:r>
        <w:rPr>
          <w:rFonts w:hint="eastAsia" w:ascii="仿宋_GB2312" w:hAnsi="宋体" w:cs="宋体"/>
          <w:bCs/>
          <w:color w:val="auto"/>
          <w:kern w:val="0"/>
          <w:szCs w:val="24"/>
          <w:highlight w:val="none"/>
          <w:u w:val="none"/>
        </w:rPr>
        <w:t>交易日】。</w:t>
      </w:r>
    </w:p>
    <w:p w14:paraId="3A7C2D08">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val="en-US" w:eastAsia="zh-CN"/>
        </w:rPr>
        <w:t>20</w:t>
      </w:r>
      <w:r>
        <w:rPr>
          <w:rFonts w:hint="eastAsia" w:ascii="仿宋_GB2312" w:hAnsi="宋体" w:cs="宋体"/>
          <w:bCs/>
          <w:color w:val="auto"/>
          <w:kern w:val="0"/>
          <w:szCs w:val="24"/>
          <w:highlight w:val="none"/>
          <w:u w:val="none"/>
        </w:rPr>
        <w:t>.T-n日：指T前（不包括T日）的第n个【□工作日/</w:t>
      </w:r>
      <w:r>
        <w:rPr>
          <w:rFonts w:hint="eastAsia" w:ascii="仿宋_GB2312" w:hAnsi="宋体" w:cs="宋体"/>
          <w:bCs/>
          <w:color w:val="auto"/>
          <w:kern w:val="0"/>
          <w:szCs w:val="24"/>
          <w:highlight w:val="none"/>
          <w:u w:val="none"/>
        </w:rPr>
        <w:sym w:font="Wingdings 2" w:char="0052"/>
      </w:r>
      <w:r>
        <w:rPr>
          <w:rFonts w:hint="eastAsia" w:ascii="仿宋_GB2312" w:hAnsi="宋体" w:cs="宋体"/>
          <w:bCs/>
          <w:color w:val="auto"/>
          <w:kern w:val="0"/>
          <w:szCs w:val="24"/>
          <w:highlight w:val="none"/>
          <w:u w:val="none"/>
        </w:rPr>
        <w:t>交易日】。</w:t>
      </w:r>
    </w:p>
    <w:p w14:paraId="4B3234FD">
      <w:pPr>
        <w:pStyle w:val="3"/>
        <w:ind w:firstLine="482"/>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费用</w:t>
      </w:r>
    </w:p>
    <w:p w14:paraId="203C5A62">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1.认购费：指投资者认购产品时需缴纳的费用。</w:t>
      </w:r>
    </w:p>
    <w:p w14:paraId="10CDCD8A">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2.申购费：指投资者申购产品时需缴纳的费用。</w:t>
      </w:r>
    </w:p>
    <w:p w14:paraId="2BDDB52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3.赎回费：指投资者赎回产品时需缴纳的费用。</w:t>
      </w:r>
    </w:p>
    <w:p w14:paraId="690F0C80">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4.销售服务费：指因理财产品销售行为产生，销售机构所收取的费用。</w:t>
      </w:r>
    </w:p>
    <w:p w14:paraId="40E8ECB6">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w:t>
      </w:r>
      <w:r>
        <w:rPr>
          <w:rFonts w:hint="eastAsia" w:ascii="仿宋_GB2312" w:hAnsi="宋体" w:cs="宋体"/>
          <w:bCs/>
          <w:color w:val="auto"/>
          <w:kern w:val="0"/>
          <w:szCs w:val="24"/>
          <w:highlight w:val="none"/>
          <w:u w:val="none"/>
          <w:lang w:eastAsia="zh-CN"/>
        </w:rPr>
        <w:t>固定</w:t>
      </w:r>
      <w:r>
        <w:rPr>
          <w:rFonts w:hint="eastAsia" w:ascii="仿宋_GB2312" w:hAnsi="宋体" w:cs="宋体"/>
          <w:bCs/>
          <w:color w:val="auto"/>
          <w:kern w:val="0"/>
          <w:szCs w:val="24"/>
          <w:highlight w:val="none"/>
          <w:u w:val="none"/>
        </w:rPr>
        <w:t>管理费：指因理财产品投资管理产生，管理人所收取的费用。</w:t>
      </w:r>
    </w:p>
    <w:p w14:paraId="2265AE3A">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6.托管费：指因理财产品进行托管产生，托管人收取的费用。</w:t>
      </w:r>
    </w:p>
    <w:p w14:paraId="258CC683">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7.</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：指产品管理人依照理财产品销售文件约定规则收取的浮动性质的管理费用。</w:t>
      </w:r>
    </w:p>
    <w:p w14:paraId="700AB1DD">
      <w:pPr>
        <w:tabs>
          <w:tab w:val="left" w:pos="709"/>
        </w:tabs>
        <w:snapToGrid w:val="0"/>
        <w:spacing w:line="360" w:lineRule="auto"/>
        <w:ind w:firstLine="480" w:firstLineChars="200"/>
        <w:rPr>
          <w:color w:val="auto"/>
          <w:highlight w:val="none"/>
          <w:u w:val="none"/>
        </w:rPr>
      </w:pPr>
      <w:r>
        <w:rPr>
          <w:rFonts w:hint="eastAsia" w:ascii="仿宋_GB2312" w:hAnsi="宋体" w:cs="宋体"/>
          <w:bCs/>
          <w:color w:val="auto"/>
          <w:kern w:val="0"/>
          <w:szCs w:val="24"/>
          <w:highlight w:val="none"/>
          <w:u w:val="none"/>
        </w:rPr>
        <w:t>8.其他费用（如有）：</w:t>
      </w:r>
      <w:r>
        <w:rPr>
          <w:rFonts w:hint="eastAsia"/>
          <w:color w:val="auto"/>
          <w:highlight w:val="none"/>
          <w:u w:val="none"/>
        </w:rPr>
        <w:t>与理财</w:t>
      </w:r>
      <w:r>
        <w:rPr>
          <w:color w:val="auto"/>
          <w:highlight w:val="none"/>
          <w:u w:val="none"/>
        </w:rPr>
        <w:t>产品相关的</w:t>
      </w:r>
      <w:r>
        <w:rPr>
          <w:rFonts w:hint="eastAsia"/>
          <w:color w:val="auto"/>
          <w:highlight w:val="none"/>
          <w:u w:val="none"/>
        </w:rPr>
        <w:t>账户服务费用、资产服务费用、交易费用（包括但不限于交易佣金、撮合费用等）、注册登记费、验资费、审计费、信息披露费</w:t>
      </w:r>
      <w:r>
        <w:rPr>
          <w:rFonts w:hint="eastAsia"/>
          <w:color w:val="auto"/>
          <w:highlight w:val="none"/>
          <w:u w:val="none"/>
          <w:lang w:eastAsia="zh-CN"/>
        </w:rPr>
        <w:t>、</w:t>
      </w:r>
      <w:r>
        <w:rPr>
          <w:rFonts w:hint="eastAsia"/>
          <w:color w:val="auto"/>
          <w:highlight w:val="none"/>
          <w:u w:val="none"/>
        </w:rPr>
        <w:t>清算费用、执行费用（包括但不限于律师费、诉讼费、仲裁费、公证费、保全费、执行费等）以及按照法律法规、监管规定和理财产品销售文件约定可以列入的其他费用，具体以实际发生为准。</w:t>
      </w:r>
    </w:p>
    <w:p w14:paraId="421BF9D4">
      <w:pPr>
        <w:tabs>
          <w:tab w:val="left" w:pos="709"/>
        </w:tabs>
        <w:snapToGrid w:val="0"/>
        <w:spacing w:line="360" w:lineRule="auto"/>
        <w:ind w:firstLine="482" w:firstLineChars="200"/>
        <w:rPr>
          <w:rFonts w:ascii="仿宋_GB2312" w:hAnsi="宋体" w:cs="宋体"/>
          <w:bCs/>
          <w:color w:val="auto"/>
          <w:kern w:val="0"/>
          <w:szCs w:val="24"/>
          <w:highlight w:val="none"/>
          <w:u w:val="none"/>
        </w:rPr>
      </w:pPr>
      <w:r>
        <w:rPr>
          <w:rFonts w:hint="eastAsia" w:ascii="仿宋_GB2312" w:hAnsi="宋体" w:cs="宋体"/>
          <w:b/>
          <w:bCs/>
          <w:color w:val="auto"/>
          <w:kern w:val="0"/>
          <w:szCs w:val="24"/>
          <w:highlight w:val="none"/>
          <w:u w:val="none"/>
        </w:rPr>
        <w:t>（六）其他</w:t>
      </w:r>
      <w:r>
        <w:rPr>
          <w:rFonts w:hint="eastAsia" w:ascii="仿宋_GB2312" w:hAnsi="宋体" w:cs="宋体"/>
          <w:bCs/>
          <w:color w:val="auto"/>
          <w:kern w:val="0"/>
          <w:szCs w:val="24"/>
          <w:highlight w:val="none"/>
          <w:u w:val="none"/>
        </w:rPr>
        <w:t xml:space="preserve"> </w:t>
      </w:r>
    </w:p>
    <w:p w14:paraId="68D47D19">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1.不可抗力：指理财产品各方不能预见、不能避免且不能克服的客观情况，该事件妨碍、影响或延误任何一方依相关理财产品销售文件履行其全部或部分义务。该事件包括但不限于：</w:t>
      </w:r>
    </w:p>
    <w:p w14:paraId="0DEDB57C">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A、地震、台风、海啸、洪水、火灾、停电、瘟疫；</w:t>
      </w:r>
    </w:p>
    <w:p w14:paraId="604186A7">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B、战争、政变、恐怖主义行动、骚乱、罢工；</w:t>
      </w:r>
    </w:p>
    <w:p w14:paraId="220C8EAA">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C、新的适用法律或国家政策的颁布或实施、对原适用法律或国家政策的修改；</w:t>
      </w:r>
    </w:p>
    <w:p w14:paraId="40E13AE2">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D、金融管理部门强制要求终止理财产品（该等强制要求不可归咎于任何一方）；</w:t>
      </w:r>
    </w:p>
    <w:p w14:paraId="2BB43C68">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E、因理财产品各方和/或其关联方运营网络系统遭受黑客攻击、电信部门技术调整或故障等原因而造成的理财产品各方和/或其关联方之服务、营业的中断或者延迟。</w:t>
      </w:r>
    </w:p>
    <w:p w14:paraId="2D639F56">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 xml:space="preserve">2.元：指人民币元。 </w:t>
      </w:r>
    </w:p>
    <w:p w14:paraId="0E4732B4">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14:paraId="13DF470B">
      <w:pPr>
        <w:pStyle w:val="2"/>
        <w:rPr>
          <w:color w:val="auto"/>
          <w:highlight w:val="none"/>
        </w:rPr>
      </w:pPr>
      <w:r>
        <w:rPr>
          <w:rFonts w:hint="eastAsia" w:ascii="仿宋_GB2312" w:hAnsi="宋体" w:cs="宋体"/>
          <w:bCs/>
          <w:color w:val="auto"/>
          <w:kern w:val="0"/>
          <w:szCs w:val="24"/>
          <w:highlight w:val="none"/>
        </w:rPr>
        <w:br w:type="page"/>
      </w:r>
      <w:r>
        <w:rPr>
          <w:rFonts w:hint="eastAsia"/>
          <w:color w:val="auto"/>
          <w:highlight w:val="none"/>
        </w:rPr>
        <w:t>理财产品的认购与成立</w:t>
      </w:r>
    </w:p>
    <w:p w14:paraId="55B712B1">
      <w:pPr>
        <w:pStyle w:val="3"/>
        <w:widowControl/>
        <w:tabs>
          <w:tab w:val="left" w:pos="709"/>
        </w:tabs>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参与主体及主要职责</w:t>
      </w:r>
    </w:p>
    <w:p w14:paraId="14785F96">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产品管理人</w:t>
      </w:r>
    </w:p>
    <w:p w14:paraId="23013316">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名称：浙银理财有限责任公司</w:t>
      </w:r>
    </w:p>
    <w:p w14:paraId="726B6B1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注册地：浙江省杭州市萧山区宁围街道民和路939号浙江商会大厦2幢20-22楼</w:t>
      </w:r>
    </w:p>
    <w:p w14:paraId="7FD2BCA0">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浙银理财负责本产品的投资运作和产品管理，</w:t>
      </w:r>
      <w:r>
        <w:rPr>
          <w:rFonts w:hint="eastAsia" w:ascii="仿宋_GB2312" w:hAnsi="宋体" w:cs="宋体"/>
          <w:b/>
          <w:color w:val="auto"/>
          <w:kern w:val="0"/>
          <w:szCs w:val="24"/>
          <w:highlight w:val="none"/>
        </w:rPr>
        <w:t>投资者在此授权并同意浙银理财享有以下权利</w:t>
      </w:r>
      <w:r>
        <w:rPr>
          <w:rFonts w:hint="eastAsia" w:ascii="仿宋_GB2312" w:hAnsi="宋体" w:cs="宋体"/>
          <w:bCs/>
          <w:color w:val="auto"/>
          <w:kern w:val="0"/>
          <w:szCs w:val="24"/>
          <w:highlight w:val="none"/>
        </w:rPr>
        <w:t>：</w:t>
      </w:r>
    </w:p>
    <w:p w14:paraId="5D8CB02E">
      <w:pPr>
        <w:widowControl/>
        <w:numPr>
          <w:ilvl w:val="0"/>
          <w:numId w:val="4"/>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按照本产品销售文件的约定，管理、运用和处分理财产品资金；</w:t>
      </w:r>
    </w:p>
    <w:p w14:paraId="679E275C">
      <w:pPr>
        <w:widowControl/>
        <w:numPr>
          <w:ilvl w:val="0"/>
          <w:numId w:val="4"/>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按照本产品销售文件的约定，及时、足额获得管理费和本产品说明书约定的其他费用（如有）；</w:t>
      </w:r>
    </w:p>
    <w:p w14:paraId="04777B08">
      <w:pPr>
        <w:widowControl/>
        <w:numPr>
          <w:ilvl w:val="0"/>
          <w:numId w:val="4"/>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管理人以其固有财产先行垫付因处理本产品相关事务所支出的理财产品费用及税费的，对理财产品资金享有优先受偿权；</w:t>
      </w:r>
    </w:p>
    <w:p w14:paraId="71402531">
      <w:pPr>
        <w:widowControl/>
        <w:numPr>
          <w:ilvl w:val="0"/>
          <w:numId w:val="4"/>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管理人有权根据本产品销售文件的约定提前终止或延长本理财产品的期限；</w:t>
      </w:r>
    </w:p>
    <w:p w14:paraId="445EFBFD">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（5）管理人有权单方调整本产品的发行规模上限、认/申购起点金额、投资者累计认/申购上限、赎回上限等要素；</w:t>
      </w:r>
    </w:p>
    <w:p w14:paraId="1D1953B0">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（6）管理人有权按照法律法规和监管机构的要求将投资者的信息向有权部门或相关机构披露；</w:t>
      </w:r>
    </w:p>
    <w:p w14:paraId="606A0F24">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（7）以理财产品管理人的名义，依照法律法规相关规定以及为理财产品的利益，对被投资的各类资产行使出资人/投资者权利（包括但不限于表决投票的权利）；</w:t>
      </w:r>
    </w:p>
    <w:p w14:paraId="4930251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14:paraId="6D9DD5F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（9）法律法规、监管政策及本产品</w:t>
      </w:r>
      <w:r>
        <w:rPr>
          <w:rFonts w:hint="eastAsia" w:ascii="仿宋_GB2312" w:hAnsi="宋体" w:cs="宋体"/>
          <w:bCs/>
          <w:color w:val="auto"/>
          <w:kern w:val="0"/>
          <w:szCs w:val="24"/>
          <w:highlight w:val="none"/>
          <w:lang w:eastAsia="zh-CN"/>
        </w:rPr>
        <w:t>销售</w:t>
      </w:r>
      <w:r>
        <w:rPr>
          <w:rFonts w:hint="eastAsia" w:ascii="仿宋_GB2312" w:hAnsi="宋体" w:cs="宋体"/>
          <w:bCs/>
          <w:color w:val="auto"/>
          <w:kern w:val="0"/>
          <w:szCs w:val="24"/>
          <w:highlight w:val="none"/>
        </w:rPr>
        <w:t>文件约定的其他权利。</w:t>
      </w:r>
    </w:p>
    <w:p w14:paraId="7D80FC0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2.产品托管机构</w:t>
      </w:r>
    </w:p>
    <w:p w14:paraId="304BBD3D">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名称：浙商银行股份有限公司</w:t>
      </w:r>
    </w:p>
    <w:p w14:paraId="088B5A0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注册地：浙江省杭州市萧山区鸿宁路1788号</w:t>
      </w:r>
    </w:p>
    <w:p w14:paraId="6215BB56">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w:t>
      </w:r>
      <w:r>
        <w:rPr>
          <w:rFonts w:ascii="仿宋_GB2312" w:hAnsi="宋体" w:cs="宋体"/>
          <w:bCs/>
          <w:color w:val="auto"/>
          <w:kern w:val="0"/>
          <w:szCs w:val="24"/>
          <w:highlight w:val="none"/>
        </w:rPr>
        <w:t>95527</w:t>
      </w:r>
    </w:p>
    <w:p w14:paraId="62A981E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托管机构主要职责：提供包括账户开立、资金保管、资金清算、估值核算、投资监督等理财产品托管服务。</w:t>
      </w:r>
    </w:p>
    <w:p w14:paraId="52B8F19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14:paraId="5E01EF4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产品销售机构</w:t>
      </w:r>
    </w:p>
    <w:p w14:paraId="12948F3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名称：浙江桐乡农村商业银行股份有限公司</w:t>
      </w:r>
    </w:p>
    <w:p w14:paraId="46088873">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注册地：浙江省嘉兴市桐乡市梧桐街道校场东路59号</w:t>
      </w:r>
    </w:p>
    <w:p w14:paraId="5A3A830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FB1D9F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名称</w:t>
      </w:r>
      <w:r>
        <w:rPr>
          <w:rFonts w:hint="eastAsia" w:ascii="仿宋_GB2312" w:hAnsi="宋体" w:cs="宋体"/>
          <w:bCs/>
          <w:color w:val="auto"/>
          <w:kern w:val="0"/>
          <w:szCs w:val="24"/>
          <w:highlight w:val="none"/>
        </w:rPr>
        <w:t>：浙江萧山农村商业银行股份有限公司</w:t>
      </w:r>
    </w:p>
    <w:p w14:paraId="253C0D4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注册地：浙江省杭州市萧山区盈丰街道鸿宁路2288号</w:t>
      </w:r>
    </w:p>
    <w:p w14:paraId="1E3A4DD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客户服务</w:t>
      </w:r>
      <w:r>
        <w:rPr>
          <w:rFonts w:hint="eastAsia" w:ascii="仿宋_GB2312" w:hAnsi="宋体" w:cs="宋体"/>
          <w:bCs/>
          <w:color w:val="auto"/>
          <w:kern w:val="0"/>
          <w:szCs w:val="24"/>
          <w:highlight w:val="none"/>
        </w:rPr>
        <w:t>热线：96596</w:t>
      </w:r>
    </w:p>
    <w:p w14:paraId="7B673A6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名称</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浙江德清农村商业银行股份有限公司</w:t>
      </w:r>
    </w:p>
    <w:p w14:paraId="22AB6E1F">
      <w:pPr>
        <w:widowControl/>
        <w:tabs>
          <w:tab w:val="left" w:pos="709"/>
        </w:tabs>
        <w:adjustRightInd w:val="0"/>
        <w:snapToGrid w:val="0"/>
        <w:spacing w:line="360" w:lineRule="auto"/>
        <w:ind w:firstLine="480" w:firstLineChars="200"/>
        <w:rPr>
          <w:rFonts w:hint="default" w:ascii="仿宋_GB2312" w:hAnsi="宋体" w:eastAsia="仿宋_GB2312" w:cs="宋体"/>
          <w:bCs/>
          <w:color w:val="auto"/>
          <w:kern w:val="0"/>
          <w:szCs w:val="24"/>
          <w:highlight w:val="none"/>
          <w:lang w:val="en-US" w:eastAsia="zh-CN"/>
        </w:rPr>
      </w:pPr>
      <w:r>
        <w:rPr>
          <w:rFonts w:hint="eastAsia" w:ascii="仿宋_GB2312" w:hAnsi="宋体" w:cs="宋体"/>
          <w:bCs/>
          <w:color w:val="auto"/>
          <w:kern w:val="0"/>
          <w:szCs w:val="24"/>
          <w:highlight w:val="none"/>
        </w:rPr>
        <w:t>注册地：</w:t>
      </w:r>
      <w:r>
        <w:rPr>
          <w:rFonts w:hint="eastAsia" w:ascii="仿宋_GB2312" w:hAnsi="宋体" w:cs="宋体"/>
          <w:bCs/>
          <w:color w:val="auto"/>
          <w:kern w:val="0"/>
          <w:szCs w:val="24"/>
          <w:highlight w:val="none"/>
          <w:lang w:val="en-US" w:eastAsia="zh-CN"/>
        </w:rPr>
        <w:t>浙江省德清县武康街道沈长圩街 50号</w:t>
      </w:r>
    </w:p>
    <w:p w14:paraId="74A20149">
      <w:pPr>
        <w:widowControl/>
        <w:tabs>
          <w:tab w:val="left" w:pos="709"/>
        </w:tabs>
        <w:adjustRightInd w:val="0"/>
        <w:snapToGrid w:val="0"/>
        <w:spacing w:line="360" w:lineRule="auto"/>
        <w:ind w:firstLine="480" w:firstLineChars="200"/>
        <w:rPr>
          <w:rFonts w:hint="default" w:ascii="仿宋_GB2312" w:hAnsi="宋体" w:eastAsia="仿宋_GB2312" w:cs="宋体"/>
          <w:bCs/>
          <w:color w:val="auto"/>
          <w:kern w:val="0"/>
          <w:szCs w:val="24"/>
          <w:highlight w:val="none"/>
          <w:lang w:val="en-US" w:eastAsia="zh-CN"/>
        </w:rPr>
      </w:pPr>
      <w:r>
        <w:rPr>
          <w:rFonts w:hint="eastAsia" w:ascii="仿宋_GB2312" w:hAnsi="宋体" w:cs="宋体"/>
          <w:bCs/>
          <w:color w:val="auto"/>
          <w:kern w:val="0"/>
          <w:szCs w:val="24"/>
          <w:highlight w:val="none"/>
          <w:lang w:eastAsia="zh-CN"/>
        </w:rPr>
        <w:t>客户服务</w:t>
      </w:r>
      <w:r>
        <w:rPr>
          <w:rFonts w:hint="eastAsia" w:ascii="仿宋_GB2312" w:hAnsi="宋体" w:cs="宋体"/>
          <w:bCs/>
          <w:color w:val="auto"/>
          <w:kern w:val="0"/>
          <w:szCs w:val="24"/>
          <w:highlight w:val="none"/>
        </w:rPr>
        <w:t>热线：</w:t>
      </w:r>
      <w:r>
        <w:rPr>
          <w:rFonts w:hint="eastAsia" w:ascii="仿宋_GB2312" w:hAnsi="宋体" w:cs="宋体"/>
          <w:bCs/>
          <w:color w:val="auto"/>
          <w:kern w:val="0"/>
          <w:szCs w:val="24"/>
          <w:highlight w:val="none"/>
          <w:lang w:val="en-US" w:eastAsia="zh-CN"/>
        </w:rPr>
        <w:t>96596</w:t>
      </w:r>
    </w:p>
    <w:p w14:paraId="48A0758B">
      <w:pPr>
        <w:widowControl/>
        <w:tabs>
          <w:tab w:val="left" w:pos="709"/>
        </w:tabs>
        <w:adjustRightInd w:val="0"/>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名称：浙江禾城农村商业银行股份有限公司</w:t>
      </w:r>
    </w:p>
    <w:p w14:paraId="15E1A9A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注册地：浙江省嘉兴市经济技术开发区文昌路1229号</w:t>
      </w:r>
    </w:p>
    <w:p w14:paraId="77AB2347">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064C530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w:t>
      </w:r>
      <w:r>
        <w:rPr>
          <w:rFonts w:hint="eastAsia" w:ascii="仿宋_GB2312" w:hAnsi="Times New Roman"/>
          <w:color w:val="auto"/>
          <w:kern w:val="0"/>
          <w:highlight w:val="none"/>
        </w:rPr>
        <w:t>浙江海宁农村商业银行股份有限公司</w:t>
      </w:r>
    </w:p>
    <w:p w14:paraId="4F09DE63">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注册地：浙江省海宁市海洲街道钱江西路278号</w:t>
      </w:r>
    </w:p>
    <w:p w14:paraId="0B936048">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6BBEF91E">
      <w:pPr>
        <w:widowControl/>
        <w:tabs>
          <w:tab w:val="left" w:pos="709"/>
        </w:tabs>
        <w:adjustRightInd w:val="0"/>
        <w:snapToGrid w:val="0"/>
        <w:spacing w:line="360" w:lineRule="auto"/>
        <w:ind w:firstLine="480" w:firstLineChars="200"/>
        <w:rPr>
          <w:rFonts w:hint="eastAsia" w:ascii="仿宋_GB2312" w:hAnsi="Times New Roman" w:eastAsia="仿宋_GB2312"/>
          <w:color w:val="auto"/>
          <w:kern w:val="0"/>
          <w:sz w:val="24"/>
          <w:highlight w:val="none"/>
          <w:lang w:val="en-US" w:eastAsia="zh-CN"/>
        </w:rPr>
      </w:pPr>
      <w:r>
        <w:rPr>
          <w:rFonts w:hint="eastAsia" w:ascii="仿宋_GB2312" w:hAnsi="宋体" w:cs="宋体"/>
          <w:bCs/>
          <w:color w:val="auto"/>
          <w:kern w:val="0"/>
          <w:szCs w:val="24"/>
          <w:highlight w:val="none"/>
        </w:rPr>
        <w:t>名称：</w:t>
      </w:r>
      <w:r>
        <w:rPr>
          <w:rFonts w:hint="eastAsia" w:ascii="仿宋_GB2312" w:hAnsi="Times New Roman" w:eastAsia="仿宋_GB2312"/>
          <w:color w:val="auto"/>
          <w:kern w:val="0"/>
          <w:sz w:val="24"/>
          <w:highlight w:val="none"/>
          <w:lang w:val="en-US" w:eastAsia="zh-CN"/>
        </w:rPr>
        <w:t>浙江温州龙湾农村商业银行股份有限公司</w:t>
      </w:r>
    </w:p>
    <w:p w14:paraId="30ADE25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w:t>
      </w:r>
      <w:r>
        <w:rPr>
          <w:rFonts w:hint="eastAsia" w:ascii="仿宋_GB2312" w:hAnsi="Times New Roman" w:eastAsia="仿宋_GB2312"/>
          <w:color w:val="auto"/>
          <w:kern w:val="0"/>
          <w:sz w:val="24"/>
          <w:highlight w:val="none"/>
          <w:lang w:val="en-US" w:eastAsia="zh-CN"/>
        </w:rPr>
        <w:t>浙江省温州市龙湾区永中街道永宁西路555号</w:t>
      </w:r>
    </w:p>
    <w:p w14:paraId="04F58B12">
      <w:pPr>
        <w:widowControl/>
        <w:tabs>
          <w:tab w:val="left" w:pos="709"/>
        </w:tabs>
        <w:adjustRightInd w:val="0"/>
        <w:snapToGrid w:val="0"/>
        <w:spacing w:line="360" w:lineRule="auto"/>
        <w:ind w:firstLine="480" w:firstLineChars="200"/>
        <w:rPr>
          <w:rFonts w:hint="default"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rPr>
        <w:t>客户服务热线：</w:t>
      </w:r>
      <w:r>
        <w:rPr>
          <w:rFonts w:hint="eastAsia" w:ascii="仿宋_GB2312" w:hAnsi="宋体" w:cs="宋体"/>
          <w:bCs/>
          <w:color w:val="auto"/>
          <w:kern w:val="0"/>
          <w:szCs w:val="24"/>
          <w:highlight w:val="none"/>
          <w:lang w:val="en-US" w:eastAsia="zh-CN"/>
        </w:rPr>
        <w:t>96596</w:t>
      </w:r>
    </w:p>
    <w:p w14:paraId="07918A31">
      <w:pPr>
        <w:widowControl/>
        <w:tabs>
          <w:tab w:val="left" w:pos="709"/>
        </w:tabs>
        <w:adjustRightInd w:val="0"/>
        <w:snapToGrid w:val="0"/>
        <w:spacing w:line="360" w:lineRule="auto"/>
        <w:ind w:firstLine="480" w:firstLineChars="200"/>
        <w:rPr>
          <w:rFonts w:hint="eastAsia" w:ascii="仿宋_GB2312" w:hAnsi="Times New Roman" w:eastAsia="仿宋_GB2312"/>
          <w:color w:val="auto"/>
          <w:kern w:val="0"/>
          <w:sz w:val="24"/>
          <w:highlight w:val="none"/>
          <w:lang w:val="en-US" w:eastAsia="zh-CN"/>
        </w:rPr>
      </w:pPr>
      <w:r>
        <w:rPr>
          <w:rFonts w:hint="eastAsia" w:ascii="仿宋_GB2312" w:hAnsi="宋体" w:cs="宋体"/>
          <w:bCs/>
          <w:color w:val="auto"/>
          <w:kern w:val="0"/>
          <w:szCs w:val="24"/>
          <w:highlight w:val="none"/>
        </w:rPr>
        <w:t>名称：</w:t>
      </w:r>
      <w:r>
        <w:rPr>
          <w:rFonts w:hint="eastAsia" w:ascii="仿宋_GB2312" w:hAnsi="Times New Roman" w:eastAsia="仿宋_GB2312"/>
          <w:color w:val="auto"/>
          <w:kern w:val="0"/>
          <w:sz w:val="24"/>
          <w:highlight w:val="none"/>
          <w:lang w:val="en-US" w:eastAsia="zh-CN"/>
        </w:rPr>
        <w:t>浙江</w:t>
      </w:r>
      <w:r>
        <w:rPr>
          <w:rFonts w:hint="eastAsia" w:ascii="仿宋_GB2312" w:hAnsi="Times New Roman"/>
          <w:color w:val="auto"/>
          <w:kern w:val="0"/>
          <w:sz w:val="24"/>
          <w:highlight w:val="none"/>
          <w:lang w:val="en-US" w:eastAsia="zh-CN"/>
        </w:rPr>
        <w:t>磐安</w:t>
      </w:r>
      <w:r>
        <w:rPr>
          <w:rFonts w:hint="eastAsia" w:ascii="仿宋_GB2312" w:hAnsi="Times New Roman" w:eastAsia="仿宋_GB2312"/>
          <w:color w:val="auto"/>
          <w:kern w:val="0"/>
          <w:sz w:val="24"/>
          <w:highlight w:val="none"/>
          <w:lang w:val="en-US" w:eastAsia="zh-CN"/>
        </w:rPr>
        <w:t>农村商业银行股份有限公司</w:t>
      </w:r>
    </w:p>
    <w:p w14:paraId="5DA9833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w:t>
      </w:r>
      <w:r>
        <w:rPr>
          <w:rFonts w:hint="eastAsia" w:ascii="仿宋_GB2312" w:hAnsi="Times New Roman"/>
          <w:color w:val="auto"/>
          <w:kern w:val="0"/>
          <w:sz w:val="24"/>
          <w:highlight w:val="none"/>
          <w:lang w:val="en-US" w:eastAsia="zh-CN"/>
        </w:rPr>
        <w:t>浙江省金华市磐安县安文街道新兴街185号</w:t>
      </w:r>
    </w:p>
    <w:p w14:paraId="4C2A9D5C">
      <w:pPr>
        <w:widowControl/>
        <w:tabs>
          <w:tab w:val="left" w:pos="709"/>
        </w:tabs>
        <w:adjustRightInd w:val="0"/>
        <w:snapToGrid w:val="0"/>
        <w:spacing w:line="360" w:lineRule="auto"/>
        <w:ind w:firstLine="480" w:firstLineChars="200"/>
        <w:rPr>
          <w:rFonts w:hint="default"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rPr>
        <w:t>客户服务热线：</w:t>
      </w:r>
      <w:r>
        <w:rPr>
          <w:rFonts w:hint="eastAsia" w:ascii="仿宋_GB2312" w:hAnsi="宋体" w:cs="宋体"/>
          <w:bCs/>
          <w:color w:val="auto"/>
          <w:kern w:val="0"/>
          <w:szCs w:val="24"/>
          <w:highlight w:val="none"/>
          <w:lang w:val="en-US" w:eastAsia="zh-CN"/>
        </w:rPr>
        <w:t>96596</w:t>
      </w:r>
    </w:p>
    <w:p w14:paraId="5D6C8FA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名称：浙江玉环农村商业银行股份有限公司</w:t>
      </w:r>
    </w:p>
    <w:p w14:paraId="7E9EC2A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注册地：浙江省玉环市玉城街道珠港大道26号</w:t>
      </w:r>
    </w:p>
    <w:p w14:paraId="234C745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1A7A3C8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名称：浙江南浔农村商业银行股份有限公司</w:t>
      </w:r>
    </w:p>
    <w:p w14:paraId="106BF4F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注册地：浙江省湖州市南浔区南浔镇人瑞路1188号</w:t>
      </w:r>
    </w:p>
    <w:p w14:paraId="04681AA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596C210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名称：浙江诸暨农村商业银行股份有限公司</w:t>
      </w:r>
    </w:p>
    <w:p w14:paraId="4EF65EB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注册地：浙江省诸暨市暨阳街道大桥东路2号</w:t>
      </w:r>
    </w:p>
    <w:p w14:paraId="1D8B829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3BE3658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名称：浙江衢州柯城农村商业银行股份有限公司</w:t>
      </w:r>
    </w:p>
    <w:p w14:paraId="5C8DE28A">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注册地：浙江省衢州市柯城区上街92号</w:t>
      </w:r>
    </w:p>
    <w:p w14:paraId="0E757F6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420214F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名称：浙江丽水莲都农村商业银行股份有限公司</w:t>
      </w:r>
    </w:p>
    <w:p w14:paraId="53CB069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注册地：浙江省丽水市莲都区解放街438号</w:t>
      </w:r>
    </w:p>
    <w:p w14:paraId="479A21E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2BF65A4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名称：浙江青田农村商业银行股份有限公司</w:t>
      </w:r>
    </w:p>
    <w:p w14:paraId="16EAFE6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注册地：浙江省青田县鹤城街道鹤城东路180号</w:t>
      </w:r>
    </w:p>
    <w:p w14:paraId="20815D4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554E3FB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名称：浙江东阳农村商业银行股份有限公司</w:t>
      </w:r>
    </w:p>
    <w:p w14:paraId="450E65B7">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注册地：浙江省东阳市双岘路18号</w:t>
      </w:r>
    </w:p>
    <w:p w14:paraId="38A8D38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10EA731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名称：浙江遂昌农村商业银行股份有限公司</w:t>
      </w:r>
    </w:p>
    <w:p w14:paraId="5858472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注册地：浙江省丽水市遂昌县妙高街道溪边路100号</w:t>
      </w:r>
    </w:p>
    <w:p w14:paraId="3F025FB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8876F3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名称：浙江临海农村商业银行股份有限公司</w:t>
      </w:r>
    </w:p>
    <w:p w14:paraId="7ED2A4A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注册地：浙江省台州市临海市大洋街道河阳路 299 号</w:t>
      </w:r>
    </w:p>
    <w:p w14:paraId="5804A22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EAB3AA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名称：浙江嵊泗农村商业银行股份有限公司</w:t>
      </w:r>
    </w:p>
    <w:p w14:paraId="4E180D7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注册地：浙江省嵊泗县菜园镇沙河路110号</w:t>
      </w:r>
    </w:p>
    <w:p w14:paraId="35685F9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0D7AE96A">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名称：浙江长兴农村商业银行股份有限公司</w:t>
      </w:r>
    </w:p>
    <w:p w14:paraId="30BB6DC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注册地：浙江省湖州市长兴县太湖街道明珠路1298号</w:t>
      </w:r>
    </w:p>
    <w:p w14:paraId="56ED143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6348BB7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名称：浙江舟山定海海洋农村商业银行股份有限公司</w:t>
      </w:r>
    </w:p>
    <w:p w14:paraId="2A5C02B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注册地：浙江省舟山市定海区环城东路81号</w:t>
      </w:r>
    </w:p>
    <w:p w14:paraId="5093121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C7E877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名称：浙江临安农村商业银行股份有限公司</w:t>
      </w:r>
    </w:p>
    <w:p w14:paraId="14C8E3B8">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注册地：浙江省杭州市临安区锦城街道城中街442号</w:t>
      </w:r>
    </w:p>
    <w:p w14:paraId="2FAC931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4389453E">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名称：浙江绍兴瑞丰农村商业银行股份有限公司</w:t>
      </w:r>
    </w:p>
    <w:p w14:paraId="68E6BC4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注册地：浙江省绍兴市柯桥区笛杨路1363号</w:t>
      </w:r>
    </w:p>
    <w:p w14:paraId="5DA5CB8A">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4127734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名称：浙江嘉善农村商业银行股份有限公司</w:t>
      </w:r>
    </w:p>
    <w:p w14:paraId="6A850BB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注册地：浙江省嘉兴市嘉善县罗星街道车站南路999号</w:t>
      </w:r>
    </w:p>
    <w:p w14:paraId="2A269A5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7AA38A4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w:t>
      </w:r>
      <w:r>
        <w:rPr>
          <w:rFonts w:hint="eastAsia" w:ascii="仿宋_GB2312" w:hAnsi="宋体" w:cs="宋体"/>
          <w:bCs/>
          <w:color w:val="auto"/>
          <w:kern w:val="0"/>
          <w:szCs w:val="24"/>
          <w:highlight w:val="none"/>
          <w:lang w:eastAsia="zh-CN"/>
        </w:rPr>
        <w:t>台州椒江</w:t>
      </w:r>
      <w:r>
        <w:rPr>
          <w:rFonts w:hint="eastAsia" w:ascii="仿宋_GB2312" w:hAnsi="宋体" w:cs="宋体"/>
          <w:bCs/>
          <w:color w:val="auto"/>
          <w:kern w:val="0"/>
          <w:szCs w:val="24"/>
          <w:highlight w:val="none"/>
        </w:rPr>
        <w:t>农村商业银行股份有限公司</w:t>
      </w:r>
    </w:p>
    <w:p w14:paraId="09AEDCF2">
      <w:pPr>
        <w:widowControl/>
        <w:tabs>
          <w:tab w:val="left" w:pos="709"/>
        </w:tabs>
        <w:adjustRightInd w:val="0"/>
        <w:snapToGrid w:val="0"/>
        <w:spacing w:line="360" w:lineRule="auto"/>
        <w:ind w:firstLine="480" w:firstLineChars="200"/>
        <w:rPr>
          <w:rFonts w:hint="eastAsia" w:ascii="仿宋_GB2312" w:hAnsi="仿宋_GB2312" w:eastAsia="仿宋_GB2312" w:cs="仿宋_GB2312"/>
          <w:color w:val="auto"/>
          <w:kern w:val="0"/>
          <w:sz w:val="24"/>
          <w:szCs w:val="32"/>
          <w:highlight w:val="none"/>
          <w:lang w:val="en-US" w:eastAsia="zh-CN"/>
        </w:rPr>
      </w:pPr>
      <w:r>
        <w:rPr>
          <w:rFonts w:hint="eastAsia" w:ascii="仿宋_GB2312" w:hAnsi="宋体" w:cs="宋体"/>
          <w:bCs/>
          <w:color w:val="auto"/>
          <w:kern w:val="0"/>
          <w:szCs w:val="24"/>
          <w:highlight w:val="none"/>
        </w:rPr>
        <w:t>注册地：</w:t>
      </w:r>
      <w:r>
        <w:rPr>
          <w:rFonts w:hint="eastAsia" w:ascii="仿宋_GB2312" w:hAnsi="仿宋_GB2312" w:eastAsia="仿宋_GB2312" w:cs="仿宋_GB2312"/>
          <w:color w:val="auto"/>
          <w:kern w:val="0"/>
          <w:sz w:val="24"/>
          <w:szCs w:val="32"/>
          <w:highlight w:val="none"/>
          <w:lang w:val="en-US" w:eastAsia="zh-CN"/>
        </w:rPr>
        <w:t>浙江省台州市椒江区洪家街道中心大道4081号</w:t>
      </w:r>
    </w:p>
    <w:p w14:paraId="149A4BDB">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39EDF4D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名称：浙江平湖农村商业银行股份有限公司</w:t>
      </w:r>
    </w:p>
    <w:p w14:paraId="5374E69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注册地：浙江省平湖市当湖街道胜利路518号</w:t>
      </w:r>
    </w:p>
    <w:p w14:paraId="0C92C9B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14:paraId="5451D545">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名称：浙江海盐农村商业银行股份有限公司</w:t>
      </w:r>
    </w:p>
    <w:p w14:paraId="3E3E23C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注册地：浙江省嘉兴市海盐县武原街道盐北东路1177号</w:t>
      </w:r>
    </w:p>
    <w:p w14:paraId="462CF67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客户服务热线：96596</w:t>
      </w:r>
    </w:p>
    <w:p w14:paraId="6A7F881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名称：浙江上虞农村商业银行股份有限公司</w:t>
      </w:r>
    </w:p>
    <w:p w14:paraId="0808E1A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注册地：浙江省绍兴市上虞区百官街道德盛路55号</w:t>
      </w:r>
    </w:p>
    <w:p w14:paraId="29040CE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客户服务热线：96596</w:t>
      </w:r>
    </w:p>
    <w:p w14:paraId="54D8E9FF">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名称：浙江松阳农村商业银行股份有限公司</w:t>
      </w:r>
    </w:p>
    <w:p w14:paraId="7FE2791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注册地：浙江省丽水市松阳县水南街道要津南路71号</w:t>
      </w:r>
    </w:p>
    <w:p w14:paraId="5DF907C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客户服务热线：96596</w:t>
      </w:r>
    </w:p>
    <w:p w14:paraId="5E800B4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名称：浙江浦江农村商业银行股份有限公司</w:t>
      </w:r>
    </w:p>
    <w:p w14:paraId="24A9C57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注册地：浙江省浦江县人民东路90号</w:t>
      </w:r>
    </w:p>
    <w:p w14:paraId="50312AB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客户服务热线：96596</w:t>
      </w:r>
    </w:p>
    <w:p w14:paraId="7A238D9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名称：</w:t>
      </w:r>
      <w:r>
        <w:rPr>
          <w:rFonts w:hint="eastAsia" w:ascii="仿宋_GB2312" w:hAnsi="仿宋_GB2312" w:eastAsia="仿宋_GB2312" w:cs="仿宋_GB2312"/>
          <w:color w:val="auto"/>
          <w:kern w:val="0"/>
          <w:sz w:val="24"/>
          <w:szCs w:val="32"/>
          <w:highlight w:val="none"/>
          <w:lang w:val="en-US" w:eastAsia="zh-CN"/>
        </w:rPr>
        <w:t>宁波北仑农村商业银行股份有限公司</w:t>
      </w:r>
    </w:p>
    <w:p w14:paraId="7FC2EA9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注册地：</w:t>
      </w:r>
      <w:r>
        <w:rPr>
          <w:rFonts w:hint="eastAsia" w:ascii="仿宋_GB2312" w:hAnsi="仿宋_GB2312" w:eastAsia="仿宋_GB2312" w:cs="仿宋_GB2312"/>
          <w:color w:val="auto"/>
          <w:kern w:val="0"/>
          <w:sz w:val="24"/>
          <w:szCs w:val="32"/>
          <w:highlight w:val="none"/>
          <w:lang w:val="en-US" w:eastAsia="zh-CN"/>
        </w:rPr>
        <w:t>浙江省宁波市北仑区宝山路新碶街道69号凤凰国际商务大厦1号楼北仑农商银行</w:t>
      </w:r>
    </w:p>
    <w:p w14:paraId="724DF34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客户服务热线：96596</w:t>
      </w:r>
    </w:p>
    <w:p w14:paraId="3A25D5C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名称：</w:t>
      </w:r>
      <w:r>
        <w:rPr>
          <w:rFonts w:hint="eastAsia" w:ascii="仿宋_GB2312" w:hAnsi="仿宋_GB2312" w:eastAsia="仿宋_GB2312" w:cs="仿宋_GB2312"/>
          <w:color w:val="auto"/>
          <w:kern w:val="0"/>
          <w:sz w:val="24"/>
          <w:szCs w:val="32"/>
          <w:highlight w:val="none"/>
          <w:lang w:val="en-US" w:eastAsia="zh-CN"/>
        </w:rPr>
        <w:t>浙江衢州衢江农村商业银行股份有限公司</w:t>
      </w:r>
    </w:p>
    <w:p w14:paraId="4C99AA0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注册地：</w:t>
      </w:r>
      <w:r>
        <w:rPr>
          <w:rFonts w:hint="eastAsia" w:ascii="仿宋_GB2312" w:hAnsi="仿宋_GB2312" w:eastAsia="仿宋_GB2312" w:cs="仿宋_GB2312"/>
          <w:color w:val="auto"/>
          <w:kern w:val="0"/>
          <w:sz w:val="24"/>
          <w:szCs w:val="32"/>
          <w:highlight w:val="none"/>
          <w:lang w:val="en-US" w:eastAsia="zh-CN"/>
        </w:rPr>
        <w:t>浙江省衢州市衢江区樟潭街道信安东路37号</w:t>
      </w:r>
    </w:p>
    <w:p w14:paraId="4258CD7A">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客户服务热线：96596</w:t>
      </w:r>
    </w:p>
    <w:p w14:paraId="7E78E99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名称：浙江龙泉农村商业银行股份有限公司</w:t>
      </w:r>
    </w:p>
    <w:p w14:paraId="6BCA5C21">
      <w:pPr>
        <w:widowControl/>
        <w:tabs>
          <w:tab w:val="left" w:pos="709"/>
        </w:tabs>
        <w:adjustRightInd w:val="0"/>
        <w:snapToGrid w:val="0"/>
        <w:spacing w:line="360" w:lineRule="auto"/>
        <w:ind w:firstLine="480" w:firstLineChars="200"/>
        <w:rPr>
          <w:rFonts w:hint="eastAsia" w:ascii="仿宋_GB2312" w:hAnsi="仿宋_GB2312" w:eastAsia="仿宋_GB2312" w:cs="仿宋_GB2312"/>
          <w:color w:val="auto"/>
          <w:kern w:val="0"/>
          <w:sz w:val="24"/>
          <w:szCs w:val="32"/>
          <w:highlight w:val="none"/>
          <w:lang w:val="en-US" w:eastAsia="zh-CN"/>
        </w:rPr>
      </w:pPr>
      <w:r>
        <w:rPr>
          <w:rFonts w:hint="eastAsia" w:ascii="仿宋_GB2312" w:hAnsi="宋体" w:cs="宋体"/>
          <w:bCs/>
          <w:color w:val="auto"/>
          <w:kern w:val="0"/>
          <w:szCs w:val="24"/>
          <w:highlight w:val="none"/>
          <w:lang w:eastAsia="zh-CN"/>
        </w:rPr>
        <w:t>注册地：</w:t>
      </w:r>
      <w:r>
        <w:rPr>
          <w:rFonts w:hint="eastAsia" w:ascii="仿宋_GB2312" w:hAnsi="仿宋_GB2312" w:eastAsia="仿宋_GB2312" w:cs="仿宋_GB2312"/>
          <w:color w:val="auto"/>
          <w:kern w:val="0"/>
          <w:sz w:val="24"/>
          <w:szCs w:val="32"/>
          <w:highlight w:val="none"/>
          <w:lang w:val="en-US" w:eastAsia="zh-CN"/>
        </w:rPr>
        <w:t>浙江省丽水市龙泉市龙渊街道中山东路101号</w:t>
      </w:r>
    </w:p>
    <w:p w14:paraId="05B8D7AD">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客户服务热线：96596</w:t>
      </w:r>
    </w:p>
    <w:p w14:paraId="2CEFC741">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名称：浙江桐庐农村商业银行股份有限公司</w:t>
      </w:r>
    </w:p>
    <w:p w14:paraId="5150C1C0">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注册地：浙江省杭州市桐庐县城迎春南路278号</w:t>
      </w:r>
    </w:p>
    <w:p w14:paraId="423CCF4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客户服务热线：96596</w:t>
      </w:r>
    </w:p>
    <w:p w14:paraId="67A4C49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名称：宁波奉化农村商业银行股份有限公司</w:t>
      </w:r>
    </w:p>
    <w:p w14:paraId="4F09CC34">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注册地：</w:t>
      </w:r>
      <w:r>
        <w:rPr>
          <w:rFonts w:hint="eastAsia" w:ascii="仿宋_GB2312" w:hAnsi="宋体" w:cs="宋体"/>
          <w:bCs/>
          <w:color w:val="auto"/>
          <w:kern w:val="0"/>
          <w:szCs w:val="24"/>
          <w:highlight w:val="none"/>
          <w:lang w:val="en-US" w:eastAsia="zh-CN"/>
        </w:rPr>
        <w:t>浙江省宁波市奉化区锦屏街道中山路27号</w:t>
      </w:r>
    </w:p>
    <w:p w14:paraId="23B769E8">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eastAsia="zh-CN"/>
        </w:rPr>
      </w:pPr>
      <w:r>
        <w:rPr>
          <w:rFonts w:hint="eastAsia" w:ascii="仿宋_GB2312" w:hAnsi="宋体" w:cs="宋体"/>
          <w:bCs/>
          <w:color w:val="auto"/>
          <w:kern w:val="0"/>
          <w:szCs w:val="24"/>
          <w:highlight w:val="none"/>
          <w:lang w:eastAsia="zh-CN"/>
        </w:rPr>
        <w:t>客户服务热线：96596</w:t>
      </w:r>
    </w:p>
    <w:p w14:paraId="4EFF22D5">
      <w:pPr>
        <w:widowControl/>
        <w:tabs>
          <w:tab w:val="left" w:pos="709"/>
        </w:tabs>
        <w:adjustRightInd w:val="0"/>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本产品的认购将通过销售机构的销售渠道进行（具体以销售机构提供的方式为准)。本产品销售机构包括但不限于【</w:t>
      </w:r>
      <w:r>
        <w:rPr>
          <w:rFonts w:hint="eastAsia" w:ascii="仿宋_GB2312" w:hAnsi="Times New Roman"/>
          <w:color w:val="auto"/>
          <w:kern w:val="0"/>
          <w:highlight w:val="none"/>
        </w:rPr>
        <w:t>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丽水莲都农村商业银行股份有限公司、浙江临安农村商业银行股份有限公司、浙江临海农村商业银行股份有限公司、浙江南浔农村商业银行股份有限公司、浙江磐安农村商业银行股份有限公司、浙江青田农村商业银行股份有限公司、浙江衢州柯城农村商业银行股份有限公司、浙江绍兴瑞丰农村商业银行股份有限公司、浙江省平湖农村商业银行股份有限公司、浙江嵊泗农村商业银行股份有限公司、浙江遂昌农村商业银行股份有限公司、浙江台州椒江农村商业银行股份有限公司、浙江桐乡农村商业银行股份有限公司、浙江温州龙湾农村商业银行股份有限公司、浙江萧山农村商业银行股份有限公司、浙江玉环农村商业银行股份有限公司、浙江长兴农村商业银行股份有限公司、浙江舟山定海海洋农村商业银行股份有限公司、浙江诸暨农村商业银行股份有限公司</w:t>
      </w:r>
      <w:r>
        <w:rPr>
          <w:rFonts w:hint="eastAsia" w:ascii="仿宋_GB2312" w:hAnsi="Times New Roman"/>
          <w:color w:val="auto"/>
          <w:kern w:val="0"/>
          <w:highlight w:val="none"/>
          <w:lang w:eastAsia="zh-CN"/>
        </w:rPr>
        <w:t>、浙江上虞农村商业银行股份有限公司、</w:t>
      </w:r>
      <w:r>
        <w:rPr>
          <w:rFonts w:hint="eastAsia" w:ascii="仿宋_GB2312" w:hAnsi="Times New Roman"/>
          <w:color w:val="auto"/>
          <w:kern w:val="0"/>
          <w:highlight w:val="none"/>
          <w:lang w:val="en-US" w:eastAsia="zh-CN"/>
        </w:rPr>
        <w:t>浙江浦江农村商业银行股份有限公司、浙江松阳农村商业银行股份有限公司、宁波北仑农村商业银行股份有限公司、浙江衢州衢江农村商业银行股份有限公司、</w:t>
      </w:r>
      <w:r>
        <w:rPr>
          <w:rFonts w:hint="eastAsia" w:ascii="仿宋_GB2312" w:hAnsi="宋体" w:cs="宋体"/>
          <w:bCs/>
          <w:color w:val="auto"/>
          <w:kern w:val="0"/>
          <w:szCs w:val="24"/>
          <w:highlight w:val="none"/>
          <w:lang w:eastAsia="zh-CN"/>
        </w:rPr>
        <w:t>浙江龙泉农村商业银行股份有限公司、浙江桐庐农村商业银行股份有限公司、宁波奉化农村商业银行股份有限公司</w:t>
      </w:r>
      <w:bookmarkStart w:id="0" w:name="_GoBack"/>
      <w:bookmarkEnd w:id="0"/>
      <w:r>
        <w:rPr>
          <w:rFonts w:hint="eastAsia" w:ascii="仿宋_GB2312" w:hAnsi="宋体" w:cs="宋体"/>
          <w:bCs/>
          <w:color w:val="auto"/>
          <w:kern w:val="0"/>
          <w:szCs w:val="24"/>
          <w:highlight w:val="none"/>
        </w:rPr>
        <w:t>】等机构，如有变更以管理人信息披露为准。</w:t>
      </w:r>
    </w:p>
    <w:p w14:paraId="648F9AF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销售</w:t>
      </w:r>
      <w:r>
        <w:rPr>
          <w:rFonts w:ascii="仿宋_GB2312" w:hAnsi="宋体" w:cs="宋体"/>
          <w:bCs/>
          <w:color w:val="auto"/>
          <w:kern w:val="0"/>
          <w:szCs w:val="24"/>
          <w:highlight w:val="none"/>
          <w:u w:val="none"/>
        </w:rPr>
        <w:t>机构</w:t>
      </w:r>
      <w:r>
        <w:rPr>
          <w:rFonts w:hint="eastAsia" w:ascii="仿宋_GB2312" w:hAnsi="宋体" w:cs="宋体"/>
          <w:bCs/>
          <w:color w:val="auto"/>
          <w:kern w:val="0"/>
          <w:szCs w:val="24"/>
          <w:highlight w:val="none"/>
          <w:u w:val="none"/>
        </w:rPr>
        <w:t>主要职责：理财产品宣传推介；为</w:t>
      </w:r>
      <w:r>
        <w:rPr>
          <w:rFonts w:ascii="仿宋_GB2312" w:hAnsi="宋体" w:cs="宋体"/>
          <w:bCs/>
          <w:color w:val="auto"/>
          <w:kern w:val="0"/>
          <w:szCs w:val="24"/>
          <w:highlight w:val="none"/>
          <w:u w:val="none"/>
        </w:rPr>
        <w:t>投资者办理</w:t>
      </w:r>
      <w:r>
        <w:rPr>
          <w:rFonts w:hint="eastAsia" w:ascii="仿宋_GB2312" w:hAnsi="宋体" w:cs="宋体"/>
          <w:bCs/>
          <w:color w:val="auto"/>
          <w:kern w:val="0"/>
          <w:szCs w:val="24"/>
          <w:highlight w:val="none"/>
          <w:u w:val="none"/>
        </w:rPr>
        <w:t>理财产品份额认购</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申购</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赎回服务；投资者风险承受能力评估和投资者适当性管理；</w:t>
      </w:r>
      <w:r>
        <w:rPr>
          <w:rFonts w:hint="eastAsia" w:ascii="仿宋_GB2312"/>
          <w:color w:val="auto"/>
          <w:highlight w:val="none"/>
          <w:u w:val="none"/>
        </w:rPr>
        <w:t>反洗钱、反恐怖融资、反扩散融资及非居民金融账户涉税信息尽职调查等</w:t>
      </w:r>
      <w:r>
        <w:rPr>
          <w:rFonts w:ascii="仿宋_GB2312"/>
          <w:color w:val="auto"/>
          <w:highlight w:val="none"/>
          <w:u w:val="none"/>
        </w:rPr>
        <w:t>；</w:t>
      </w:r>
      <w:r>
        <w:rPr>
          <w:rFonts w:hint="eastAsia" w:ascii="仿宋_GB2312"/>
          <w:color w:val="auto"/>
          <w:highlight w:val="none"/>
          <w:u w:val="none"/>
        </w:rPr>
        <w:t>协助投资者与管理人沟通</w:t>
      </w:r>
      <w:r>
        <w:rPr>
          <w:rFonts w:hint="eastAsia" w:ascii="仿宋_GB2312" w:hAnsi="宋体" w:cs="宋体"/>
          <w:bCs/>
          <w:color w:val="auto"/>
          <w:kern w:val="0"/>
          <w:szCs w:val="24"/>
          <w:highlight w:val="none"/>
          <w:u w:val="none"/>
        </w:rPr>
        <w:t>和客户维护等销售服务；国务院银行业监督管理机构规定的其他职责。</w:t>
      </w:r>
    </w:p>
    <w:p w14:paraId="7B51B300">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u w:val="none"/>
        </w:rPr>
      </w:pPr>
      <w:r>
        <w:rPr>
          <w:rFonts w:hint="eastAsia" w:ascii="仿宋_GB2312" w:hAnsi="宋体" w:cs="宋体"/>
          <w:b/>
          <w:bCs/>
          <w:color w:val="auto"/>
          <w:kern w:val="0"/>
          <w:szCs w:val="24"/>
          <w:highlight w:val="none"/>
          <w:u w:val="none"/>
        </w:rPr>
        <w:t>★重要</w:t>
      </w:r>
      <w:r>
        <w:rPr>
          <w:rFonts w:ascii="仿宋_GB2312" w:hAnsi="宋体" w:cs="宋体"/>
          <w:b/>
          <w:bCs/>
          <w:color w:val="auto"/>
          <w:kern w:val="0"/>
          <w:szCs w:val="24"/>
          <w:highlight w:val="none"/>
          <w:u w:val="none"/>
        </w:rPr>
        <w:t>提示：</w:t>
      </w:r>
      <w:r>
        <w:rPr>
          <w:rFonts w:hint="eastAsia" w:ascii="仿宋_GB2312" w:hAnsi="宋体" w:cs="宋体"/>
          <w:b/>
          <w:bCs/>
          <w:color w:val="auto"/>
          <w:kern w:val="0"/>
          <w:szCs w:val="24"/>
          <w:highlight w:val="none"/>
          <w:u w:val="none"/>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w:t>
      </w:r>
      <w:r>
        <w:rPr>
          <w:rFonts w:ascii="仿宋_GB2312" w:hAnsi="宋体" w:cs="宋体"/>
          <w:b/>
          <w:bCs/>
          <w:color w:val="auto"/>
          <w:kern w:val="0"/>
          <w:szCs w:val="24"/>
          <w:highlight w:val="none"/>
          <w:u w:val="none"/>
        </w:rPr>
        <w:t>履行</w:t>
      </w:r>
      <w:r>
        <w:rPr>
          <w:rFonts w:hint="eastAsia" w:ascii="仿宋_GB2312" w:hAnsi="宋体" w:cs="宋体"/>
          <w:b/>
          <w:bCs/>
          <w:color w:val="auto"/>
          <w:kern w:val="0"/>
          <w:szCs w:val="24"/>
          <w:highlight w:val="none"/>
          <w:u w:val="none"/>
        </w:rPr>
        <w:t>现行法律</w:t>
      </w:r>
      <w:r>
        <w:rPr>
          <w:rFonts w:ascii="仿宋_GB2312" w:hAnsi="宋体" w:cs="宋体"/>
          <w:b/>
          <w:bCs/>
          <w:color w:val="auto"/>
          <w:kern w:val="0"/>
          <w:szCs w:val="24"/>
          <w:highlight w:val="none"/>
          <w:u w:val="none"/>
        </w:rPr>
        <w:t>法规和</w:t>
      </w:r>
      <w:r>
        <w:rPr>
          <w:rFonts w:hint="eastAsia" w:ascii="仿宋_GB2312" w:hAnsi="宋体" w:cs="宋体"/>
          <w:b/>
          <w:bCs/>
          <w:color w:val="auto"/>
          <w:kern w:val="0"/>
          <w:szCs w:val="24"/>
          <w:highlight w:val="none"/>
          <w:u w:val="none"/>
        </w:rPr>
        <w:t>监管</w:t>
      </w:r>
      <w:r>
        <w:rPr>
          <w:rFonts w:ascii="仿宋_GB2312" w:hAnsi="宋体" w:cs="宋体"/>
          <w:b/>
          <w:bCs/>
          <w:color w:val="auto"/>
          <w:kern w:val="0"/>
          <w:szCs w:val="24"/>
          <w:highlight w:val="none"/>
          <w:u w:val="none"/>
        </w:rPr>
        <w:t>规定</w:t>
      </w:r>
      <w:r>
        <w:rPr>
          <w:rFonts w:hint="eastAsia" w:ascii="仿宋_GB2312" w:hAnsi="宋体" w:cs="宋体"/>
          <w:b/>
          <w:bCs/>
          <w:color w:val="auto"/>
          <w:kern w:val="0"/>
          <w:szCs w:val="24"/>
          <w:highlight w:val="none"/>
          <w:u w:val="none"/>
        </w:rPr>
        <w:t>所</w:t>
      </w:r>
      <w:r>
        <w:rPr>
          <w:rFonts w:ascii="仿宋_GB2312" w:hAnsi="宋体" w:cs="宋体"/>
          <w:b/>
          <w:bCs/>
          <w:color w:val="auto"/>
          <w:kern w:val="0"/>
          <w:szCs w:val="24"/>
          <w:highlight w:val="none"/>
          <w:u w:val="none"/>
        </w:rPr>
        <w:t>规定</w:t>
      </w:r>
      <w:r>
        <w:rPr>
          <w:rFonts w:hint="eastAsia" w:ascii="仿宋_GB2312" w:hAnsi="宋体" w:cs="宋体"/>
          <w:b/>
          <w:bCs/>
          <w:color w:val="auto"/>
          <w:kern w:val="0"/>
          <w:szCs w:val="24"/>
          <w:highlight w:val="none"/>
          <w:u w:val="none"/>
        </w:rPr>
        <w:t>必须</w:t>
      </w:r>
      <w:r>
        <w:rPr>
          <w:rFonts w:ascii="仿宋_GB2312" w:hAnsi="宋体" w:cs="宋体"/>
          <w:b/>
          <w:bCs/>
          <w:color w:val="auto"/>
          <w:kern w:val="0"/>
          <w:szCs w:val="24"/>
          <w:highlight w:val="none"/>
          <w:u w:val="none"/>
        </w:rPr>
        <w:t>履行的</w:t>
      </w:r>
      <w:r>
        <w:rPr>
          <w:rFonts w:hint="eastAsia" w:ascii="仿宋_GB2312" w:hAnsi="宋体" w:cs="宋体"/>
          <w:b/>
          <w:bCs/>
          <w:color w:val="auto"/>
          <w:kern w:val="0"/>
          <w:szCs w:val="24"/>
          <w:highlight w:val="none"/>
          <w:u w:val="none"/>
        </w:rPr>
        <w:t>程序。前述关联</w:t>
      </w:r>
      <w:r>
        <w:rPr>
          <w:rFonts w:ascii="仿宋_GB2312" w:hAnsi="宋体" w:cs="宋体"/>
          <w:b/>
          <w:bCs/>
          <w:color w:val="auto"/>
          <w:kern w:val="0"/>
          <w:szCs w:val="24"/>
          <w:highlight w:val="none"/>
          <w:u w:val="none"/>
        </w:rPr>
        <w:t>关系</w:t>
      </w:r>
      <w:r>
        <w:rPr>
          <w:rFonts w:hint="eastAsia" w:ascii="仿宋_GB2312" w:hAnsi="宋体" w:cs="宋体"/>
          <w:b/>
          <w:bCs/>
          <w:color w:val="auto"/>
          <w:kern w:val="0"/>
          <w:szCs w:val="24"/>
          <w:highlight w:val="none"/>
          <w:u w:val="none"/>
        </w:rPr>
        <w:t>可能</w:t>
      </w:r>
      <w:r>
        <w:rPr>
          <w:rFonts w:ascii="仿宋_GB2312" w:hAnsi="宋体" w:cs="宋体"/>
          <w:b/>
          <w:bCs/>
          <w:color w:val="auto"/>
          <w:kern w:val="0"/>
          <w:szCs w:val="24"/>
          <w:highlight w:val="none"/>
          <w:u w:val="none"/>
        </w:rPr>
        <w:t>导致</w:t>
      </w:r>
      <w:r>
        <w:rPr>
          <w:rFonts w:hint="eastAsia" w:ascii="仿宋_GB2312" w:hAnsi="宋体" w:cs="宋体"/>
          <w:b/>
          <w:bCs/>
          <w:color w:val="auto"/>
          <w:kern w:val="0"/>
          <w:szCs w:val="24"/>
          <w:highlight w:val="none"/>
          <w:u w:val="none"/>
        </w:rPr>
        <w:t>影响</w:t>
      </w:r>
      <w:r>
        <w:rPr>
          <w:rFonts w:ascii="仿宋_GB2312" w:hAnsi="宋体" w:cs="宋体"/>
          <w:b/>
          <w:bCs/>
          <w:color w:val="auto"/>
          <w:kern w:val="0"/>
          <w:szCs w:val="24"/>
          <w:highlight w:val="none"/>
          <w:u w:val="none"/>
        </w:rPr>
        <w:t>管理人</w:t>
      </w:r>
      <w:r>
        <w:rPr>
          <w:rFonts w:hint="eastAsia" w:ascii="仿宋_GB2312" w:hAnsi="宋体" w:cs="宋体"/>
          <w:b/>
          <w:bCs/>
          <w:color w:val="auto"/>
          <w:kern w:val="0"/>
          <w:szCs w:val="24"/>
          <w:highlight w:val="none"/>
          <w:u w:val="none"/>
        </w:rPr>
        <w:t>独立</w:t>
      </w:r>
      <w:r>
        <w:rPr>
          <w:rFonts w:ascii="仿宋_GB2312" w:hAnsi="宋体" w:cs="宋体"/>
          <w:b/>
          <w:bCs/>
          <w:color w:val="auto"/>
          <w:kern w:val="0"/>
          <w:szCs w:val="24"/>
          <w:highlight w:val="none"/>
          <w:u w:val="none"/>
        </w:rPr>
        <w:t>决策的</w:t>
      </w:r>
      <w:r>
        <w:rPr>
          <w:rFonts w:hint="eastAsia" w:ascii="仿宋_GB2312" w:hAnsi="宋体" w:cs="宋体"/>
          <w:b/>
          <w:bCs/>
          <w:color w:val="auto"/>
          <w:kern w:val="0"/>
          <w:szCs w:val="24"/>
          <w:highlight w:val="none"/>
          <w:u w:val="none"/>
        </w:rPr>
        <w:t>潜在</w:t>
      </w:r>
      <w:r>
        <w:rPr>
          <w:rFonts w:ascii="仿宋_GB2312" w:hAnsi="宋体" w:cs="宋体"/>
          <w:b/>
          <w:bCs/>
          <w:color w:val="auto"/>
          <w:kern w:val="0"/>
          <w:szCs w:val="24"/>
          <w:highlight w:val="none"/>
          <w:u w:val="none"/>
        </w:rPr>
        <w:t>风险</w:t>
      </w:r>
      <w:r>
        <w:rPr>
          <w:rFonts w:hint="eastAsia" w:ascii="仿宋_GB2312" w:hAnsi="宋体" w:cs="宋体"/>
          <w:b/>
          <w:bCs/>
          <w:color w:val="auto"/>
          <w:kern w:val="0"/>
          <w:szCs w:val="24"/>
          <w:highlight w:val="none"/>
          <w:u w:val="none"/>
        </w:rPr>
        <w:t>。</w:t>
      </w:r>
      <w:r>
        <w:rPr>
          <w:rFonts w:ascii="仿宋_GB2312" w:hAnsi="宋体" w:cs="宋体"/>
          <w:b/>
          <w:bCs/>
          <w:color w:val="auto"/>
          <w:kern w:val="0"/>
          <w:szCs w:val="24"/>
          <w:highlight w:val="none"/>
          <w:u w:val="none"/>
        </w:rPr>
        <w:t>投资者</w:t>
      </w:r>
      <w:r>
        <w:rPr>
          <w:rFonts w:hint="eastAsia" w:ascii="仿宋_GB2312" w:hAnsi="宋体" w:cs="宋体"/>
          <w:b/>
          <w:bCs/>
          <w:color w:val="auto"/>
          <w:kern w:val="0"/>
          <w:szCs w:val="24"/>
          <w:highlight w:val="none"/>
          <w:u w:val="none"/>
        </w:rPr>
        <w:t>确认已充分</w:t>
      </w:r>
      <w:r>
        <w:rPr>
          <w:rFonts w:ascii="仿宋_GB2312" w:hAnsi="宋体" w:cs="宋体"/>
          <w:b/>
          <w:bCs/>
          <w:color w:val="auto"/>
          <w:kern w:val="0"/>
          <w:szCs w:val="24"/>
          <w:highlight w:val="none"/>
          <w:u w:val="none"/>
        </w:rPr>
        <w:t>知悉前述</w:t>
      </w:r>
      <w:r>
        <w:rPr>
          <w:rFonts w:hint="eastAsia" w:ascii="仿宋_GB2312" w:hAnsi="宋体" w:cs="宋体"/>
          <w:b/>
          <w:bCs/>
          <w:color w:val="auto"/>
          <w:kern w:val="0"/>
          <w:szCs w:val="24"/>
          <w:highlight w:val="none"/>
          <w:u w:val="none"/>
        </w:rPr>
        <w:t>关联关系</w:t>
      </w:r>
      <w:r>
        <w:rPr>
          <w:rFonts w:ascii="仿宋_GB2312" w:hAnsi="宋体" w:cs="宋体"/>
          <w:b/>
          <w:bCs/>
          <w:color w:val="auto"/>
          <w:kern w:val="0"/>
          <w:szCs w:val="24"/>
          <w:highlight w:val="none"/>
          <w:u w:val="none"/>
        </w:rPr>
        <w:t>，</w:t>
      </w:r>
      <w:r>
        <w:rPr>
          <w:rFonts w:hint="eastAsia" w:ascii="仿宋_GB2312" w:hAnsi="宋体" w:cs="宋体"/>
          <w:b/>
          <w:bCs/>
          <w:color w:val="auto"/>
          <w:kern w:val="0"/>
          <w:szCs w:val="24"/>
          <w:highlight w:val="none"/>
          <w:u w:val="none"/>
        </w:rPr>
        <w:t>并</w:t>
      </w:r>
      <w:r>
        <w:rPr>
          <w:rFonts w:ascii="仿宋_GB2312" w:hAnsi="宋体" w:cs="宋体"/>
          <w:b/>
          <w:bCs/>
          <w:color w:val="auto"/>
          <w:kern w:val="0"/>
          <w:szCs w:val="24"/>
          <w:highlight w:val="none"/>
          <w:u w:val="none"/>
        </w:rPr>
        <w:t>接受</w:t>
      </w:r>
      <w:r>
        <w:rPr>
          <w:rFonts w:hint="eastAsia" w:ascii="仿宋_GB2312" w:hAnsi="宋体" w:cs="宋体"/>
          <w:b/>
          <w:bCs/>
          <w:color w:val="auto"/>
          <w:kern w:val="0"/>
          <w:szCs w:val="24"/>
          <w:highlight w:val="none"/>
          <w:u w:val="none"/>
        </w:rPr>
        <w:t>理财</w:t>
      </w:r>
      <w:r>
        <w:rPr>
          <w:rFonts w:ascii="仿宋_GB2312" w:hAnsi="宋体" w:cs="宋体"/>
          <w:b/>
          <w:bCs/>
          <w:color w:val="auto"/>
          <w:kern w:val="0"/>
          <w:szCs w:val="24"/>
          <w:highlight w:val="none"/>
          <w:u w:val="none"/>
        </w:rPr>
        <w:t>产品由</w:t>
      </w:r>
      <w:r>
        <w:rPr>
          <w:rFonts w:hint="eastAsia" w:ascii="仿宋_GB2312" w:hAnsi="宋体" w:cs="宋体"/>
          <w:b/>
          <w:bCs/>
          <w:color w:val="auto"/>
          <w:kern w:val="0"/>
          <w:szCs w:val="24"/>
          <w:highlight w:val="none"/>
          <w:u w:val="none"/>
        </w:rPr>
        <w:t>销售</w:t>
      </w:r>
      <w:r>
        <w:rPr>
          <w:rFonts w:ascii="仿宋_GB2312" w:hAnsi="宋体" w:cs="宋体"/>
          <w:b/>
          <w:bCs/>
          <w:color w:val="auto"/>
          <w:kern w:val="0"/>
          <w:szCs w:val="24"/>
          <w:highlight w:val="none"/>
          <w:u w:val="none"/>
        </w:rPr>
        <w:t>机构</w:t>
      </w:r>
      <w:r>
        <w:rPr>
          <w:rFonts w:hint="eastAsia" w:ascii="仿宋_GB2312" w:hAnsi="宋体" w:cs="宋体"/>
          <w:b/>
          <w:bCs/>
          <w:color w:val="auto"/>
          <w:kern w:val="0"/>
          <w:szCs w:val="24"/>
          <w:highlight w:val="none"/>
          <w:u w:val="none"/>
        </w:rPr>
        <w:t>代理</w:t>
      </w:r>
      <w:r>
        <w:rPr>
          <w:rFonts w:ascii="仿宋_GB2312" w:hAnsi="宋体" w:cs="宋体"/>
          <w:b/>
          <w:bCs/>
          <w:color w:val="auto"/>
          <w:kern w:val="0"/>
          <w:szCs w:val="24"/>
          <w:highlight w:val="none"/>
          <w:u w:val="none"/>
        </w:rPr>
        <w:t>销售</w:t>
      </w:r>
      <w:r>
        <w:rPr>
          <w:rFonts w:hint="eastAsia" w:ascii="仿宋_GB2312" w:hAnsi="宋体" w:cs="宋体"/>
          <w:b/>
          <w:bCs/>
          <w:color w:val="auto"/>
          <w:kern w:val="0"/>
          <w:szCs w:val="24"/>
          <w:highlight w:val="none"/>
          <w:u w:val="none"/>
        </w:rPr>
        <w:t>、托管机构</w:t>
      </w:r>
      <w:r>
        <w:rPr>
          <w:rFonts w:ascii="仿宋_GB2312" w:hAnsi="宋体" w:cs="宋体"/>
          <w:b/>
          <w:bCs/>
          <w:color w:val="auto"/>
          <w:kern w:val="0"/>
          <w:szCs w:val="24"/>
          <w:highlight w:val="none"/>
          <w:u w:val="none"/>
        </w:rPr>
        <w:t>托管。</w:t>
      </w:r>
    </w:p>
    <w:p w14:paraId="2B4C3C4E">
      <w:pPr>
        <w:pStyle w:val="3"/>
        <w:widowControl/>
        <w:tabs>
          <w:tab w:val="left" w:pos="709"/>
        </w:tabs>
        <w:adjustRightInd w:val="0"/>
        <w:snapToGrid w:val="0"/>
        <w:ind w:firstLine="482"/>
        <w:rPr>
          <w:color w:val="auto"/>
          <w:highlight w:val="none"/>
          <w:u w:val="none"/>
        </w:rPr>
      </w:pPr>
      <w:r>
        <w:rPr>
          <w:color w:val="auto"/>
          <w:highlight w:val="none"/>
          <w:u w:val="none"/>
        </w:rPr>
        <w:t>募集期</w:t>
      </w:r>
    </w:p>
    <w:p w14:paraId="76BB9D96">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产品募集期内，投资者可多次对本产品认购、追加、</w:t>
      </w:r>
      <w:r>
        <w:rPr>
          <w:rFonts w:hint="eastAsia"/>
          <w:color w:val="auto"/>
          <w:highlight w:val="none"/>
          <w:u w:val="none"/>
        </w:rPr>
        <w:t>撤单</w:t>
      </w:r>
      <w:r>
        <w:rPr>
          <w:rFonts w:hint="eastAsia" w:ascii="仿宋_GB2312" w:hAnsi="宋体" w:cs="宋体"/>
          <w:bCs/>
          <w:color w:val="auto"/>
          <w:kern w:val="0"/>
          <w:szCs w:val="24"/>
          <w:highlight w:val="none"/>
          <w:u w:val="none"/>
        </w:rPr>
        <w:t>。如投资者认购成功，销售机构有权冻结投资者认购资金，</w:t>
      </w:r>
      <w:r>
        <w:rPr>
          <w:rFonts w:hint="eastAsia" w:ascii="仿宋_GB2312" w:hAnsi="宋体" w:cs="宋体"/>
          <w:b/>
          <w:color w:val="auto"/>
          <w:kern w:val="0"/>
          <w:szCs w:val="24"/>
          <w:highlight w:val="none"/>
          <w:u w:val="none"/>
        </w:rPr>
        <w:t>但募集期内认购资金是否计息以销售机构规则为准，利息不计入认购本金份额。</w:t>
      </w:r>
      <w:r>
        <w:rPr>
          <w:rFonts w:hint="eastAsia" w:ascii="仿宋_GB2312" w:hAnsi="宋体" w:cs="宋体"/>
          <w:bCs/>
          <w:color w:val="auto"/>
          <w:kern w:val="0"/>
          <w:szCs w:val="24"/>
          <w:highlight w:val="none"/>
          <w:u w:val="none"/>
        </w:rPr>
        <w:t>销售机构实际受理投资者成功提交的认购申请时间可能与说明书不一致，具体以销售机构信息为准。</w:t>
      </w:r>
    </w:p>
    <w:p w14:paraId="08945E47">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本理财产品累计认购份额达到发行规模上限时，销售机构有权停止接受认购申请。管理人有权根据募集情况提前终止或延长产品募集期，</w:t>
      </w:r>
      <w:r>
        <w:rPr>
          <w:rFonts w:ascii="仿宋_GB2312" w:hAnsi="宋体" w:cs="宋体"/>
          <w:bCs/>
          <w:color w:val="auto"/>
          <w:kern w:val="0"/>
          <w:szCs w:val="24"/>
          <w:highlight w:val="none"/>
          <w:u w:val="none"/>
        </w:rPr>
        <w:t>如有变动</w:t>
      </w:r>
      <w:r>
        <w:rPr>
          <w:rFonts w:hint="eastAsia" w:ascii="仿宋_GB2312" w:hAnsi="宋体" w:cs="宋体"/>
          <w:bCs/>
          <w:color w:val="auto"/>
          <w:kern w:val="0"/>
          <w:szCs w:val="24"/>
          <w:highlight w:val="none"/>
          <w:u w:val="none"/>
        </w:rPr>
        <w:t>以管理人或销售机构公告为准。</w:t>
      </w:r>
    </w:p>
    <w:p w14:paraId="363882F8">
      <w:pPr>
        <w:pStyle w:val="3"/>
        <w:widowControl/>
        <w:tabs>
          <w:tab w:val="left" w:pos="709"/>
        </w:tabs>
        <w:snapToGrid w:val="0"/>
        <w:ind w:firstLine="482"/>
        <w:rPr>
          <w:rStyle w:val="28"/>
          <w:rFonts w:ascii="仿宋_GB2312" w:hAnsi="宋体"/>
          <w:b w:val="0"/>
          <w:color w:val="auto"/>
          <w:highlight w:val="none"/>
          <w:u w:val="none"/>
        </w:rPr>
      </w:pPr>
      <w:r>
        <w:rPr>
          <w:rFonts w:hint="eastAsia" w:ascii="仿宋_GB2312" w:hAnsi="宋体" w:cs="宋体"/>
          <w:bCs/>
          <w:color w:val="auto"/>
          <w:kern w:val="0"/>
          <w:szCs w:val="24"/>
          <w:highlight w:val="none"/>
          <w:u w:val="none"/>
        </w:rPr>
        <w:t>投资者</w:t>
      </w:r>
      <w:r>
        <w:rPr>
          <w:rFonts w:ascii="仿宋_GB2312" w:hAnsi="宋体" w:cs="宋体"/>
          <w:bCs/>
          <w:color w:val="auto"/>
          <w:kern w:val="0"/>
          <w:szCs w:val="24"/>
          <w:highlight w:val="none"/>
          <w:u w:val="none"/>
        </w:rPr>
        <w:t>范围</w:t>
      </w:r>
    </w:p>
    <w:p w14:paraId="3F52C71E">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14A16DFF">
      <w:pPr>
        <w:pStyle w:val="3"/>
        <w:ind w:firstLine="482"/>
        <w:rPr>
          <w:color w:val="auto"/>
          <w:highlight w:val="none"/>
          <w:u w:val="none"/>
        </w:rPr>
      </w:pPr>
      <w:r>
        <w:rPr>
          <w:rFonts w:hint="eastAsia"/>
          <w:color w:val="auto"/>
          <w:highlight w:val="none"/>
          <w:u w:val="none"/>
        </w:rPr>
        <w:t>认购的</w:t>
      </w:r>
      <w:r>
        <w:rPr>
          <w:color w:val="auto"/>
          <w:highlight w:val="none"/>
          <w:u w:val="none"/>
        </w:rPr>
        <w:t>价格</w:t>
      </w:r>
    </w:p>
    <w:p w14:paraId="66835B4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本产品的认购价格为每份理财份额人民币1.00</w:t>
      </w:r>
      <w:r>
        <w:rPr>
          <w:rFonts w:ascii="仿宋_GB2312" w:hAnsi="宋体" w:cs="宋体"/>
          <w:bCs/>
          <w:color w:val="auto"/>
          <w:kern w:val="0"/>
          <w:szCs w:val="24"/>
          <w:highlight w:val="none"/>
          <w:u w:val="none"/>
        </w:rPr>
        <w:t>00</w:t>
      </w:r>
      <w:r>
        <w:rPr>
          <w:rFonts w:hint="eastAsia" w:ascii="仿宋_GB2312" w:hAnsi="宋体" w:cs="宋体"/>
          <w:bCs/>
          <w:color w:val="auto"/>
          <w:kern w:val="0"/>
          <w:szCs w:val="24"/>
          <w:highlight w:val="none"/>
          <w:u w:val="none"/>
        </w:rPr>
        <w:t>元。</w:t>
      </w:r>
    </w:p>
    <w:p w14:paraId="3AED7F86">
      <w:pPr>
        <w:pStyle w:val="3"/>
        <w:widowControl/>
        <w:tabs>
          <w:tab w:val="left" w:pos="709"/>
        </w:tabs>
        <w:snapToGrid w:val="0"/>
        <w:ind w:firstLine="482"/>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认购</w:t>
      </w:r>
      <w:r>
        <w:rPr>
          <w:rFonts w:ascii="仿宋_GB2312" w:hAnsi="宋体" w:cs="宋体"/>
          <w:bCs/>
          <w:color w:val="auto"/>
          <w:kern w:val="0"/>
          <w:szCs w:val="24"/>
          <w:highlight w:val="none"/>
          <w:u w:val="none"/>
        </w:rPr>
        <w:t>份额</w:t>
      </w:r>
      <w:r>
        <w:rPr>
          <w:rFonts w:hint="eastAsia" w:ascii="仿宋_GB2312" w:hAnsi="宋体" w:cs="宋体"/>
          <w:bCs/>
          <w:color w:val="auto"/>
          <w:kern w:val="0"/>
          <w:szCs w:val="24"/>
          <w:highlight w:val="none"/>
          <w:u w:val="none"/>
        </w:rPr>
        <w:t>的</w:t>
      </w:r>
      <w:r>
        <w:rPr>
          <w:rFonts w:ascii="仿宋_GB2312" w:hAnsi="宋体" w:cs="宋体"/>
          <w:bCs/>
          <w:color w:val="auto"/>
          <w:kern w:val="0"/>
          <w:szCs w:val="24"/>
          <w:highlight w:val="none"/>
          <w:u w:val="none"/>
        </w:rPr>
        <w:t>计算</w:t>
      </w:r>
    </w:p>
    <w:p w14:paraId="63F200EF">
      <w:pPr>
        <w:widowControl/>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 xml:space="preserve">本产品采用金额认购方法，认购金额包括认购费用和净认购金额，认购时计算方法如下： </w:t>
      </w:r>
    </w:p>
    <w:p w14:paraId="4472D8A9">
      <w:pPr>
        <w:widowControl/>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净认购金额=认购金额/（1+认购费率）（认购费率详见产品说明书关于费用的说明）</w:t>
      </w:r>
    </w:p>
    <w:p w14:paraId="56C8D4C5">
      <w:pPr>
        <w:widowControl/>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认购费用=认购金额-净认购金额</w:t>
      </w:r>
    </w:p>
    <w:p w14:paraId="50F6EA2C">
      <w:pPr>
        <w:widowControl/>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认购份额=净认购金额/理财产品单位份额净值</w:t>
      </w:r>
    </w:p>
    <w:p w14:paraId="4E589D51">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认购份额以四舍五入的方法保留到小数点后两位。</w:t>
      </w:r>
    </w:p>
    <w:p w14:paraId="5ABA5491">
      <w:pPr>
        <w:pStyle w:val="3"/>
        <w:ind w:firstLine="482"/>
        <w:rPr>
          <w:color w:val="auto"/>
          <w:highlight w:val="none"/>
          <w:u w:val="none"/>
        </w:rPr>
      </w:pPr>
      <w:r>
        <w:rPr>
          <w:rFonts w:hint="eastAsia"/>
          <w:color w:val="auto"/>
          <w:highlight w:val="none"/>
          <w:u w:val="none"/>
        </w:rPr>
        <w:t>认购</w:t>
      </w:r>
      <w:r>
        <w:rPr>
          <w:rFonts w:hint="eastAsia"/>
          <w:color w:val="auto"/>
          <w:highlight w:val="none"/>
          <w:u w:val="none"/>
          <w:lang w:eastAsia="zh-CN"/>
        </w:rPr>
        <w:t>的</w:t>
      </w:r>
      <w:r>
        <w:rPr>
          <w:rFonts w:hint="eastAsia"/>
          <w:color w:val="auto"/>
          <w:highlight w:val="none"/>
          <w:u w:val="none"/>
        </w:rPr>
        <w:t>起点</w:t>
      </w:r>
      <w:r>
        <w:rPr>
          <w:rFonts w:hint="eastAsia"/>
          <w:color w:val="auto"/>
          <w:highlight w:val="none"/>
          <w:u w:val="none"/>
          <w:lang w:eastAsia="zh-CN"/>
        </w:rPr>
        <w:t>销售金额</w:t>
      </w:r>
      <w:r>
        <w:rPr>
          <w:rFonts w:hint="eastAsia"/>
          <w:color w:val="auto"/>
          <w:highlight w:val="none"/>
          <w:u w:val="none"/>
        </w:rPr>
        <w:t>和</w:t>
      </w:r>
      <w:r>
        <w:rPr>
          <w:rFonts w:hint="eastAsia"/>
          <w:color w:val="auto"/>
          <w:highlight w:val="none"/>
          <w:u w:val="none"/>
          <w:lang w:eastAsia="zh-CN"/>
        </w:rPr>
        <w:t>追加</w:t>
      </w:r>
      <w:r>
        <w:rPr>
          <w:rFonts w:hint="eastAsia"/>
          <w:color w:val="auto"/>
          <w:highlight w:val="none"/>
          <w:u w:val="none"/>
        </w:rPr>
        <w:t>递增</w:t>
      </w:r>
      <w:r>
        <w:rPr>
          <w:color w:val="auto"/>
          <w:highlight w:val="none"/>
          <w:u w:val="none"/>
        </w:rPr>
        <w:t>金额</w:t>
      </w:r>
    </w:p>
    <w:p w14:paraId="7EA7ACEE">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18548314">
      <w:pPr>
        <w:pStyle w:val="3"/>
        <w:widowControl/>
        <w:tabs>
          <w:tab w:val="left" w:pos="709"/>
        </w:tabs>
        <w:snapToGrid w:val="0"/>
        <w:ind w:firstLine="482"/>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认购确认</w:t>
      </w:r>
    </w:p>
    <w:p w14:paraId="49897BE6">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投资者提交认购申请后，如管理人在认购</w:t>
      </w:r>
      <w:r>
        <w:rPr>
          <w:rFonts w:ascii="仿宋_GB2312" w:hAnsi="宋体" w:cs="宋体"/>
          <w:bCs/>
          <w:color w:val="auto"/>
          <w:kern w:val="0"/>
          <w:szCs w:val="24"/>
          <w:highlight w:val="none"/>
          <w:u w:val="none"/>
        </w:rPr>
        <w:t>确认日</w:t>
      </w:r>
      <w:r>
        <w:rPr>
          <w:rFonts w:hint="eastAsia" w:ascii="仿宋_GB2312" w:hAnsi="宋体" w:cs="宋体"/>
          <w:bCs/>
          <w:color w:val="auto"/>
          <w:kern w:val="0"/>
          <w:szCs w:val="24"/>
          <w:highlight w:val="none"/>
          <w:u w:val="none"/>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14:paraId="12A648D7">
      <w:pPr>
        <w:pStyle w:val="3"/>
        <w:widowControl/>
        <w:tabs>
          <w:tab w:val="left" w:pos="709"/>
        </w:tabs>
        <w:snapToGrid w:val="0"/>
        <w:ind w:firstLine="482"/>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认购撤销</w:t>
      </w:r>
    </w:p>
    <w:p w14:paraId="48D0AE6D">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募集期内投资者可以撤销已提交的认购申请，具体请以销售机构规定为准。</w:t>
      </w:r>
    </w:p>
    <w:p w14:paraId="2266751B">
      <w:pPr>
        <w:pStyle w:val="3"/>
        <w:widowControl/>
        <w:tabs>
          <w:tab w:val="left" w:pos="709"/>
        </w:tabs>
        <w:snapToGrid w:val="0"/>
        <w:ind w:firstLine="482"/>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认购数量</w:t>
      </w:r>
      <w:r>
        <w:rPr>
          <w:rFonts w:ascii="仿宋_GB2312" w:hAnsi="宋体" w:cs="宋体"/>
          <w:bCs/>
          <w:color w:val="auto"/>
          <w:kern w:val="0"/>
          <w:szCs w:val="24"/>
          <w:highlight w:val="none"/>
          <w:u w:val="none"/>
        </w:rPr>
        <w:t>限制</w:t>
      </w:r>
    </w:p>
    <w:p w14:paraId="367FEC85">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3F41D5D7">
      <w:pPr>
        <w:pStyle w:val="3"/>
        <w:ind w:firstLine="482"/>
        <w:rPr>
          <w:color w:val="auto"/>
          <w:highlight w:val="none"/>
          <w:u w:val="none"/>
        </w:rPr>
      </w:pPr>
      <w:r>
        <w:rPr>
          <w:rFonts w:hint="eastAsia"/>
          <w:color w:val="auto"/>
          <w:highlight w:val="none"/>
          <w:u w:val="none"/>
        </w:rPr>
        <w:t>产品成立</w:t>
      </w:r>
    </w:p>
    <w:p w14:paraId="69150C29">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1.募集期届满，募集总资金累计金额不低于产品最低成立规模时，产品成立。</w:t>
      </w:r>
    </w:p>
    <w:p w14:paraId="1CF13003">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w:t>
      </w:r>
      <w:r>
        <w:rPr>
          <w:rFonts w:hint="eastAsia" w:ascii="仿宋_GB2312" w:hAnsi="宋体" w:cs="宋体"/>
          <w:b/>
          <w:bCs/>
          <w:color w:val="auto"/>
          <w:kern w:val="0"/>
          <w:szCs w:val="24"/>
          <w:highlight w:val="none"/>
          <w:u w:val="none"/>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hint="eastAsia" w:ascii="仿宋_GB2312" w:hAnsi="宋体"/>
          <w:b/>
          <w:color w:val="auto"/>
          <w:kern w:val="0"/>
          <w:szCs w:val="24"/>
          <w:highlight w:val="none"/>
          <w:u w:val="none"/>
        </w:rPr>
        <w:t>，亦有权延长募集期或调整募集规模</w:t>
      </w:r>
      <w:r>
        <w:rPr>
          <w:rFonts w:hint="eastAsia" w:ascii="仿宋_GB2312" w:hAnsi="宋体" w:cs="宋体"/>
          <w:b/>
          <w:bCs/>
          <w:color w:val="auto"/>
          <w:kern w:val="0"/>
          <w:szCs w:val="24"/>
          <w:highlight w:val="none"/>
          <w:u w:val="none"/>
        </w:rPr>
        <w:t>。</w:t>
      </w:r>
    </w:p>
    <w:p w14:paraId="7C8DE239">
      <w:pPr>
        <w:widowControl/>
        <w:tabs>
          <w:tab w:val="left" w:pos="709"/>
        </w:tabs>
        <w:snapToGrid w:val="0"/>
        <w:spacing w:line="360" w:lineRule="auto"/>
        <w:ind w:firstLine="480" w:firstLineChars="200"/>
        <w:rPr>
          <w:rFonts w:ascii="仿宋_GB2312" w:hAnsi="宋体" w:cs="宋体"/>
          <w:b/>
          <w:bCs/>
          <w:color w:val="auto"/>
          <w:kern w:val="0"/>
          <w:szCs w:val="24"/>
          <w:highlight w:val="none"/>
          <w:u w:val="none"/>
        </w:rPr>
      </w:pPr>
      <w:r>
        <w:rPr>
          <w:rFonts w:hint="eastAsia" w:ascii="仿宋_GB2312" w:hAnsi="宋体" w:cs="宋体"/>
          <w:bCs/>
          <w:color w:val="auto"/>
          <w:kern w:val="0"/>
          <w:szCs w:val="24"/>
          <w:highlight w:val="none"/>
          <w:u w:val="none"/>
        </w:rPr>
        <w:t>（1）产品不成立：管理人决定理财产品不成立，将及时通过本产品说明书约定的</w:t>
      </w:r>
      <w:r>
        <w:rPr>
          <w:rFonts w:ascii="仿宋_GB2312" w:hAnsi="宋体" w:cs="宋体"/>
          <w:bCs/>
          <w:color w:val="auto"/>
          <w:kern w:val="0"/>
          <w:szCs w:val="24"/>
          <w:highlight w:val="none"/>
          <w:u w:val="none"/>
        </w:rPr>
        <w:t>方式</w:t>
      </w:r>
      <w:r>
        <w:rPr>
          <w:rFonts w:hint="eastAsia" w:ascii="仿宋_GB2312" w:hAnsi="宋体" w:cs="宋体"/>
          <w:bCs/>
          <w:color w:val="auto"/>
          <w:kern w:val="0"/>
          <w:szCs w:val="24"/>
          <w:highlight w:val="none"/>
          <w:u w:val="none"/>
        </w:rPr>
        <w:t>披露产品不成立相关信息，并在不晚于产品原计划成立日后的3个</w:t>
      </w:r>
      <w:r>
        <w:rPr>
          <w:rFonts w:hint="eastAsia" w:ascii="仿宋_GB2312" w:hAnsi="宋体" w:cs="宋体"/>
          <w:bCs/>
          <w:color w:val="auto"/>
          <w:kern w:val="0"/>
          <w:szCs w:val="24"/>
          <w:highlight w:val="none"/>
          <w:u w:val="none"/>
          <w:lang w:eastAsia="zh-CN"/>
        </w:rPr>
        <w:t>交易日</w:t>
      </w:r>
      <w:r>
        <w:rPr>
          <w:rFonts w:hint="eastAsia" w:ascii="仿宋_GB2312" w:hAnsi="宋体" w:cs="宋体"/>
          <w:bCs/>
          <w:color w:val="auto"/>
          <w:kern w:val="0"/>
          <w:szCs w:val="24"/>
          <w:highlight w:val="none"/>
          <w:u w:val="none"/>
        </w:rPr>
        <w:t>通过销售机构将理财投资本金退回投资者指定账户。</w:t>
      </w:r>
    </w:p>
    <w:p w14:paraId="0D3D6179">
      <w:pPr>
        <w:widowControl/>
        <w:tabs>
          <w:tab w:val="left" w:pos="709"/>
        </w:tabs>
        <w:snapToGrid w:val="0"/>
        <w:spacing w:line="360" w:lineRule="auto"/>
        <w:ind w:firstLine="480" w:firstLineChars="200"/>
        <w:rPr>
          <w:rFonts w:ascii="仿宋_GB2312" w:hAnsi="宋体"/>
          <w:color w:val="auto"/>
          <w:kern w:val="0"/>
          <w:szCs w:val="24"/>
          <w:highlight w:val="none"/>
          <w:u w:val="none"/>
        </w:rPr>
      </w:pPr>
      <w:r>
        <w:rPr>
          <w:rFonts w:hint="eastAsia" w:ascii="仿宋_GB2312" w:hAnsi="宋体" w:cs="宋体"/>
          <w:bCs/>
          <w:color w:val="auto"/>
          <w:kern w:val="0"/>
          <w:szCs w:val="24"/>
          <w:highlight w:val="none"/>
          <w:u w:val="none"/>
        </w:rPr>
        <w:t>（2）</w:t>
      </w:r>
      <w:r>
        <w:rPr>
          <w:rFonts w:hint="eastAsia" w:ascii="仿宋_GB2312" w:hAnsi="宋体"/>
          <w:color w:val="auto"/>
          <w:kern w:val="0"/>
          <w:szCs w:val="24"/>
          <w:highlight w:val="none"/>
          <w:u w:val="none"/>
        </w:rPr>
        <w:t>延长产品募集期:</w:t>
      </w:r>
      <w:r>
        <w:rPr>
          <w:rFonts w:hint="eastAsia" w:ascii="仿宋_GB2312" w:hAnsi="宋体" w:cs="宋体"/>
          <w:bCs/>
          <w:color w:val="auto"/>
          <w:kern w:val="0"/>
          <w:szCs w:val="24"/>
          <w:highlight w:val="none"/>
          <w:u w:val="none"/>
        </w:rPr>
        <w:t>管理人决定延长产品募集期，</w:t>
      </w:r>
      <w:r>
        <w:rPr>
          <w:rFonts w:hint="eastAsia" w:ascii="仿宋_GB2312" w:hAnsi="宋体"/>
          <w:color w:val="auto"/>
          <w:kern w:val="0"/>
          <w:szCs w:val="24"/>
          <w:highlight w:val="none"/>
          <w:u w:val="none"/>
        </w:rPr>
        <w:t>将在理财</w:t>
      </w:r>
      <w:r>
        <w:rPr>
          <w:rFonts w:ascii="仿宋_GB2312" w:hAnsi="宋体"/>
          <w:color w:val="auto"/>
          <w:kern w:val="0"/>
          <w:szCs w:val="24"/>
          <w:highlight w:val="none"/>
          <w:u w:val="none"/>
        </w:rPr>
        <w:t>产品</w:t>
      </w:r>
      <w:r>
        <w:rPr>
          <w:rFonts w:hint="eastAsia" w:ascii="仿宋_GB2312" w:hAnsi="宋体"/>
          <w:color w:val="auto"/>
          <w:kern w:val="0"/>
          <w:szCs w:val="24"/>
          <w:highlight w:val="none"/>
          <w:u w:val="none"/>
        </w:rPr>
        <w:t>原定成立日前</w:t>
      </w:r>
      <w:r>
        <w:rPr>
          <w:rFonts w:hint="eastAsia" w:ascii="仿宋_GB2312" w:hAnsi="宋体" w:cs="宋体"/>
          <w:bCs/>
          <w:color w:val="auto"/>
          <w:kern w:val="0"/>
          <w:szCs w:val="24"/>
          <w:highlight w:val="none"/>
          <w:u w:val="none"/>
        </w:rPr>
        <w:t>通过本产品说明书约定</w:t>
      </w:r>
      <w:r>
        <w:rPr>
          <w:rFonts w:ascii="仿宋_GB2312" w:hAnsi="宋体" w:cs="宋体"/>
          <w:bCs/>
          <w:color w:val="auto"/>
          <w:kern w:val="0"/>
          <w:szCs w:val="24"/>
          <w:highlight w:val="none"/>
          <w:u w:val="none"/>
        </w:rPr>
        <w:t>方式</w:t>
      </w:r>
      <w:r>
        <w:rPr>
          <w:rFonts w:hint="eastAsia" w:ascii="仿宋_GB2312" w:hAnsi="宋体"/>
          <w:color w:val="auto"/>
          <w:kern w:val="0"/>
          <w:szCs w:val="24"/>
          <w:highlight w:val="none"/>
          <w:u w:val="none"/>
        </w:rPr>
        <w:t>发布募集期延长公告。</w:t>
      </w:r>
    </w:p>
    <w:p w14:paraId="4BFA8101">
      <w:pPr>
        <w:widowControl/>
        <w:tabs>
          <w:tab w:val="left" w:pos="709"/>
        </w:tabs>
        <w:snapToGrid w:val="0"/>
        <w:spacing w:line="360" w:lineRule="auto"/>
        <w:ind w:firstLine="480" w:firstLineChars="200"/>
        <w:rPr>
          <w:rFonts w:ascii="仿宋_GB2312" w:hAnsi="宋体"/>
          <w:color w:val="auto"/>
          <w:kern w:val="0"/>
          <w:szCs w:val="24"/>
          <w:highlight w:val="none"/>
          <w:u w:val="none"/>
        </w:rPr>
      </w:pPr>
      <w:r>
        <w:rPr>
          <w:rFonts w:hint="eastAsia" w:ascii="仿宋_GB2312" w:hAnsi="宋体" w:cs="宋体"/>
          <w:bCs/>
          <w:color w:val="auto"/>
          <w:kern w:val="0"/>
          <w:szCs w:val="24"/>
          <w:highlight w:val="none"/>
          <w:u w:val="none"/>
        </w:rPr>
        <w:t>（3）</w:t>
      </w:r>
      <w:r>
        <w:rPr>
          <w:rFonts w:hint="eastAsia" w:ascii="仿宋_GB2312" w:hAnsi="宋体"/>
          <w:color w:val="auto"/>
          <w:kern w:val="0"/>
          <w:szCs w:val="24"/>
          <w:highlight w:val="none"/>
          <w:u w:val="none"/>
        </w:rPr>
        <w:t>调整产品募集规模：</w:t>
      </w:r>
      <w:r>
        <w:rPr>
          <w:rFonts w:hint="eastAsia" w:ascii="仿宋_GB2312" w:hAnsi="宋体" w:cs="宋体"/>
          <w:bCs/>
          <w:color w:val="auto"/>
          <w:kern w:val="0"/>
          <w:szCs w:val="24"/>
          <w:highlight w:val="none"/>
          <w:u w:val="none"/>
        </w:rPr>
        <w:t>管理人决定调整产品募集规模，</w:t>
      </w:r>
      <w:r>
        <w:rPr>
          <w:rFonts w:hint="eastAsia" w:ascii="仿宋_GB2312" w:hAnsi="宋体"/>
          <w:color w:val="auto"/>
          <w:kern w:val="0"/>
          <w:szCs w:val="24"/>
          <w:highlight w:val="none"/>
          <w:u w:val="none"/>
        </w:rPr>
        <w:t>将及时通过</w:t>
      </w:r>
      <w:r>
        <w:rPr>
          <w:rFonts w:hint="eastAsia" w:ascii="仿宋_GB2312" w:hAnsi="宋体" w:cs="宋体"/>
          <w:bCs/>
          <w:color w:val="auto"/>
          <w:kern w:val="0"/>
          <w:szCs w:val="24"/>
          <w:highlight w:val="none"/>
          <w:u w:val="none"/>
        </w:rPr>
        <w:t>本产品说明书约定</w:t>
      </w:r>
      <w:r>
        <w:rPr>
          <w:rFonts w:ascii="仿宋_GB2312" w:hAnsi="宋体" w:cs="宋体"/>
          <w:bCs/>
          <w:color w:val="auto"/>
          <w:kern w:val="0"/>
          <w:szCs w:val="24"/>
          <w:highlight w:val="none"/>
          <w:u w:val="none"/>
        </w:rPr>
        <w:t>方式</w:t>
      </w:r>
      <w:r>
        <w:rPr>
          <w:rFonts w:hint="eastAsia" w:ascii="仿宋_GB2312" w:hAnsi="宋体"/>
          <w:color w:val="auto"/>
          <w:kern w:val="0"/>
          <w:szCs w:val="24"/>
          <w:highlight w:val="none"/>
          <w:u w:val="none"/>
        </w:rPr>
        <w:t>发布产品募集规模调整公告。</w:t>
      </w:r>
    </w:p>
    <w:p w14:paraId="63D5058B">
      <w:pPr>
        <w:widowControl/>
        <w:rPr>
          <w:rFonts w:ascii="仿宋_GB2312" w:hAnsi="宋体"/>
          <w:color w:val="auto"/>
          <w:kern w:val="0"/>
          <w:szCs w:val="24"/>
          <w:highlight w:val="none"/>
          <w:u w:val="none"/>
        </w:rPr>
      </w:pPr>
      <w:r>
        <w:rPr>
          <w:rFonts w:hint="eastAsia" w:ascii="仿宋_GB2312" w:hAnsi="宋体"/>
          <w:color w:val="auto"/>
          <w:kern w:val="0"/>
          <w:szCs w:val="24"/>
          <w:highlight w:val="none"/>
          <w:u w:val="none"/>
        </w:rPr>
        <w:br w:type="page"/>
      </w:r>
    </w:p>
    <w:p w14:paraId="088C44B2">
      <w:pPr>
        <w:pStyle w:val="2"/>
        <w:widowControl/>
        <w:tabs>
          <w:tab w:val="left" w:pos="709"/>
        </w:tabs>
        <w:snapToGrid w:val="0"/>
        <w:ind w:firstLine="560"/>
        <w:rPr>
          <w:rFonts w:ascii="仿宋_GB2312" w:hAnsi="宋体"/>
          <w:color w:val="auto"/>
          <w:kern w:val="0"/>
          <w:szCs w:val="24"/>
          <w:highlight w:val="none"/>
        </w:rPr>
      </w:pPr>
      <w:r>
        <w:rPr>
          <w:rFonts w:hint="eastAsia"/>
          <w:color w:val="auto"/>
          <w:highlight w:val="none"/>
        </w:rPr>
        <w:t>理财产品的申购与赎回</w:t>
      </w:r>
    </w:p>
    <w:p w14:paraId="6C23B4DD">
      <w:pPr>
        <w:pStyle w:val="3"/>
        <w:adjustRightInd w:val="0"/>
        <w:snapToGrid w:val="0"/>
        <w:ind w:firstLine="482"/>
        <w:rPr>
          <w:color w:val="auto"/>
          <w:highlight w:val="none"/>
          <w:u w:val="none"/>
        </w:rPr>
      </w:pPr>
      <w:r>
        <w:rPr>
          <w:rFonts w:hint="eastAsia"/>
          <w:color w:val="auto"/>
          <w:highlight w:val="none"/>
          <w:u w:val="none"/>
        </w:rPr>
        <w:t>申购、赎回原则</w:t>
      </w:r>
    </w:p>
    <w:p w14:paraId="7FB457C3">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1.“金额申购、份额赎回”原则，即申购以金额申请，赎回以份额申请。</w:t>
      </w:r>
    </w:p>
    <w:p w14:paraId="46845438">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2.申购和赎回采用“未知价”原则，即本产品申购申请和赎回申请提交时，适用的产品份额净值都是未知的。</w:t>
      </w:r>
    </w:p>
    <w:p w14:paraId="03228054">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3.申购、赎回申请可以在对应申购日、赎回日交易时间截止前撤销，最终申请确认情况以</w:t>
      </w:r>
      <w:r>
        <w:rPr>
          <w:rFonts w:hint="eastAsia" w:ascii="仿宋_GB2312" w:hAnsi="宋体" w:cs="宋体"/>
          <w:bCs/>
          <w:color w:val="auto"/>
          <w:kern w:val="0"/>
          <w:szCs w:val="24"/>
          <w:highlight w:val="none"/>
          <w:u w:val="none"/>
          <w:lang w:eastAsia="zh-CN"/>
        </w:rPr>
        <w:t>浙银理财</w:t>
      </w:r>
      <w:r>
        <w:rPr>
          <w:rFonts w:hint="eastAsia" w:ascii="仿宋_GB2312" w:hAnsi="宋体" w:cs="宋体"/>
          <w:bCs/>
          <w:color w:val="auto"/>
          <w:kern w:val="0"/>
          <w:szCs w:val="24"/>
          <w:highlight w:val="none"/>
          <w:u w:val="none"/>
        </w:rPr>
        <w:t>确认的结果为准。</w:t>
      </w:r>
    </w:p>
    <w:p w14:paraId="685B1969">
      <w:pPr>
        <w:tabs>
          <w:tab w:val="left" w:pos="312"/>
        </w:tabs>
        <w:adjustRightInd w:val="0"/>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4.赎回原则遵循“先进先出”原则或“指定赎回”原则，投资者赎回理财计划份额时适用的赎回原则以对应的销售服务机构提供的赎回服务为准。</w:t>
      </w:r>
    </w:p>
    <w:p w14:paraId="13B11D1D">
      <w:pPr>
        <w:tabs>
          <w:tab w:val="left" w:pos="3119"/>
        </w:tabs>
        <w:autoSpaceDE w:val="0"/>
        <w:autoSpaceDN w:val="0"/>
        <w:adjustRightInd/>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当开放式公募理财产品（现金管理类理财产品除外）遭遇大额申购或赎回时，产品管理人有权采用摆动定价机制，以确保估值的公平性。具体处理原则与操作方法遵循法律法规以及监管部门、自律规则的相关规定，产品管理人将提前发布相关公告。</w:t>
      </w:r>
    </w:p>
    <w:p w14:paraId="06F11761">
      <w:pPr>
        <w:pStyle w:val="3"/>
        <w:adjustRightInd w:val="0"/>
        <w:snapToGrid w:val="0"/>
        <w:ind w:firstLine="482"/>
        <w:rPr>
          <w:color w:val="auto"/>
          <w:highlight w:val="none"/>
          <w:u w:val="none"/>
        </w:rPr>
      </w:pPr>
      <w:r>
        <w:rPr>
          <w:rFonts w:hint="eastAsia"/>
          <w:color w:val="auto"/>
          <w:highlight w:val="none"/>
          <w:u w:val="none"/>
        </w:rPr>
        <w:t>理财</w:t>
      </w:r>
      <w:r>
        <w:rPr>
          <w:color w:val="auto"/>
          <w:highlight w:val="none"/>
          <w:u w:val="none"/>
        </w:rPr>
        <w:t>产品</w:t>
      </w:r>
      <w:r>
        <w:rPr>
          <w:rFonts w:hint="eastAsia"/>
          <w:color w:val="auto"/>
          <w:highlight w:val="none"/>
          <w:u w:val="none"/>
        </w:rPr>
        <w:t>的</w:t>
      </w:r>
      <w:r>
        <w:rPr>
          <w:color w:val="auto"/>
          <w:highlight w:val="none"/>
          <w:u w:val="none"/>
        </w:rPr>
        <w:t>申购</w:t>
      </w:r>
    </w:p>
    <w:p w14:paraId="4ACE6BD9">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1.申购的时间</w:t>
      </w:r>
    </w:p>
    <w:p w14:paraId="7436B423">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本产品具体申购时间以《产品说明书》“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”为准。</w:t>
      </w:r>
    </w:p>
    <w:p w14:paraId="6302E020">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2.申购的方式</w:t>
      </w:r>
    </w:p>
    <w:p w14:paraId="7004CF63">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投资者可通过销售机构的销售渠道申购。不同销售机构的销售渠道，申购确认时效可能存在差异。</w:t>
      </w:r>
    </w:p>
    <w:p w14:paraId="1E382790">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投资者通过销售机构线下渠道申购的，应签署有关理财产品销售文件。</w:t>
      </w:r>
    </w:p>
    <w:p w14:paraId="762C70D9">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投资者通过销售机构线上渠道申购的，应根据销售机构线上渠道的具体要求执行。</w:t>
      </w:r>
    </w:p>
    <w:p w14:paraId="69E52DCE">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3.申购的确认</w:t>
      </w:r>
    </w:p>
    <w:p w14:paraId="5A15E6A8">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本产品申购确认详见《产品说明书》“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71DD84E5">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投资者提交申购申请并不代表申购成功，产品管理人将在申购确认日确认投资者是否申购成功。申购是否成功以管理人的确认结果为准。投资者可以在申购确认日系统完成处理后，查询产品份额。</w:t>
      </w:r>
    </w:p>
    <w:p w14:paraId="285E3771">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4.申购的价格</w:t>
      </w:r>
    </w:p>
    <w:p w14:paraId="69A9EDCE">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申购价格为申购日的产品份额净值。</w:t>
      </w:r>
    </w:p>
    <w:p w14:paraId="66B0E971">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宋体" w:hAnsi="宋体" w:cs="宋体"/>
          <w:color w:val="auto"/>
          <w:kern w:val="0"/>
          <w:szCs w:val="24"/>
          <w:highlight w:val="none"/>
          <w:u w:val="none"/>
        </w:rPr>
        <w:t>如遇某一类产品份额类别存续期间产品份额被全部赎回的情况，符合该产品份额类别的投资者适当性要求的投资者仍可按照相关申购规则进行购买，投资者提交申购申请的首日，申购价格参照该产品份额类别的最近估值日的产品份额净值计算。请详见</w:t>
      </w:r>
      <w:r>
        <w:rPr>
          <w:rFonts w:hint="eastAsia" w:ascii="仿宋_GB2312" w:hAnsi="宋体" w:cs="宋体"/>
          <w:color w:val="auto"/>
          <w:kern w:val="0"/>
          <w:szCs w:val="24"/>
          <w:highlight w:val="none"/>
          <w:u w:val="none"/>
        </w:rPr>
        <w:t>产品管理人的开放日公告。</w:t>
      </w:r>
    </w:p>
    <w:p w14:paraId="23C1BB30">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5.申购的费用</w:t>
      </w:r>
    </w:p>
    <w:p w14:paraId="27B42859">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本产品申购费率详见《产品说明书》“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368D0BA7">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 xml:space="preserve">6.申购份额计算 </w:t>
      </w:r>
    </w:p>
    <w:p w14:paraId="4711EBE9">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本产品的申购金额包括申购费用和净申购金额。申购份额的计算公式为：</w:t>
      </w:r>
    </w:p>
    <w:p w14:paraId="08192EFE">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净申购金额=申购金额/（1+申购费率）（申购</w:t>
      </w:r>
      <w:r>
        <w:rPr>
          <w:rFonts w:ascii="仿宋_GB2312" w:hAnsi="宋体" w:cs="宋体"/>
          <w:bCs/>
          <w:color w:val="auto"/>
          <w:kern w:val="0"/>
          <w:szCs w:val="24"/>
          <w:highlight w:val="none"/>
          <w:u w:val="none"/>
        </w:rPr>
        <w:t>费</w:t>
      </w:r>
      <w:r>
        <w:rPr>
          <w:rFonts w:hint="eastAsia" w:ascii="仿宋_GB2312" w:hAnsi="宋体" w:cs="宋体"/>
          <w:bCs/>
          <w:color w:val="auto"/>
          <w:kern w:val="0"/>
          <w:szCs w:val="24"/>
          <w:highlight w:val="none"/>
          <w:u w:val="none"/>
        </w:rPr>
        <w:t>率详见产品说明书</w:t>
      </w:r>
      <w:r>
        <w:rPr>
          <w:rFonts w:ascii="仿宋_GB2312" w:hAnsi="宋体" w:cs="宋体"/>
          <w:bCs/>
          <w:color w:val="auto"/>
          <w:kern w:val="0"/>
          <w:szCs w:val="24"/>
          <w:highlight w:val="none"/>
          <w:u w:val="none"/>
        </w:rPr>
        <w:t>关于费用</w:t>
      </w:r>
      <w:r>
        <w:rPr>
          <w:rFonts w:hint="eastAsia" w:ascii="仿宋_GB2312" w:hAnsi="宋体" w:cs="宋体"/>
          <w:bCs/>
          <w:color w:val="auto"/>
          <w:kern w:val="0"/>
          <w:szCs w:val="24"/>
          <w:highlight w:val="none"/>
          <w:u w:val="none"/>
        </w:rPr>
        <w:t>的说明</w:t>
      </w:r>
      <w:r>
        <w:rPr>
          <w:rFonts w:ascii="仿宋_GB2312" w:hAnsi="宋体" w:cs="宋体"/>
          <w:bCs/>
          <w:color w:val="auto"/>
          <w:kern w:val="0"/>
          <w:szCs w:val="24"/>
          <w:highlight w:val="none"/>
          <w:u w:val="none"/>
        </w:rPr>
        <w:t>）</w:t>
      </w:r>
    </w:p>
    <w:p w14:paraId="71DA2DB9">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申购费用=申购金额－净申购金额</w:t>
      </w:r>
    </w:p>
    <w:p w14:paraId="7A30C1BF">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申购份额=净申购金额/申购日产品份额净值</w:t>
      </w:r>
    </w:p>
    <w:p w14:paraId="1557D598">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上述计算结果均按四舍五入方法，保留到小数点后2位，由此产生的收益或损失由理财产品承担。</w:t>
      </w:r>
    </w:p>
    <w:p w14:paraId="3EC801D5">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7.申购的起点</w:t>
      </w:r>
      <w:r>
        <w:rPr>
          <w:rFonts w:hint="eastAsia" w:ascii="仿宋_GB2312" w:hAnsi="宋体" w:cs="宋体"/>
          <w:bCs/>
          <w:color w:val="auto"/>
          <w:kern w:val="0"/>
          <w:szCs w:val="24"/>
          <w:highlight w:val="none"/>
          <w:u w:val="none"/>
          <w:lang w:eastAsia="zh-CN"/>
        </w:rPr>
        <w:t>销售金额</w:t>
      </w:r>
      <w:r>
        <w:rPr>
          <w:rFonts w:hint="eastAsia" w:ascii="仿宋_GB2312" w:hAnsi="宋体" w:cs="宋体"/>
          <w:bCs/>
          <w:color w:val="auto"/>
          <w:kern w:val="0"/>
          <w:szCs w:val="24"/>
          <w:highlight w:val="none"/>
          <w:u w:val="none"/>
        </w:rPr>
        <w:t>和</w:t>
      </w:r>
      <w:r>
        <w:rPr>
          <w:rFonts w:hint="eastAsia" w:ascii="仿宋_GB2312" w:hAnsi="宋体" w:cs="宋体"/>
          <w:bCs/>
          <w:color w:val="auto"/>
          <w:kern w:val="0"/>
          <w:szCs w:val="24"/>
          <w:highlight w:val="none"/>
          <w:u w:val="none"/>
          <w:lang w:eastAsia="zh-CN"/>
        </w:rPr>
        <w:t>追加</w:t>
      </w:r>
      <w:r>
        <w:rPr>
          <w:rFonts w:hint="eastAsia" w:ascii="仿宋_GB2312" w:hAnsi="宋体" w:cs="宋体"/>
          <w:bCs/>
          <w:color w:val="auto"/>
          <w:kern w:val="0"/>
          <w:szCs w:val="24"/>
          <w:highlight w:val="none"/>
          <w:u w:val="none"/>
        </w:rPr>
        <w:t xml:space="preserve">递增金额 </w:t>
      </w:r>
    </w:p>
    <w:p w14:paraId="64B58722">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34E31E7E">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8.申购的数量限制</w:t>
      </w:r>
    </w:p>
    <w:p w14:paraId="353668A5">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70BF323E">
      <w:pPr>
        <w:adjustRightInd w:val="0"/>
        <w:snapToGrid w:val="0"/>
        <w:spacing w:line="360" w:lineRule="auto"/>
        <w:ind w:firstLine="480" w:firstLineChars="200"/>
        <w:rPr>
          <w:color w:val="auto"/>
          <w:highlight w:val="none"/>
          <w:u w:val="none"/>
        </w:rPr>
      </w:pPr>
      <w:r>
        <w:rPr>
          <w:rFonts w:hint="eastAsia" w:ascii="仿宋_GB2312" w:hAnsi="仿宋_GB2312" w:cs="仿宋_GB2312"/>
          <w:color w:val="auto"/>
          <w:highlight w:val="none"/>
          <w:u w:val="none"/>
        </w:rPr>
        <w:t>9.拒</w:t>
      </w:r>
      <w:r>
        <w:rPr>
          <w:rFonts w:hint="eastAsia"/>
          <w:color w:val="auto"/>
          <w:highlight w:val="none"/>
          <w:u w:val="none"/>
        </w:rPr>
        <w:t>绝或暂停申购</w:t>
      </w:r>
    </w:p>
    <w:p w14:paraId="6399AA12">
      <w:pPr>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除本理财产品说明书另有规定外，当出现以下情形之一时，管理人有权拒绝投资者提交的理财产品申购申请并确认投资者申购失败，或通知销售机构暂停投资者申购并关闭系统申购交易功能，并在3个工作日内公告。在拒绝、暂停申购的情况消除后，管理人应及时通知销售机构恢复理财产品申购业务的办理。</w:t>
      </w:r>
    </w:p>
    <w:p w14:paraId="13D84874">
      <w:pPr>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1.因不可抗力导致管理人无法接受投资者的申购申请；</w:t>
      </w:r>
    </w:p>
    <w:p w14:paraId="0F37EF1D">
      <w:pPr>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2.证券交易场所依法决定临时停市，导致管理人无法计算当日产品资产净值；</w:t>
      </w:r>
    </w:p>
    <w:p w14:paraId="7C2996CA">
      <w:pPr>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3.当管理人认为某笔申购申请会有损于其他产品份额持有人利益时，可拒绝该笔申购申请；</w:t>
      </w:r>
    </w:p>
    <w:p w14:paraId="77506D66">
      <w:pPr>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4.法律、法规规定认定的其他情形。</w:t>
      </w:r>
    </w:p>
    <w:p w14:paraId="7064D219">
      <w:pPr>
        <w:pStyle w:val="3"/>
        <w:adjustRightInd w:val="0"/>
        <w:snapToGrid w:val="0"/>
        <w:ind w:firstLine="482"/>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理财产品的赎回</w:t>
      </w:r>
      <w:r>
        <w:rPr>
          <w:rFonts w:ascii="仿宋_GB2312" w:hAnsi="宋体" w:cs="宋体"/>
          <w:bCs/>
          <w:color w:val="auto"/>
          <w:kern w:val="0"/>
          <w:szCs w:val="24"/>
          <w:highlight w:val="none"/>
          <w:u w:val="none"/>
        </w:rPr>
        <w:t xml:space="preserve"> </w:t>
      </w:r>
    </w:p>
    <w:p w14:paraId="4F987B90">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1.赎回的时间</w:t>
      </w:r>
    </w:p>
    <w:p w14:paraId="3217F7E2">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本产品具体赎回时间以《产品说明书》“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”为准。</w:t>
      </w:r>
    </w:p>
    <w:p w14:paraId="1DB93D32">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2.赎回的方式</w:t>
      </w:r>
    </w:p>
    <w:p w14:paraId="6AABB0DE">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投资者可通过销售机构的销售渠道赎回。不同销售机构的销售渠道，赎回确认时效可能存在差异。</w:t>
      </w:r>
    </w:p>
    <w:p w14:paraId="3FA772C1">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投资者通过销售机构线下渠道赎回的，应签署有关理财产品销售文件。</w:t>
      </w:r>
    </w:p>
    <w:p w14:paraId="12F34DD4">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投资者通过销售机构线上渠道赎回的，应根据销售机构线上渠道的具体要求执行。</w:t>
      </w:r>
    </w:p>
    <w:p w14:paraId="71A0656F">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3.赎回的确认</w:t>
      </w:r>
    </w:p>
    <w:p w14:paraId="57B2DDC5">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本产品赎回确认详见《产品说明书》“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60EB8A0E">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投资者提交赎回申请并不代表赎回成功，产品管理人将在赎回确认日确认投资者是否赎回成功。赎回是否成功以管理人的确认结果为准。</w:t>
      </w:r>
    </w:p>
    <w:p w14:paraId="2DDB1661">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4.赎回的价格</w:t>
      </w:r>
    </w:p>
    <w:p w14:paraId="5D115242">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赎回价格为赎回日的产品份额净值。</w:t>
      </w:r>
    </w:p>
    <w:p w14:paraId="5A576C7B">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5.赎回的费用</w:t>
      </w:r>
    </w:p>
    <w:p w14:paraId="6BEF8F0B">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本产品赎回费用详见《产品说明书》“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27D7EF60">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 xml:space="preserve">6.赎回金额计算 </w:t>
      </w:r>
    </w:p>
    <w:p w14:paraId="1FFD47FA">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本产品赎回金额的计算公式如下：</w:t>
      </w:r>
    </w:p>
    <w:p w14:paraId="3F4BBD6F">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赎回总金额=赎回份额×赎回日该产品份额净值</w:t>
      </w:r>
    </w:p>
    <w:p w14:paraId="74B79EC4">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赎回费用=赎回总金额×该产品份额赎回费率</w:t>
      </w:r>
    </w:p>
    <w:p w14:paraId="1F758B51">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净赎回金额=赎回总金额-赎回费用</w:t>
      </w:r>
    </w:p>
    <w:p w14:paraId="13E5C9B0">
      <w:pPr>
        <w:tabs>
          <w:tab w:val="left" w:pos="312"/>
        </w:tabs>
        <w:adjustRightInd w:val="0"/>
        <w:snapToGrid w:val="0"/>
        <w:spacing w:line="360" w:lineRule="auto"/>
        <w:ind w:firstLine="480" w:firstLineChars="200"/>
        <w:rPr>
          <w:rFonts w:hint="eastAsia" w:ascii="仿宋_GB2312" w:hAnsi="宋体" w:cs="宋体"/>
          <w:bCs/>
          <w:color w:val="auto"/>
          <w:kern w:val="0"/>
          <w:szCs w:val="24"/>
          <w:highlight w:val="none"/>
          <w:u w:val="none"/>
          <w:lang w:eastAsia="zh-CN"/>
        </w:rPr>
      </w:pPr>
      <w:r>
        <w:rPr>
          <w:rFonts w:hint="eastAsia" w:ascii="仿宋_GB2312" w:hAnsi="宋体" w:cs="宋体"/>
          <w:bCs/>
          <w:color w:val="auto"/>
          <w:kern w:val="0"/>
          <w:szCs w:val="24"/>
          <w:highlight w:val="none"/>
          <w:u w:val="none"/>
          <w:lang w:eastAsia="zh-CN"/>
        </w:rPr>
        <w:t>若本理财产品设置不同的产品份额类别，当某一份额类别因投资者赎回致使该份额类别剩余份额归零，产品管理人将以申请日该份额类别对应的总资产净值，向持有该份额类别的投资者进行兑付。</w:t>
      </w:r>
    </w:p>
    <w:p w14:paraId="13C1D8AE">
      <w:pPr>
        <w:tabs>
          <w:tab w:val="left" w:pos="312"/>
        </w:tabs>
        <w:adjustRightInd w:val="0"/>
        <w:snapToGrid w:val="0"/>
        <w:spacing w:line="360" w:lineRule="auto"/>
        <w:ind w:firstLine="480" w:firstLineChars="200"/>
        <w:rPr>
          <w:rFonts w:hint="eastAsia" w:ascii="仿宋_GB2312" w:hAnsi="宋体" w:cs="宋体"/>
          <w:bCs/>
          <w:color w:val="auto"/>
          <w:kern w:val="0"/>
          <w:szCs w:val="24"/>
          <w:highlight w:val="none"/>
          <w:u w:val="none"/>
          <w:lang w:eastAsia="zh-CN"/>
        </w:rPr>
      </w:pPr>
      <w:r>
        <w:rPr>
          <w:rFonts w:hint="eastAsia" w:ascii="仿宋_GB2312" w:hAnsi="宋体" w:cs="宋体"/>
          <w:bCs/>
          <w:color w:val="auto"/>
          <w:kern w:val="0"/>
          <w:szCs w:val="24"/>
          <w:highlight w:val="none"/>
          <w:u w:val="none"/>
          <w:lang w:eastAsia="zh-CN"/>
        </w:rPr>
        <w:t>该情形下投资者赎回金额计算公式如下：</w:t>
      </w:r>
    </w:p>
    <w:p w14:paraId="16CD1CB2">
      <w:pPr>
        <w:tabs>
          <w:tab w:val="left" w:pos="312"/>
        </w:tabs>
        <w:adjustRightInd w:val="0"/>
        <w:snapToGrid w:val="0"/>
        <w:spacing w:line="360" w:lineRule="auto"/>
        <w:ind w:firstLine="480" w:firstLineChars="200"/>
        <w:rPr>
          <w:rFonts w:hint="eastAsia" w:ascii="仿宋_GB2312" w:hAnsi="宋体" w:cs="宋体"/>
          <w:bCs/>
          <w:color w:val="auto"/>
          <w:kern w:val="0"/>
          <w:szCs w:val="24"/>
          <w:highlight w:val="none"/>
          <w:u w:val="none"/>
          <w:lang w:eastAsia="zh-CN"/>
        </w:rPr>
      </w:pPr>
      <w:r>
        <w:rPr>
          <w:rFonts w:hint="eastAsia" w:ascii="仿宋_GB2312" w:hAnsi="宋体" w:cs="宋体"/>
          <w:bCs/>
          <w:color w:val="auto"/>
          <w:kern w:val="0"/>
          <w:szCs w:val="24"/>
          <w:highlight w:val="none"/>
          <w:u w:val="none"/>
          <w:lang w:eastAsia="zh-CN"/>
        </w:rPr>
        <w:t>赎回总金额=投资者在赎回日持有的该份额类别份额/该份额类别总份额*该份额类别赎回日总资产净值</w:t>
      </w:r>
    </w:p>
    <w:p w14:paraId="08DB1218">
      <w:pPr>
        <w:tabs>
          <w:tab w:val="left" w:pos="312"/>
        </w:tabs>
        <w:adjustRightInd w:val="0"/>
        <w:snapToGrid w:val="0"/>
        <w:spacing w:line="360" w:lineRule="auto"/>
        <w:ind w:firstLine="480" w:firstLineChars="200"/>
        <w:rPr>
          <w:rFonts w:hint="eastAsia" w:ascii="仿宋_GB2312" w:hAnsi="宋体" w:cs="宋体"/>
          <w:bCs/>
          <w:color w:val="auto"/>
          <w:kern w:val="0"/>
          <w:szCs w:val="24"/>
          <w:highlight w:val="none"/>
          <w:u w:val="none"/>
          <w:lang w:eastAsia="zh-CN"/>
        </w:rPr>
      </w:pPr>
      <w:r>
        <w:rPr>
          <w:rFonts w:hint="eastAsia" w:ascii="仿宋_GB2312" w:hAnsi="宋体" w:cs="宋体"/>
          <w:bCs/>
          <w:color w:val="auto"/>
          <w:kern w:val="0"/>
          <w:szCs w:val="24"/>
          <w:highlight w:val="none"/>
          <w:u w:val="none"/>
          <w:lang w:eastAsia="zh-CN"/>
        </w:rPr>
        <w:t>赎回费用=赎回总金额×该产品份额赎回费率</w:t>
      </w:r>
    </w:p>
    <w:p w14:paraId="308709D4">
      <w:pPr>
        <w:tabs>
          <w:tab w:val="left" w:pos="312"/>
        </w:tabs>
        <w:adjustRightInd w:val="0"/>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净赎回金额=赎回总金额-赎回费用</w:t>
      </w:r>
    </w:p>
    <w:p w14:paraId="7D93F9DA">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上述计算结果均按四舍五入方法，保留到小数点后2位，由此产生的收益或损失由理财产品承担。</w:t>
      </w:r>
    </w:p>
    <w:p w14:paraId="4CD9A2C7">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7.赎回的数量限制</w:t>
      </w:r>
    </w:p>
    <w:p w14:paraId="26EEBE96">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4E56FB74">
      <w:pPr>
        <w:pStyle w:val="3"/>
        <w:adjustRightInd w:val="0"/>
        <w:snapToGrid w:val="0"/>
        <w:ind w:firstLine="482"/>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巨额赎回的情形及处理方式</w:t>
      </w:r>
      <w:r>
        <w:rPr>
          <w:rFonts w:ascii="仿宋_GB2312" w:hAnsi="宋体" w:cs="宋体"/>
          <w:bCs/>
          <w:color w:val="auto"/>
          <w:kern w:val="0"/>
          <w:szCs w:val="24"/>
          <w:highlight w:val="none"/>
          <w:u w:val="none"/>
        </w:rPr>
        <w:t xml:space="preserve"> </w:t>
      </w:r>
    </w:p>
    <w:p w14:paraId="2261BB36">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1.巨额赎回的认定</w:t>
      </w:r>
    </w:p>
    <w:p w14:paraId="1BA26E2C">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594F5BCE">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2.巨额赎回的处理方式</w:t>
      </w:r>
    </w:p>
    <w:p w14:paraId="3D2D3C0C">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详见《产品说明书》“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w:t>
      </w:r>
    </w:p>
    <w:p w14:paraId="4BCE149D">
      <w:pPr>
        <w:tabs>
          <w:tab w:val="left" w:pos="312"/>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3.巨额赎回的公告</w:t>
      </w:r>
    </w:p>
    <w:p w14:paraId="795C6BCC">
      <w:pPr>
        <w:autoSpaceDE w:val="0"/>
        <w:autoSpaceDN w:val="0"/>
        <w:adjustRightInd w:val="0"/>
        <w:snapToGrid w:val="0"/>
        <w:spacing w:line="360" w:lineRule="auto"/>
        <w:ind w:firstLine="480" w:firstLineChars="200"/>
        <w:rPr>
          <w:rFonts w:ascii="仿宋_GB2312" w:hAnsi="宋体"/>
          <w:b/>
          <w:color w:val="auto"/>
          <w:kern w:val="0"/>
          <w:szCs w:val="24"/>
          <w:highlight w:val="none"/>
          <w:u w:val="none"/>
        </w:rPr>
      </w:pPr>
      <w:r>
        <w:rPr>
          <w:rFonts w:hint="eastAsia" w:ascii="仿宋_GB2312" w:hAnsi="宋体" w:cs="宋体"/>
          <w:bCs/>
          <w:color w:val="auto"/>
          <w:kern w:val="0"/>
          <w:szCs w:val="24"/>
          <w:highlight w:val="none"/>
          <w:u w:val="none"/>
        </w:rPr>
        <w:t>在发生巨额赎回产品管理人</w:t>
      </w:r>
      <w:r>
        <w:rPr>
          <w:rFonts w:hint="eastAsia" w:asciiTheme="minorEastAsia" w:hAnsiTheme="minorEastAsia"/>
          <w:color w:val="auto"/>
          <w:szCs w:val="24"/>
          <w:highlight w:val="none"/>
          <w:u w:val="none"/>
        </w:rPr>
        <w:t>暂停接受或延期办理</w:t>
      </w:r>
      <w:r>
        <w:rPr>
          <w:rFonts w:hint="eastAsia" w:ascii="仿宋_GB2312" w:hAnsi="宋体" w:cs="宋体"/>
          <w:bCs/>
          <w:color w:val="auto"/>
          <w:kern w:val="0"/>
          <w:szCs w:val="24"/>
          <w:highlight w:val="none"/>
          <w:u w:val="none"/>
        </w:rPr>
        <w:t>投资者赎回申请时，产品管理人将依约定发布相关公告信息。</w:t>
      </w:r>
    </w:p>
    <w:p w14:paraId="3DF122FC">
      <w:pPr>
        <w:widowControl/>
        <w:jc w:val="left"/>
        <w:rPr>
          <w:rFonts w:eastAsia="黑体"/>
          <w:color w:val="auto"/>
          <w:kern w:val="44"/>
          <w:sz w:val="28"/>
          <w:highlight w:val="none"/>
          <w:u w:val="none"/>
        </w:rPr>
      </w:pPr>
      <w:r>
        <w:rPr>
          <w:color w:val="auto"/>
          <w:highlight w:val="none"/>
          <w:u w:val="none"/>
        </w:rPr>
        <w:br w:type="page"/>
      </w:r>
    </w:p>
    <w:p w14:paraId="598A37EC">
      <w:pPr>
        <w:pStyle w:val="2"/>
        <w:rPr>
          <w:color w:val="auto"/>
          <w:highlight w:val="none"/>
        </w:rPr>
      </w:pPr>
      <w:r>
        <w:rPr>
          <w:rFonts w:hint="eastAsia"/>
          <w:color w:val="auto"/>
          <w:highlight w:val="none"/>
        </w:rPr>
        <w:t>理财产品的投资</w:t>
      </w:r>
    </w:p>
    <w:p w14:paraId="61F06A83">
      <w:pPr>
        <w:pStyle w:val="3"/>
        <w:ind w:firstLine="482"/>
        <w:rPr>
          <w:color w:val="auto"/>
          <w:highlight w:val="none"/>
        </w:rPr>
      </w:pPr>
      <w:r>
        <w:rPr>
          <w:rFonts w:hint="eastAsia"/>
          <w:color w:val="auto"/>
          <w:highlight w:val="none"/>
        </w:rPr>
        <w:t>投资范围</w:t>
      </w:r>
    </w:p>
    <w:p w14:paraId="09144E04">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向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14:paraId="2B82A92F">
      <w:pPr>
        <w:tabs>
          <w:tab w:val="left" w:pos="3119"/>
        </w:tabs>
        <w:autoSpaceDE w:val="0"/>
        <w:autoSpaceDN w:val="0"/>
        <w:adjustRightInd/>
        <w:snapToGrid/>
        <w:spacing w:line="360" w:lineRule="auto"/>
        <w:ind w:right="36" w:rightChars="15" w:firstLine="480" w:firstLineChars="200"/>
        <w:jc w:val="left"/>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本理财产</w:t>
      </w:r>
      <w:r>
        <w:rPr>
          <w:rFonts w:ascii="仿宋_GB2312" w:hAnsi="宋体" w:cs="宋体"/>
          <w:bCs/>
          <w:color w:val="auto"/>
          <w:kern w:val="0"/>
          <w:szCs w:val="24"/>
          <w:highlight w:val="none"/>
        </w:rPr>
        <w:t>品在投资</w:t>
      </w:r>
      <w:r>
        <w:rPr>
          <w:rFonts w:hint="eastAsia" w:ascii="仿宋_GB2312" w:hAnsi="宋体" w:cs="宋体"/>
          <w:bCs/>
          <w:color w:val="auto"/>
          <w:kern w:val="0"/>
          <w:szCs w:val="24"/>
          <w:highlight w:val="none"/>
        </w:rPr>
        <w:t>于</w:t>
      </w:r>
      <w:r>
        <w:rPr>
          <w:rFonts w:ascii="仿宋_GB2312" w:hAnsi="宋体" w:cs="宋体"/>
          <w:bCs/>
          <w:color w:val="auto"/>
          <w:kern w:val="0"/>
          <w:szCs w:val="24"/>
          <w:highlight w:val="none"/>
        </w:rPr>
        <w:t>商品及金融衍生品类资产之前，管理人应获得相应的业务经营范围或投资交易资格。</w:t>
      </w:r>
    </w:p>
    <w:p w14:paraId="0D69AF2B">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145CA5F7">
      <w:pPr>
        <w:pStyle w:val="3"/>
        <w:ind w:firstLine="482"/>
        <w:rPr>
          <w:color w:val="auto"/>
          <w:highlight w:val="none"/>
        </w:rPr>
      </w:pPr>
      <w:r>
        <w:rPr>
          <w:rFonts w:hint="eastAsia"/>
          <w:color w:val="auto"/>
          <w:highlight w:val="none"/>
        </w:rPr>
        <w:t>投资比例</w:t>
      </w:r>
    </w:p>
    <w:p w14:paraId="5527B100">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u w:val="none"/>
        </w:rPr>
      </w:pPr>
      <w:r>
        <w:rPr>
          <w:rFonts w:ascii="仿宋_GB2312" w:hAnsi="宋体" w:cs="宋体"/>
          <w:bCs/>
          <w:color w:val="auto"/>
          <w:kern w:val="0"/>
          <w:szCs w:val="24"/>
          <w:highlight w:val="none"/>
        </w:rPr>
        <w:t>1.本产品各投资资产占比如下：</w:t>
      </w:r>
    </w:p>
    <w:tbl>
      <w:tblPr>
        <w:tblStyle w:val="17"/>
        <w:tblW w:w="0" w:type="auto"/>
        <w:tblInd w:w="1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9"/>
        <w:gridCol w:w="1325"/>
      </w:tblGrid>
      <w:tr w14:paraId="1B16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14:paraId="13A0FEC5">
            <w:pPr>
              <w:widowControl/>
              <w:spacing w:line="360" w:lineRule="auto"/>
              <w:jc w:val="center"/>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投资资产</w:t>
            </w:r>
          </w:p>
        </w:tc>
        <w:tc>
          <w:tcPr>
            <w:tcW w:w="1325" w:type="dxa"/>
          </w:tcPr>
          <w:p w14:paraId="2A5912D7">
            <w:pPr>
              <w:widowControl/>
              <w:spacing w:line="360" w:lineRule="auto"/>
              <w:jc w:val="center"/>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投资比例</w:t>
            </w:r>
          </w:p>
        </w:tc>
      </w:tr>
      <w:tr w14:paraId="5FE7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14:paraId="78AE52B4">
            <w:pPr>
              <w:widowControl/>
              <w:spacing w:line="360" w:lineRule="auto"/>
              <w:jc w:val="center"/>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债权</w:t>
            </w:r>
            <w:r>
              <w:rPr>
                <w:rFonts w:hint="eastAsia" w:ascii="仿宋_GB2312" w:hAnsi="宋体" w:cs="宋体"/>
                <w:bCs/>
                <w:color w:val="auto"/>
                <w:kern w:val="0"/>
                <w:szCs w:val="24"/>
                <w:highlight w:val="none"/>
                <w:u w:val="none"/>
              </w:rPr>
              <w:t>类资产</w:t>
            </w:r>
          </w:p>
        </w:tc>
        <w:tc>
          <w:tcPr>
            <w:tcW w:w="1325" w:type="dxa"/>
          </w:tcPr>
          <w:p w14:paraId="451DF5CF">
            <w:pPr>
              <w:widowControl/>
              <w:spacing w:line="360" w:lineRule="auto"/>
              <w:jc w:val="center"/>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80%-100%</w:t>
            </w:r>
          </w:p>
        </w:tc>
      </w:tr>
      <w:tr w14:paraId="204E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14:paraId="0F3DDD2D">
            <w:pPr>
              <w:widowControl/>
              <w:spacing w:line="360" w:lineRule="auto"/>
              <w:jc w:val="center"/>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权益类资产</w:t>
            </w:r>
          </w:p>
        </w:tc>
        <w:tc>
          <w:tcPr>
            <w:tcW w:w="1325" w:type="dxa"/>
          </w:tcPr>
          <w:p w14:paraId="3E44F638">
            <w:pPr>
              <w:widowControl/>
              <w:spacing w:line="360" w:lineRule="auto"/>
              <w:jc w:val="center"/>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0-20%</w:t>
            </w:r>
          </w:p>
        </w:tc>
      </w:tr>
      <w:tr w14:paraId="6265A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shd w:val="clear" w:color="auto" w:fill="auto"/>
            <w:vAlign w:val="top"/>
          </w:tcPr>
          <w:p w14:paraId="2CA8B35C">
            <w:pPr>
              <w:widowControl/>
              <w:spacing w:line="360" w:lineRule="auto"/>
              <w:jc w:val="center"/>
              <w:rPr>
                <w:rFonts w:hint="eastAsia" w:ascii="仿宋_GB2312" w:hAnsi="宋体" w:eastAsia="仿宋_GB2312" w:cs="宋体"/>
                <w:bCs/>
                <w:color w:val="auto"/>
                <w:kern w:val="0"/>
                <w:sz w:val="24"/>
                <w:szCs w:val="24"/>
                <w:highlight w:val="none"/>
                <w:u w:val="none"/>
                <w:lang w:val="en-US" w:eastAsia="zh-CN" w:bidi="ar-SA"/>
              </w:rPr>
            </w:pPr>
            <w:r>
              <w:rPr>
                <w:rFonts w:hint="eastAsia" w:ascii="仿宋_GB2312" w:hAnsi="宋体" w:cs="宋体"/>
                <w:bCs/>
                <w:color w:val="auto"/>
                <w:kern w:val="0"/>
                <w:szCs w:val="24"/>
                <w:highlight w:val="none"/>
                <w:u w:val="none"/>
              </w:rPr>
              <w:t>商品及金融衍生品类资产</w:t>
            </w:r>
          </w:p>
        </w:tc>
        <w:tc>
          <w:tcPr>
            <w:tcW w:w="1325" w:type="dxa"/>
            <w:shd w:val="clear" w:color="auto" w:fill="auto"/>
            <w:vAlign w:val="top"/>
          </w:tcPr>
          <w:p w14:paraId="122EEA89">
            <w:pPr>
              <w:widowControl/>
              <w:spacing w:line="360" w:lineRule="auto"/>
              <w:jc w:val="center"/>
              <w:rPr>
                <w:rFonts w:hint="eastAsia" w:ascii="仿宋_GB2312" w:hAnsi="宋体" w:eastAsia="仿宋_GB2312" w:cs="宋体"/>
                <w:bCs/>
                <w:color w:val="auto"/>
                <w:kern w:val="0"/>
                <w:sz w:val="24"/>
                <w:szCs w:val="24"/>
                <w:highlight w:val="none"/>
                <w:u w:val="none"/>
                <w:lang w:val="en-US" w:eastAsia="zh-CN" w:bidi="ar-SA"/>
              </w:rPr>
            </w:pPr>
            <w:r>
              <w:rPr>
                <w:rFonts w:hint="eastAsia" w:ascii="仿宋_GB2312" w:hAnsi="宋体" w:cs="宋体"/>
                <w:bCs/>
                <w:color w:val="auto"/>
                <w:kern w:val="0"/>
                <w:szCs w:val="24"/>
                <w:highlight w:val="none"/>
                <w:u w:val="none"/>
              </w:rPr>
              <w:t>0-20%</w:t>
            </w:r>
          </w:p>
        </w:tc>
      </w:tr>
    </w:tbl>
    <w:p w14:paraId="75B575D7">
      <w:pPr>
        <w:autoSpaceDE w:val="0"/>
        <w:autoSpaceDN w:val="0"/>
        <w:adjustRightInd w:val="0"/>
        <w:snapToGrid w:val="0"/>
        <w:spacing w:line="360" w:lineRule="auto"/>
        <w:jc w:val="left"/>
        <w:rPr>
          <w:rFonts w:ascii="仿宋_GB2312" w:hAnsi="宋体" w:cs="宋体"/>
          <w:bCs/>
          <w:color w:val="auto"/>
          <w:kern w:val="0"/>
          <w:szCs w:val="24"/>
          <w:highlight w:val="none"/>
        </w:rPr>
      </w:pPr>
    </w:p>
    <w:p w14:paraId="26CFE675">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管理人将在产品成立后一个月内使资产配置比例符合上述规定。</w:t>
      </w:r>
    </w:p>
    <w:p w14:paraId="280CFE34">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导致产品投资突破上述比例限制，管理人将尽合理努力，在流动性受限资产可出售、可转让或者恢复交易的15个交易日内调整至规定区间。</w:t>
      </w:r>
    </w:p>
    <w:p w14:paraId="111DE184">
      <w:pPr>
        <w:pStyle w:val="3"/>
        <w:ind w:firstLine="482"/>
        <w:rPr>
          <w:color w:val="auto"/>
          <w:highlight w:val="none"/>
        </w:rPr>
      </w:pPr>
      <w:r>
        <w:rPr>
          <w:rFonts w:hint="eastAsia"/>
          <w:color w:val="auto"/>
          <w:highlight w:val="none"/>
        </w:rPr>
        <w:t>投资</w:t>
      </w:r>
      <w:r>
        <w:rPr>
          <w:color w:val="auto"/>
          <w:highlight w:val="none"/>
        </w:rPr>
        <w:t>限制</w:t>
      </w:r>
    </w:p>
    <w:p w14:paraId="2409456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投资限制中列示的资产品种不代表管理人的实际投向，本理财计划投资范围以“投资范围”章节表述为准。</w:t>
      </w:r>
    </w:p>
    <w:p w14:paraId="301BD8B3">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1．投资集中度限制</w:t>
      </w:r>
    </w:p>
    <w:p w14:paraId="5E7EF5A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（1）本理财计划持有单只证券或单只公募证券投资基金的市值不得超过该理财计划净资产的10%。</w:t>
      </w:r>
    </w:p>
    <w:p w14:paraId="6077C3C0">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（2）管理人发行的全部公募理财计划持有单只证券或单只公募证券投资基金的市值，不得超过该证券市值或该公募证券投资基金市值的30%。</w:t>
      </w:r>
    </w:p>
    <w:p w14:paraId="57800BF1">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（3）管理人发行的全部理财计划持有单一上市公司发行的股票，不得超过该上市公司可流通股票的30%。</w:t>
      </w:r>
    </w:p>
    <w:p w14:paraId="696A7ED6">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（4）管理人发行的全部开放式公募理财计划投资单一上市公司发行的股票,不得超过该上市公司可流通股票的15%。</w:t>
      </w:r>
    </w:p>
    <w:p w14:paraId="0487BD2C">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国务院银行业监督管理机构另有规定的除外。</w:t>
      </w:r>
    </w:p>
    <w:p w14:paraId="6AAC53C8">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14:paraId="04C39A4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2．投资期限限制</w:t>
      </w:r>
    </w:p>
    <w:p w14:paraId="6016750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本理财计划投资的非标准化债权类资产到期日不得晚于理财计划最近一次开放日。</w:t>
      </w:r>
    </w:p>
    <w:p w14:paraId="21965EE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rPr>
        <w:t>．流动性限制</w:t>
      </w:r>
    </w:p>
    <w:p w14:paraId="103EF68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（1）本理财计划直接投资于流动性受限资产的市值在开放日不得超过该理财计划资产净值的15%。</w:t>
      </w:r>
    </w:p>
    <w:p w14:paraId="70ED4EC0">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（2）本理财计划还应满足以下限制【</w:t>
      </w:r>
      <w:r>
        <w:rPr>
          <w:rFonts w:hint="eastAsia" w:ascii="仿宋_GB2312" w:hAnsi="宋体" w:cs="宋体"/>
          <w:bCs/>
          <w:color w:val="auto"/>
          <w:kern w:val="0"/>
          <w:szCs w:val="24"/>
          <w:highlight w:val="none"/>
          <w:lang w:val="en-US" w:eastAsia="zh-CN"/>
        </w:rPr>
        <w:t>a</w:t>
      </w:r>
      <w:r>
        <w:rPr>
          <w:rFonts w:hint="eastAsia" w:ascii="仿宋_GB2312" w:hAnsi="宋体" w:cs="宋体"/>
          <w:bCs/>
          <w:color w:val="auto"/>
          <w:kern w:val="0"/>
          <w:szCs w:val="24"/>
          <w:highlight w:val="none"/>
        </w:rPr>
        <w:t>】</w:t>
      </w:r>
    </w:p>
    <w:p w14:paraId="168BFF60">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 本理财计划应当持有不低于该理财计划资产净值5%的现金或者到期日在一年以内的国债、中央银行票据和政策性金融债券。</w:t>
      </w:r>
    </w:p>
    <w:p w14:paraId="486F160E">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b. 本理财计划应当在开放日及开放日前7个工作日内持有不低于该理财计划资产净值5%的现金或者到期日在一年以内的国债、中央银行票据和政策性金融债券。</w:t>
      </w:r>
    </w:p>
    <w:p w14:paraId="428D6C5D">
      <w:pPr>
        <w:tabs>
          <w:tab w:val="left" w:pos="3119"/>
        </w:tabs>
        <w:autoSpaceDE w:val="0"/>
        <w:autoSpaceDN w:val="0"/>
        <w:adjustRightInd w:val="0"/>
        <w:spacing w:line="360" w:lineRule="auto"/>
        <w:ind w:right="36" w:rightChars="15" w:firstLine="482" w:firstLineChars="200"/>
        <w:contextualSpacing/>
        <w:rPr>
          <w:rFonts w:hint="eastAsia" w:ascii="仿宋_GB2312" w:hAnsi="宋体" w:cs="宋体"/>
          <w:b/>
          <w:bCs w:val="0"/>
          <w:color w:val="auto"/>
          <w:kern w:val="0"/>
          <w:szCs w:val="24"/>
          <w:highlight w:val="none"/>
        </w:rPr>
      </w:pPr>
      <w:r>
        <w:rPr>
          <w:rFonts w:hint="eastAsia" w:ascii="仿宋_GB2312" w:hAnsi="宋体" w:cs="宋体"/>
          <w:b/>
          <w:bCs w:val="0"/>
          <w:color w:val="auto"/>
          <w:kern w:val="0"/>
          <w:szCs w:val="24"/>
          <w:highlight w:val="none"/>
        </w:rPr>
        <w:t>c. 本理财计划</w:t>
      </w:r>
      <w:r>
        <w:rPr>
          <w:rFonts w:hint="eastAsia" w:ascii="仿宋_GB2312" w:hAnsi="宋体" w:cs="宋体"/>
          <w:b/>
          <w:bCs w:val="0"/>
          <w:color w:val="auto"/>
          <w:kern w:val="0"/>
          <w:szCs w:val="24"/>
          <w:highlight w:val="none"/>
          <w:lang w:eastAsia="zh-CN"/>
        </w:rPr>
        <w:t>投资</w:t>
      </w:r>
      <w:r>
        <w:rPr>
          <w:rFonts w:hint="eastAsia" w:ascii="仿宋_GB2312" w:hAnsi="宋体" w:cs="宋体"/>
          <w:b/>
          <w:bCs w:val="0"/>
          <w:color w:val="auto"/>
          <w:kern w:val="0"/>
          <w:szCs w:val="24"/>
          <w:highlight w:val="none"/>
        </w:rPr>
        <w:t>不存在活跃交易市场，并且需要采用估值技术确定公允价值的资产比例</w:t>
      </w:r>
      <w:r>
        <w:rPr>
          <w:rFonts w:hint="eastAsia" w:ascii="仿宋_GB2312" w:hAnsi="宋体" w:cs="宋体"/>
          <w:b/>
          <w:bCs w:val="0"/>
          <w:color w:val="auto"/>
          <w:kern w:val="0"/>
          <w:szCs w:val="24"/>
          <w:highlight w:val="none"/>
          <w:lang w:eastAsia="zh-CN"/>
        </w:rPr>
        <w:t>可达到</w:t>
      </w:r>
      <w:r>
        <w:rPr>
          <w:rFonts w:hint="eastAsia" w:ascii="仿宋_GB2312" w:hAnsi="宋体" w:cs="宋体"/>
          <w:b/>
          <w:bCs w:val="0"/>
          <w:color w:val="auto"/>
          <w:kern w:val="0"/>
          <w:szCs w:val="24"/>
          <w:highlight w:val="none"/>
        </w:rPr>
        <w:t>理财产品净资产50%以上。</w:t>
      </w:r>
    </w:p>
    <w:p w14:paraId="0A72C0E6">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（3）在开放日前一工作日内，本理财计划7个工作日可变现资产的可变现价值应当不低于该理财计划资产净值的10%。</w:t>
      </w:r>
    </w:p>
    <w:p w14:paraId="7B21CD71">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4</w:t>
      </w:r>
      <w:r>
        <w:rPr>
          <w:rFonts w:hint="eastAsia" w:ascii="仿宋_GB2312" w:hAnsi="宋体" w:cs="宋体"/>
          <w:bCs/>
          <w:color w:val="auto"/>
          <w:kern w:val="0"/>
          <w:szCs w:val="24"/>
          <w:highlight w:val="none"/>
        </w:rPr>
        <w:t>．其他投资限制</w:t>
      </w:r>
    </w:p>
    <w:p w14:paraId="7B33A482">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14:paraId="2E823F29">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以上限制，如监管有最新规定的，将参照监管规定调整。</w:t>
      </w:r>
    </w:p>
    <w:p w14:paraId="3C2C8E71">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本产品存续期内非因产品管理人主观因素导致产品投资突破上述限制的，管理人将尽合理努力，在</w:t>
      </w:r>
      <w:r>
        <w:rPr>
          <w:rFonts w:ascii="仿宋_GB2312" w:hAnsi="宋体" w:cs="宋体"/>
          <w:bCs/>
          <w:color w:val="auto"/>
          <w:kern w:val="0"/>
          <w:szCs w:val="24"/>
          <w:highlight w:val="none"/>
        </w:rPr>
        <w:t>15个交易日内调整至符合要求。</w:t>
      </w:r>
    </w:p>
    <w:p w14:paraId="55CDEECF">
      <w:pPr>
        <w:pStyle w:val="3"/>
        <w:ind w:firstLine="482"/>
        <w:rPr>
          <w:color w:val="auto"/>
          <w:highlight w:val="none"/>
        </w:rPr>
      </w:pPr>
      <w:r>
        <w:rPr>
          <w:rFonts w:hint="eastAsia"/>
          <w:color w:val="auto"/>
          <w:highlight w:val="none"/>
        </w:rPr>
        <w:t>投资范围调整</w:t>
      </w:r>
    </w:p>
    <w:p w14:paraId="2FE16BC6">
      <w:pPr>
        <w:tabs>
          <w:tab w:val="left" w:pos="3119"/>
        </w:tabs>
        <w:autoSpaceDE w:val="0"/>
        <w:autoSpaceDN w:val="0"/>
        <w:adjustRightInd w:val="0"/>
        <w:snapToGrid w:val="0"/>
        <w:spacing w:line="360" w:lineRule="auto"/>
        <w:ind w:firstLine="482" w:firstLineChars="200"/>
        <w:rPr>
          <w:rFonts w:ascii="仿宋_GB2312" w:hAnsi="宋体" w:cs="宋体"/>
          <w:color w:val="auto"/>
          <w:kern w:val="0"/>
          <w:szCs w:val="24"/>
          <w:highlight w:val="none"/>
        </w:rPr>
      </w:pPr>
      <w:r>
        <w:rPr>
          <w:rFonts w:hint="eastAsia" w:ascii="仿宋_GB2312" w:hAnsi="宋体" w:cs="宋体"/>
          <w:b/>
          <w:bCs/>
          <w:color w:val="auto"/>
          <w:kern w:val="0"/>
          <w:szCs w:val="24"/>
          <w:highlight w:val="none"/>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hint="eastAsia" w:ascii="仿宋_GB2312" w:hAnsi="宋体" w:cs="宋体"/>
          <w:color w:val="auto"/>
          <w:kern w:val="0"/>
          <w:szCs w:val="24"/>
          <w:highlight w:val="none"/>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14:paraId="7B111D8F">
      <w:pPr>
        <w:pStyle w:val="3"/>
        <w:autoSpaceDE w:val="0"/>
        <w:autoSpaceDN w:val="0"/>
        <w:adjustRightInd w:val="0"/>
        <w:snapToGrid w:val="0"/>
        <w:ind w:right="36" w:rightChars="15" w:firstLine="482"/>
        <w:rPr>
          <w:color w:val="auto"/>
          <w:highlight w:val="none"/>
        </w:rPr>
      </w:pPr>
      <w:r>
        <w:rPr>
          <w:rFonts w:hint="eastAsia"/>
          <w:color w:val="auto"/>
          <w:highlight w:val="none"/>
        </w:rPr>
        <w:t>投资策略</w:t>
      </w:r>
    </w:p>
    <w:p w14:paraId="6CA10C47">
      <w:pPr>
        <w:tabs>
          <w:tab w:val="left" w:pos="3119"/>
        </w:tabs>
        <w:autoSpaceDE w:val="0"/>
        <w:autoSpaceDN w:val="0"/>
        <w:adjustRightInd w:val="0"/>
        <w:snapToGrid w:val="0"/>
        <w:spacing w:line="360" w:lineRule="auto"/>
        <w:ind w:firstLine="480" w:firstLineChars="200"/>
        <w:rPr>
          <w:rFonts w:hint="eastAsia"/>
          <w:color w:val="auto"/>
          <w:highlight w:val="none"/>
        </w:rPr>
      </w:pPr>
      <w:r>
        <w:rPr>
          <w:rFonts w:hint="eastAsia"/>
          <w:color w:val="auto"/>
          <w:highlight w:val="none"/>
        </w:rPr>
        <w:t>本产品本着稳健投资的理念，通过对宏观经济的研究，在较低风险资产间进行合理配置，在有效控制信用风险的基础上尽可能提高投资组合收益。理财产品主要投资于各类银行存款、同业存单、回购等货币市场工具以及债券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1808C278">
      <w:pPr>
        <w:tabs>
          <w:tab w:val="left" w:pos="3119"/>
        </w:tabs>
        <w:autoSpaceDE w:val="0"/>
        <w:autoSpaceDN w:val="0"/>
        <w:adjustRightInd w:val="0"/>
        <w:snapToGrid w:val="0"/>
        <w:spacing w:line="360" w:lineRule="auto"/>
        <w:ind w:firstLine="480" w:firstLineChars="200"/>
        <w:rPr>
          <w:rFonts w:hint="eastAsia" w:ascii="仿宋_GB2312" w:hAnsi="仿宋_GB2312" w:eastAsia="仿宋_GB2312" w:cs="仿宋_GB2312"/>
          <w:color w:val="auto"/>
          <w:highlight w:val="none"/>
        </w:rPr>
      </w:pPr>
      <w:r>
        <w:rPr>
          <w:rFonts w:hint="eastAsia"/>
          <w:color w:val="auto"/>
          <w:highlight w:val="none"/>
        </w:rPr>
        <w:t>本产品可在符合监管规定的</w:t>
      </w:r>
      <w:r>
        <w:rPr>
          <w:rFonts w:hint="eastAsia" w:ascii="仿宋_GB2312" w:hAnsi="仿宋_GB2312" w:eastAsia="仿宋_GB2312" w:cs="仿宋_GB2312"/>
          <w:color w:val="auto"/>
          <w:highlight w:val="none"/>
        </w:rPr>
        <w:t>前提下适当运用杠杆原理，通过回购操作，增强投资组合的收益水平，但本理财产品总资产不超过净资产的【</w:t>
      </w:r>
      <w:r>
        <w:rPr>
          <w:rFonts w:hint="eastAsia" w:ascii="仿宋_GB2312" w:hAnsi="仿宋_GB2312" w:eastAsia="仿宋_GB2312" w:cs="仿宋_GB2312"/>
          <w:color w:val="auto"/>
          <w:highlight w:val="none"/>
          <w:lang w:val="en-US" w:eastAsia="zh-CN"/>
        </w:rPr>
        <w:t>140%</w:t>
      </w:r>
      <w:r>
        <w:rPr>
          <w:rFonts w:hint="eastAsia" w:ascii="仿宋_GB2312" w:hAnsi="仿宋_GB2312" w:eastAsia="仿宋_GB2312" w:cs="仿宋_GB2312"/>
          <w:color w:val="auto"/>
          <w:highlight w:val="none"/>
        </w:rPr>
        <w:t>】。</w:t>
      </w:r>
    </w:p>
    <w:p w14:paraId="0AD0EBD5">
      <w:pPr>
        <w:pStyle w:val="3"/>
        <w:ind w:firstLine="482"/>
        <w:rPr>
          <w:color w:val="auto"/>
          <w:highlight w:val="none"/>
        </w:rPr>
      </w:pPr>
      <w:r>
        <w:rPr>
          <w:rFonts w:hint="eastAsia"/>
          <w:color w:val="auto"/>
          <w:highlight w:val="none"/>
        </w:rPr>
        <w:t>投资</w:t>
      </w:r>
      <w:r>
        <w:rPr>
          <w:color w:val="auto"/>
          <w:highlight w:val="none"/>
        </w:rPr>
        <w:t>合作机构</w:t>
      </w:r>
    </w:p>
    <w:p w14:paraId="1529C465">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14:paraId="29254835">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本理财产品的投资合作机构均为具有专业资质并受国家金融监督管理总局监管的金融机构或国务院银行业监督管理机构认可的其他机构。本理财产品成立时暂无特定投资合作机构，具体以后续信息披露为准。</w:t>
      </w:r>
    </w:p>
    <w:p w14:paraId="25ED2016">
      <w:pPr>
        <w:pStyle w:val="2"/>
        <w:numPr>
          <w:ilvl w:val="255"/>
          <w:numId w:val="0"/>
        </w:numPr>
        <w:jc w:val="both"/>
        <w:rPr>
          <w:color w:val="auto"/>
          <w:highlight w:val="none"/>
        </w:rPr>
      </w:pPr>
      <w:r>
        <w:rPr>
          <w:rFonts w:hint="eastAsia" w:ascii="仿宋_GB2312" w:hAnsi="宋体" w:eastAsia="仿宋_GB2312" w:cs="宋体"/>
          <w:bCs/>
          <w:color w:val="auto"/>
          <w:kern w:val="0"/>
          <w:sz w:val="24"/>
          <w:szCs w:val="24"/>
          <w:highlight w:val="none"/>
        </w:rPr>
        <w:br w:type="page"/>
      </w:r>
    </w:p>
    <w:p w14:paraId="6A640B0A">
      <w:pPr>
        <w:pStyle w:val="2"/>
        <w:tabs>
          <w:tab w:val="left" w:pos="3119"/>
          <w:tab w:val="clear" w:pos="0"/>
        </w:tabs>
        <w:autoSpaceDE w:val="0"/>
        <w:autoSpaceDN w:val="0"/>
        <w:adjustRightInd w:val="0"/>
        <w:spacing w:before="240"/>
        <w:ind w:right="36" w:rightChars="15" w:firstLine="560"/>
        <w:contextualSpacing/>
        <w:rPr>
          <w:color w:val="auto"/>
          <w:highlight w:val="none"/>
        </w:rPr>
      </w:pPr>
      <w:r>
        <w:rPr>
          <w:rFonts w:hint="eastAsia"/>
          <w:color w:val="auto"/>
          <w:highlight w:val="none"/>
        </w:rPr>
        <w:t>理财产品的托管</w:t>
      </w:r>
    </w:p>
    <w:p w14:paraId="0BF4727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本理财产品托管人为【浙商银行股份有限公司】。托管人【</w:t>
      </w:r>
      <w:r>
        <w:rPr>
          <w:rFonts w:hint="eastAsia" w:ascii="仿宋_GB2312" w:hAnsi="宋体"/>
          <w:color w:val="auto"/>
          <w:szCs w:val="24"/>
          <w:highlight w:val="none"/>
          <w:lang w:eastAsia="zh-CN"/>
        </w:rPr>
        <w:t>☑</w:t>
      </w:r>
      <w:r>
        <w:rPr>
          <w:rFonts w:hint="eastAsia" w:ascii="仿宋_GB2312" w:hAnsi="宋体"/>
          <w:color w:val="auto"/>
          <w:szCs w:val="24"/>
          <w:highlight w:val="none"/>
        </w:rPr>
        <w:t xml:space="preserve"> </w:t>
      </w:r>
      <w:r>
        <w:rPr>
          <w:rFonts w:hint="eastAsia" w:ascii="仿宋_GB2312" w:hAnsi="宋体" w:cs="宋体"/>
          <w:bCs/>
          <w:color w:val="auto"/>
          <w:kern w:val="0"/>
          <w:szCs w:val="24"/>
          <w:highlight w:val="none"/>
        </w:rPr>
        <w:t xml:space="preserve">是 </w:t>
      </w:r>
      <w:r>
        <w:rPr>
          <w:rFonts w:hint="eastAsia" w:ascii="仿宋_GB2312" w:hAnsi="宋体"/>
          <w:color w:val="auto"/>
          <w:szCs w:val="24"/>
          <w:highlight w:val="none"/>
          <w:lang w:eastAsia="zh-CN"/>
        </w:rPr>
        <w:t>□</w:t>
      </w:r>
      <w:r>
        <w:rPr>
          <w:rFonts w:hint="eastAsia" w:ascii="仿宋_GB2312" w:hAnsi="宋体"/>
          <w:color w:val="auto"/>
          <w:szCs w:val="24"/>
          <w:highlight w:val="none"/>
        </w:rPr>
        <w:t xml:space="preserve"> 非</w:t>
      </w:r>
      <w:r>
        <w:rPr>
          <w:rFonts w:hint="eastAsia" w:ascii="仿宋_GB2312" w:hAnsi="宋体" w:cs="宋体"/>
          <w:bCs/>
          <w:color w:val="auto"/>
          <w:kern w:val="0"/>
          <w:szCs w:val="24"/>
          <w:highlight w:val="none"/>
        </w:rPr>
        <w:t>】产品管理人的关联方。</w:t>
      </w:r>
    </w:p>
    <w:p w14:paraId="3DB52539">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【浙商银行股份有限公司】具备监管机构认可的理财产品托管资格，主要履行职责包括：</w:t>
      </w:r>
    </w:p>
    <w:p w14:paraId="33BB7119">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（一）安全保管理财产品财产；</w:t>
      </w:r>
    </w:p>
    <w:p w14:paraId="22A374A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（二）确保托管资金安全，保证其托管的理财产品财产与其自有资产相互独立；为每只理财产品开设独立的托管账户，不同托管账户中的资产应当相互独立；</w:t>
      </w:r>
    </w:p>
    <w:p w14:paraId="08321528">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（三）按照托管协议约定和管理人的投资指令，及时办理清算、交割事宜；</w:t>
      </w:r>
    </w:p>
    <w:p w14:paraId="617822E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（四）建立与管理人的对账机制，复核、审查理财产品资金头寸、资产账目、资产净值、认购和赎回价格等数据，及时核查认购、赎回以及投资资金的支付和到账情况；</w:t>
      </w:r>
    </w:p>
    <w:p w14:paraId="4E4B16D5">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（五）监督理财产品投资运作，发现理财产品违反法律、行政法规、规章规定或合同约定进行投资的，应当拒绝执行，及时通知管理人并报告银行业监督管理机构；</w:t>
      </w:r>
    </w:p>
    <w:p w14:paraId="2C67AC30">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C544A8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（七）理财托管业务活动的记录、账册、报表和其他相关资料保存</w:t>
      </w:r>
      <w:r>
        <w:rPr>
          <w:rFonts w:ascii="仿宋_GB2312" w:hAnsi="宋体" w:cs="宋体"/>
          <w:bCs/>
          <w:color w:val="auto"/>
          <w:kern w:val="0"/>
          <w:szCs w:val="24"/>
          <w:highlight w:val="none"/>
        </w:rPr>
        <w:t>15年以上；</w:t>
      </w:r>
    </w:p>
    <w:p w14:paraId="75030D18">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（八）对理财产品投资信息和相关资料承担保密责任，除法律、行政法规、规章规定、审计要求或者合同约定外，不得向任何机构或者个人提供相关信息和资料；</w:t>
      </w:r>
    </w:p>
    <w:p w14:paraId="54F63FA3">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（九）托管人的董事、监事、高级管理人员和其他托管业务人员不得有《商业银行理财业务监督管理办法》第二十四条第二款所列行为；</w:t>
      </w:r>
    </w:p>
    <w:p w14:paraId="41F76301">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配合提供托管人相应关联方信息；</w:t>
      </w:r>
    </w:p>
    <w:p w14:paraId="090FA482">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一）</w:t>
      </w:r>
      <w:r>
        <w:rPr>
          <w:rFonts w:hint="eastAsia" w:ascii="仿宋_GB2312" w:hAnsi="宋体" w:cs="宋体"/>
          <w:bCs/>
          <w:color w:val="auto"/>
          <w:kern w:val="0"/>
          <w:szCs w:val="24"/>
          <w:highlight w:val="none"/>
        </w:rPr>
        <w:t>国务院银行业监督管理机构规定的其他职责。</w:t>
      </w:r>
    </w:p>
    <w:p w14:paraId="16A74DEC">
      <w:pPr>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7B5EA4DB">
      <w:pPr>
        <w:pStyle w:val="2"/>
        <w:rPr>
          <w:color w:val="auto"/>
          <w:highlight w:val="none"/>
        </w:rPr>
      </w:pPr>
      <w:r>
        <w:rPr>
          <w:rFonts w:hint="eastAsia"/>
          <w:color w:val="auto"/>
          <w:highlight w:val="none"/>
        </w:rPr>
        <w:t>理财产品资产估值</w:t>
      </w:r>
    </w:p>
    <w:p w14:paraId="3DED336D">
      <w:pPr>
        <w:pStyle w:val="3"/>
        <w:ind w:firstLine="482"/>
        <w:rPr>
          <w:color w:val="auto"/>
          <w:highlight w:val="none"/>
        </w:rPr>
      </w:pPr>
      <w:r>
        <w:rPr>
          <w:rFonts w:hint="eastAsia"/>
          <w:color w:val="auto"/>
          <w:highlight w:val="none"/>
        </w:rPr>
        <w:t>估值日</w:t>
      </w:r>
    </w:p>
    <w:p w14:paraId="522D658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color w:val="auto"/>
          <w:highlight w:val="none"/>
        </w:rPr>
        <w:t>本产品的估值日为每个</w:t>
      </w:r>
      <w:r>
        <w:rPr>
          <w:rFonts w:hint="eastAsia"/>
          <w:b/>
          <w:color w:val="auto"/>
          <w:highlight w:val="none"/>
        </w:rPr>
        <w:t>产品</w:t>
      </w:r>
      <w:r>
        <w:rPr>
          <w:rFonts w:hint="eastAsia" w:ascii="仿宋_GB2312" w:hAnsi="宋体" w:cs="宋体"/>
          <w:bCs/>
          <w:color w:val="auto"/>
          <w:kern w:val="0"/>
          <w:szCs w:val="24"/>
          <w:highlight w:val="none"/>
        </w:rPr>
        <w:t>【</w:t>
      </w:r>
      <w:r>
        <w:rPr>
          <w:rFonts w:hint="eastAsia" w:ascii="仿宋_GB2312" w:hAnsi="宋体"/>
          <w:color w:val="auto"/>
          <w:szCs w:val="24"/>
          <w:highlight w:val="none"/>
        </w:rPr>
        <w:t>□</w:t>
      </w:r>
      <w:r>
        <w:rPr>
          <w:rFonts w:hint="eastAsia" w:ascii="仿宋_GB2312" w:hAnsi="宋体" w:cs="宋体"/>
          <w:bCs/>
          <w:color w:val="auto"/>
          <w:kern w:val="0"/>
          <w:szCs w:val="24"/>
          <w:highlight w:val="none"/>
        </w:rPr>
        <w:t>工作日</w:t>
      </w:r>
      <w:r>
        <w:rPr>
          <w:rFonts w:ascii="仿宋_GB2312" w:hAnsi="宋体" w:cs="宋体"/>
          <w:bCs/>
          <w:color w:val="auto"/>
          <w:kern w:val="0"/>
          <w:szCs w:val="24"/>
          <w:highlight w:val="none"/>
        </w:rPr>
        <w:t>/</w:t>
      </w:r>
      <w:r>
        <w:rPr>
          <w:rFonts w:hint="eastAsia" w:ascii="仿宋_GB2312" w:hAnsi="宋体"/>
          <w:color w:val="auto"/>
          <w:szCs w:val="24"/>
          <w:highlight w:val="none"/>
          <w:lang w:eastAsia="zh-CN"/>
        </w:rPr>
        <w:t>☑</w:t>
      </w:r>
      <w:r>
        <w:rPr>
          <w:rFonts w:hint="eastAsia" w:ascii="仿宋_GB2312" w:hAnsi="宋体" w:cs="宋体"/>
          <w:bCs/>
          <w:color w:val="auto"/>
          <w:kern w:val="0"/>
          <w:szCs w:val="24"/>
          <w:highlight w:val="none"/>
        </w:rPr>
        <w:t>交易日】</w:t>
      </w:r>
      <w:r>
        <w:rPr>
          <w:rFonts w:hint="eastAsia"/>
          <w:color w:val="auto"/>
          <w:highlight w:val="none"/>
        </w:rPr>
        <w:t>。</w:t>
      </w:r>
    </w:p>
    <w:p w14:paraId="3451B273">
      <w:pPr>
        <w:pStyle w:val="3"/>
        <w:ind w:firstLine="482"/>
        <w:rPr>
          <w:color w:val="auto"/>
          <w:highlight w:val="none"/>
          <w:u w:val="none"/>
        </w:rPr>
      </w:pPr>
      <w:r>
        <w:rPr>
          <w:rFonts w:hint="eastAsia"/>
          <w:color w:val="auto"/>
          <w:highlight w:val="none"/>
          <w:u w:val="none"/>
        </w:rPr>
        <w:t>估值对象</w:t>
      </w:r>
    </w:p>
    <w:p w14:paraId="18607DD1">
      <w:pPr>
        <w:autoSpaceDE w:val="0"/>
        <w:autoSpaceDN w:val="0"/>
        <w:adjustRightInd w:val="0"/>
        <w:snapToGrid w:val="0"/>
        <w:spacing w:line="360" w:lineRule="auto"/>
        <w:ind w:firstLine="464" w:firstLineChars="200"/>
        <w:jc w:val="left"/>
        <w:rPr>
          <w:rFonts w:ascii="仿宋_GB2312" w:hAnsi="宋体" w:cs="宋体"/>
          <w:bCs/>
          <w:color w:val="auto"/>
          <w:spacing w:val="-4"/>
          <w:kern w:val="0"/>
          <w:szCs w:val="24"/>
          <w:highlight w:val="none"/>
          <w:u w:val="none"/>
        </w:rPr>
      </w:pPr>
      <w:r>
        <w:rPr>
          <w:rFonts w:hint="eastAsia" w:ascii="仿宋_GB2312" w:hAnsi="宋体" w:cs="宋体"/>
          <w:bCs/>
          <w:color w:val="auto"/>
          <w:spacing w:val="-4"/>
          <w:kern w:val="0"/>
          <w:szCs w:val="24"/>
          <w:highlight w:val="none"/>
          <w:u w:val="none"/>
        </w:rPr>
        <w:t>本理财产品估值的对象为本理财产品所持有的一切资产和负债。</w:t>
      </w:r>
    </w:p>
    <w:p w14:paraId="7CA9556D">
      <w:pPr>
        <w:pStyle w:val="3"/>
        <w:ind w:firstLine="482"/>
        <w:rPr>
          <w:color w:val="auto"/>
          <w:highlight w:val="none"/>
          <w:u w:val="none"/>
        </w:rPr>
      </w:pPr>
      <w:r>
        <w:rPr>
          <w:rFonts w:hint="eastAsia"/>
          <w:color w:val="auto"/>
          <w:highlight w:val="none"/>
          <w:u w:val="none"/>
        </w:rPr>
        <w:t>估值方法</w:t>
      </w:r>
    </w:p>
    <w:p w14:paraId="7B8E326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1.货币市场工具类资产的估值</w:t>
      </w:r>
    </w:p>
    <w:p w14:paraId="33907C63">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（1）银行存款及回购按其商定利率或协议利率在实际持有期内逐日计提收益。</w:t>
      </w:r>
    </w:p>
    <w:p w14:paraId="4BC4A3C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（2）货币基金按最近披露的基金份额净值进行估值，并依据该基金公布的前一日每万份收益计提收益。</w:t>
      </w:r>
    </w:p>
    <w:p w14:paraId="30266CDF">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2.在证券交易所和银行间市场交易的债券的估值</w:t>
      </w:r>
    </w:p>
    <w:p w14:paraId="4004191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（1）不含转股权的债券，按照第三方估值机构（中债、中证等）提供的估值数据对本理财产品所持有债券进行估值，具体的第三方估值机构有管理人与托管人协商确定；</w:t>
      </w:r>
    </w:p>
    <w:p w14:paraId="2C207A85">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（2）含转股权的债券（如可转债券等），实行全价交易的，选取估值日收盘价进行估值；实行净价交易的，选取估值日收盘价并加计债券应计利息后的全价进行估值；</w:t>
      </w:r>
    </w:p>
    <w:p w14:paraId="0010D8C1">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对于暂不具备活跃交易市场，或者在活跃市场中没有公允报价的资产，采用估值技术确定其公允价值。在估值技术难以可靠计量公允价值的情况下，可按照监管机构认可的符合企业会计准则的其他方法进行估值；</w:t>
      </w:r>
    </w:p>
    <w:p w14:paraId="6B41557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（4）如监管对债券估值另有规定，按照监管的最新规定进行调整。</w:t>
      </w:r>
    </w:p>
    <w:p w14:paraId="1A7F7683">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3.优先股按第三方估值机构（中证、中债等）提供的估值数据进行估值；无第三方估值数据的，由管理人与托管人根据合理判断按反映产品公允价值的计量方案进行估值。</w:t>
      </w:r>
    </w:p>
    <w:p w14:paraId="06ADD62F">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1E230DD9">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5.投资非货币证券投资基金的估值</w:t>
      </w:r>
    </w:p>
    <w:p w14:paraId="4121F52E">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（1）未上市非货币基金，按所投资基金管理人估值日披露的最新份额净值进行估值；</w:t>
      </w:r>
    </w:p>
    <w:p w14:paraId="60E3BD00">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（2）上市基金估值</w:t>
      </w:r>
    </w:p>
    <w:p w14:paraId="43ECCD8C">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交易所上市流通的基金（含公募REITs），以估值日其所在证券交易所的收盘价估值；境内上市的开放式基金（LOF），以所投资基金披露的最新份额净值进行估值。</w:t>
      </w:r>
    </w:p>
    <w:p w14:paraId="11DB995D">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（3）如遇所投资基金不公布基金份额净值、进行折算或拆分、估值日无交易等特殊情况，则按以下原则进行估值：</w:t>
      </w:r>
    </w:p>
    <w:p w14:paraId="26C80A3C">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①以所投资基金的基金份额净值估值的，若所投资基金管理人未公布估值日基金份额净值，则按最近公布的基金份额净值为基础估值。</w:t>
      </w:r>
    </w:p>
    <w:p w14:paraId="5CFDEF1C">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14:paraId="19D33908">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③如果所投资基金前一估值日至估值日期间发生分红除权、折算或拆分，理财产品管理人应根据基金份额净值或收盘价、单位基金份额分红金额、折算拆分比例、持仓份额等因素合理确定公允价值。</w:t>
      </w:r>
    </w:p>
    <w:p w14:paraId="393504F2">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6.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14:paraId="1AA86F4F">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7.商品与金融衍生品类资产的估值</w:t>
      </w:r>
    </w:p>
    <w:p w14:paraId="6EE3F121">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（1）场内交易的商品与金融衍生品类资产，以交易所最近交易日的结算价或者收盘价进行估值；</w:t>
      </w:r>
    </w:p>
    <w:p w14:paraId="0F23BF7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（2）场外交易的商品与金融衍生品类资产，采用估值技术确定其公允价值，按照外部机构提供的价格数据或管理人与托管人认可的估值方案进行估值。</w:t>
      </w:r>
    </w:p>
    <w:p w14:paraId="15C2764B">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8</w:t>
      </w:r>
      <w:r>
        <w:rPr>
          <w:rFonts w:ascii="仿宋_GB2312" w:hAnsi="宋体" w:cs="宋体"/>
          <w:bCs/>
          <w:color w:val="auto"/>
          <w:kern w:val="0"/>
          <w:szCs w:val="24"/>
          <w:highlight w:val="none"/>
          <w:u w:val="none"/>
        </w:rPr>
        <w:t>.若理财产品存续期间持有其他投资品种，以理财产品管理人与托管人共同认可的估值方法估值。</w:t>
      </w:r>
    </w:p>
    <w:p w14:paraId="16331504">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9</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14:paraId="4E4AABA4">
      <w:pPr>
        <w:pStyle w:val="3"/>
        <w:ind w:firstLine="482"/>
        <w:rPr>
          <w:color w:val="auto"/>
          <w:highlight w:val="none"/>
          <w:u w:val="none"/>
        </w:rPr>
      </w:pPr>
      <w:r>
        <w:rPr>
          <w:rFonts w:hint="eastAsia"/>
          <w:color w:val="auto"/>
          <w:highlight w:val="none"/>
          <w:u w:val="none"/>
        </w:rPr>
        <w:t>估值错误处理</w:t>
      </w:r>
    </w:p>
    <w:p w14:paraId="08F1FF28">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理财</w:t>
      </w:r>
      <w:r>
        <w:rPr>
          <w:rFonts w:ascii="仿宋_GB2312" w:hAnsi="宋体" w:cs="宋体"/>
          <w:bCs/>
          <w:color w:val="auto"/>
          <w:kern w:val="0"/>
          <w:szCs w:val="24"/>
          <w:highlight w:val="none"/>
          <w:u w:val="none"/>
        </w:rPr>
        <w:t>产品</w:t>
      </w:r>
      <w:r>
        <w:rPr>
          <w:rFonts w:hint="eastAsia" w:ascii="仿宋_GB2312" w:hAnsi="宋体" w:cs="宋体"/>
          <w:bCs/>
          <w:color w:val="auto"/>
          <w:kern w:val="0"/>
          <w:szCs w:val="24"/>
          <w:highlight w:val="none"/>
          <w:u w:val="none"/>
        </w:rPr>
        <w:t>管理人和</w:t>
      </w:r>
      <w:r>
        <w:rPr>
          <w:rFonts w:ascii="仿宋_GB2312" w:hAnsi="宋体" w:cs="宋体"/>
          <w:bCs/>
          <w:color w:val="auto"/>
          <w:kern w:val="0"/>
          <w:szCs w:val="24"/>
          <w:highlight w:val="none"/>
          <w:u w:val="none"/>
        </w:rPr>
        <w:t>理财产品托管人</w:t>
      </w:r>
      <w:r>
        <w:rPr>
          <w:rFonts w:hint="eastAsia" w:ascii="仿宋_GB2312" w:hAnsi="宋体" w:cs="宋体"/>
          <w:bCs/>
          <w:color w:val="auto"/>
          <w:kern w:val="0"/>
          <w:szCs w:val="24"/>
          <w:highlight w:val="none"/>
          <w:u w:val="none"/>
        </w:rPr>
        <w:t>将采取必要、适当、合理的措施确保产品资产估值的准确性、及时性。</w:t>
      </w:r>
    </w:p>
    <w:p w14:paraId="038EA502">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1.估值错误处理原则</w:t>
      </w:r>
    </w:p>
    <w:p w14:paraId="7B21CEB3">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（1）由于理财产品管理人或理财产品托管人自身过错造成的估值错误，导致投资者遭受损失的，由估值错误责任方按照各自过错程度对该估值错误导致投资者遭受的直接损失给予赔偿，承担赔偿责任。</w:t>
      </w:r>
    </w:p>
    <w:p w14:paraId="4C11C35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14:paraId="3E0D9DD5">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14:paraId="678A417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（4）因估值错误而获得不当得利的投资者负有及时返还不当得利的义务。</w:t>
      </w:r>
    </w:p>
    <w:p w14:paraId="7074CA11">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（5）按法律法规规定的其他原则处理估值错误。</w:t>
      </w:r>
    </w:p>
    <w:p w14:paraId="155A740F">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2.估值错误处理程序</w:t>
      </w:r>
    </w:p>
    <w:p w14:paraId="1BD08CD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估值错误被发现后，理财产品管理人与理财产品托管人应当及时进行处理，处理的程序如下：</w:t>
      </w:r>
    </w:p>
    <w:p w14:paraId="75288CB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（1）查明估值差错发生的原因，根据估值错误发生的原因确定估值错误的责任方；</w:t>
      </w:r>
    </w:p>
    <w:p w14:paraId="6AE8F163">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（2）根据估值错误处理原则对因估值错误造成的损失进行评估；</w:t>
      </w:r>
    </w:p>
    <w:p w14:paraId="4C08CD0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（3）根据估值错误处理原则或理财产品管理人与托管人协商的方法，由理财产品管理人与托管人共同进行更正，由估值错误的责任方进行赔偿损失。</w:t>
      </w:r>
    </w:p>
    <w:p w14:paraId="7C42998E">
      <w:pPr>
        <w:pStyle w:val="3"/>
        <w:ind w:firstLine="482"/>
        <w:rPr>
          <w:color w:val="auto"/>
          <w:highlight w:val="none"/>
          <w:u w:val="none"/>
        </w:rPr>
      </w:pPr>
      <w:r>
        <w:rPr>
          <w:rFonts w:hint="eastAsia"/>
          <w:color w:val="auto"/>
          <w:highlight w:val="none"/>
          <w:u w:val="none"/>
        </w:rPr>
        <w:t>暂停估值的情形</w:t>
      </w:r>
    </w:p>
    <w:p w14:paraId="11DC8D2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1.当资产估值因不可抗力或其他情形致使本产品管理人和托管人无法准确评估资产价值时；</w:t>
      </w:r>
    </w:p>
    <w:p w14:paraId="7F8E3E3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2．理财产品投资所涉及的交易市场遇法定节假日或因其他原因暂停营业时；</w:t>
      </w:r>
    </w:p>
    <w:p w14:paraId="3B60437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3.理财产品投资的其他资产产品合同约定暂停估值或无法估值的情形发生，导致理财产品无法估值时；</w:t>
      </w:r>
    </w:p>
    <w:p w14:paraId="20FD6BE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当前一估值日理财产品资产净值5</w:t>
      </w:r>
      <w:r>
        <w:rPr>
          <w:rFonts w:ascii="仿宋_GB2312" w:hAnsi="宋体" w:cs="宋体"/>
          <w:bCs/>
          <w:color w:val="auto"/>
          <w:kern w:val="0"/>
          <w:szCs w:val="24"/>
          <w:highlight w:val="none"/>
          <w:u w:val="none"/>
        </w:rPr>
        <w:t>0</w:t>
      </w:r>
      <w:r>
        <w:rPr>
          <w:rFonts w:hint="eastAsia" w:ascii="仿宋_GB2312" w:hAnsi="宋体" w:cs="宋体"/>
          <w:bCs/>
          <w:color w:val="auto"/>
          <w:kern w:val="0"/>
          <w:szCs w:val="24"/>
          <w:highlight w:val="none"/>
          <w:u w:val="none"/>
        </w:rPr>
        <w:t>%以上的资产不具备活跃市场或在活跃市场中无报价，且采用估值技术不能可靠计量公允价值时；</w:t>
      </w:r>
    </w:p>
    <w:p w14:paraId="354C20B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5</w:t>
      </w:r>
      <w:r>
        <w:rPr>
          <w:rFonts w:hint="eastAsia" w:ascii="仿宋_GB2312" w:hAnsi="宋体" w:cs="宋体"/>
          <w:bCs/>
          <w:color w:val="auto"/>
          <w:kern w:val="0"/>
          <w:szCs w:val="24"/>
          <w:highlight w:val="none"/>
          <w:u w:val="none"/>
        </w:rPr>
        <w:t>.国家金融监督管理总局认定的其他情形或理财产品管理人、托管人有合理理由认为将影响本理财产品估值的其他情形。</w:t>
      </w:r>
    </w:p>
    <w:p w14:paraId="7FCD5CE5">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2C1C18AF">
      <w:pPr>
        <w:pStyle w:val="2"/>
        <w:rPr>
          <w:color w:val="auto"/>
          <w:highlight w:val="none"/>
          <w:u w:val="none"/>
        </w:rPr>
      </w:pPr>
      <w:r>
        <w:rPr>
          <w:rFonts w:hint="eastAsia"/>
          <w:color w:val="auto"/>
          <w:highlight w:val="none"/>
          <w:u w:val="none"/>
        </w:rPr>
        <w:t>理财产品的</w:t>
      </w:r>
      <w:r>
        <w:rPr>
          <w:rFonts w:hint="eastAsia"/>
          <w:color w:val="auto"/>
          <w:highlight w:val="none"/>
          <w:u w:val="none"/>
          <w:lang w:eastAsia="zh-CN"/>
        </w:rPr>
        <w:t>收益</w:t>
      </w:r>
      <w:r>
        <w:rPr>
          <w:rFonts w:hint="eastAsia"/>
          <w:color w:val="auto"/>
          <w:highlight w:val="none"/>
          <w:u w:val="none"/>
        </w:rPr>
        <w:t>分配</w:t>
      </w:r>
    </w:p>
    <w:p w14:paraId="7F5A4DB1">
      <w:pPr>
        <w:pStyle w:val="3"/>
        <w:tabs>
          <w:tab w:val="left" w:pos="709"/>
          <w:tab w:val="left" w:pos="3261"/>
        </w:tabs>
        <w:ind w:firstLine="482"/>
        <w:rPr>
          <w:rFonts w:hint="eastAsia"/>
          <w:color w:val="auto"/>
          <w:highlight w:val="none"/>
          <w:u w:val="none"/>
        </w:rPr>
      </w:pPr>
      <w:r>
        <w:rPr>
          <w:rFonts w:hint="eastAsia"/>
          <w:color w:val="auto"/>
          <w:highlight w:val="none"/>
          <w:u w:val="none"/>
        </w:rPr>
        <w:t>理财产品的收益构成</w:t>
      </w:r>
    </w:p>
    <w:p w14:paraId="578BF00A">
      <w:pPr>
        <w:pStyle w:val="3"/>
        <w:numPr>
          <w:ilvl w:val="0"/>
          <w:numId w:val="0"/>
        </w:numPr>
        <w:tabs>
          <w:tab w:val="left" w:pos="709"/>
          <w:tab w:val="left" w:pos="3261"/>
        </w:tabs>
        <w:ind w:firstLine="482"/>
        <w:rPr>
          <w:color w:val="auto"/>
          <w:highlight w:val="none"/>
          <w:u w:val="none"/>
        </w:rPr>
      </w:pPr>
      <w:r>
        <w:rPr>
          <w:rFonts w:hint="eastAsia"/>
          <w:color w:val="auto"/>
          <w:highlight w:val="none"/>
          <w:u w:val="none"/>
        </w:rPr>
        <w:t>本理财产品的收益包括：投资债券、货币市场工具等</w:t>
      </w:r>
      <w:r>
        <w:rPr>
          <w:rFonts w:hint="eastAsia"/>
          <w:color w:val="auto"/>
          <w:highlight w:val="none"/>
          <w:u w:val="none"/>
          <w:lang w:eastAsia="zh-CN"/>
        </w:rPr>
        <w:t>投资范围内的资产和</w:t>
      </w:r>
      <w:r>
        <w:rPr>
          <w:rFonts w:hint="eastAsia"/>
          <w:color w:val="auto"/>
          <w:highlight w:val="none"/>
          <w:u w:val="none"/>
        </w:rPr>
        <w:t>监管机构认可的资产或资产管理产品所产生的利息收入、买卖证券差价收入、银行存款利息以及其他合法收入。该收益构成不代表投资者一定可以获得的收益。</w:t>
      </w:r>
    </w:p>
    <w:p w14:paraId="49961B63">
      <w:pPr>
        <w:pStyle w:val="3"/>
        <w:ind w:firstLine="482"/>
        <w:rPr>
          <w:color w:val="auto"/>
          <w:highlight w:val="none"/>
          <w:u w:val="none"/>
        </w:rPr>
      </w:pPr>
      <w:r>
        <w:rPr>
          <w:rFonts w:hint="eastAsia"/>
          <w:color w:val="auto"/>
          <w:highlight w:val="none"/>
          <w:u w:val="none"/>
        </w:rPr>
        <w:t>理财</w:t>
      </w:r>
      <w:r>
        <w:rPr>
          <w:rFonts w:hint="eastAsia"/>
          <w:color w:val="auto"/>
          <w:highlight w:val="none"/>
          <w:u w:val="none"/>
          <w:lang w:eastAsia="zh-CN"/>
        </w:rPr>
        <w:t>收益</w:t>
      </w:r>
      <w:r>
        <w:rPr>
          <w:rFonts w:hint="eastAsia"/>
          <w:color w:val="auto"/>
          <w:highlight w:val="none"/>
          <w:u w:val="none"/>
        </w:rPr>
        <w:t>的分配类型</w:t>
      </w:r>
    </w:p>
    <w:p w14:paraId="0A590EE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1.依据分配时点，理财</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的分配可分为“期间分配”与“终止分配”。</w:t>
      </w:r>
    </w:p>
    <w:p w14:paraId="55AE4064">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2.依据分配方式，理财</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的分配可分为“现金分配”与“非现金分配”。</w:t>
      </w:r>
    </w:p>
    <w:p w14:paraId="6E3026E2">
      <w:pPr>
        <w:pStyle w:val="3"/>
        <w:ind w:firstLine="482"/>
        <w:rPr>
          <w:color w:val="auto"/>
          <w:highlight w:val="none"/>
          <w:u w:val="none"/>
        </w:rPr>
      </w:pPr>
      <w:r>
        <w:rPr>
          <w:rFonts w:hint="eastAsia"/>
          <w:color w:val="auto"/>
          <w:highlight w:val="none"/>
          <w:u w:val="none"/>
        </w:rPr>
        <w:t>理财</w:t>
      </w:r>
      <w:r>
        <w:rPr>
          <w:rFonts w:hint="eastAsia"/>
          <w:color w:val="auto"/>
          <w:highlight w:val="none"/>
          <w:u w:val="none"/>
          <w:lang w:eastAsia="zh-CN"/>
        </w:rPr>
        <w:t>收益</w:t>
      </w:r>
      <w:r>
        <w:rPr>
          <w:rFonts w:hint="eastAsia"/>
          <w:color w:val="auto"/>
          <w:highlight w:val="none"/>
          <w:u w:val="none"/>
        </w:rPr>
        <w:t>的分配原则</w:t>
      </w:r>
    </w:p>
    <w:p w14:paraId="6B7A7F2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1.本产品</w:t>
      </w:r>
      <w:r>
        <w:rPr>
          <w:rFonts w:hint="eastAsia" w:ascii="仿宋_GB2312" w:hAnsi="宋体" w:cs="宋体"/>
          <w:bCs/>
          <w:color w:val="auto"/>
          <w:kern w:val="0"/>
          <w:szCs w:val="24"/>
          <w:highlight w:val="none"/>
          <w:u w:val="none"/>
          <w:lang w:eastAsia="zh-CN"/>
        </w:rPr>
        <w:t>收益</w:t>
      </w:r>
      <w:r>
        <w:rPr>
          <w:rFonts w:hint="eastAsia" w:ascii="仿宋_GB2312" w:hAnsi="宋体" w:cs="宋体"/>
          <w:bCs/>
          <w:color w:val="auto"/>
          <w:kern w:val="0"/>
          <w:szCs w:val="24"/>
          <w:highlight w:val="none"/>
          <w:u w:val="none"/>
        </w:rPr>
        <w:t>分配应遵循下列原则：</w:t>
      </w:r>
    </w:p>
    <w:p w14:paraId="2417C26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（1）每一产品份额享有同等分配权。</w:t>
      </w:r>
    </w:p>
    <w:p w14:paraId="0E0D03C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（2）在不</w:t>
      </w:r>
      <w:r>
        <w:rPr>
          <w:rFonts w:ascii="仿宋_GB2312" w:hAnsi="宋体" w:cs="宋体"/>
          <w:bCs/>
          <w:color w:val="auto"/>
          <w:kern w:val="0"/>
          <w:szCs w:val="24"/>
          <w:highlight w:val="none"/>
          <w:u w:val="none"/>
        </w:rPr>
        <w:t>违反法律法规、理财产品销售文件约定以及对份额持有人权益无实质性不利影响的情况下，产品管理人可</w:t>
      </w:r>
      <w:r>
        <w:rPr>
          <w:rFonts w:hint="eastAsia" w:ascii="仿宋_GB2312" w:hAnsi="宋体" w:cs="宋体"/>
          <w:bCs/>
          <w:color w:val="auto"/>
          <w:kern w:val="0"/>
          <w:szCs w:val="24"/>
          <w:highlight w:val="none"/>
          <w:u w:val="none"/>
        </w:rPr>
        <w:t>调整</w:t>
      </w:r>
      <w:r>
        <w:rPr>
          <w:rFonts w:ascii="仿宋_GB2312" w:hAnsi="宋体" w:cs="宋体"/>
          <w:bCs/>
          <w:color w:val="auto"/>
          <w:kern w:val="0"/>
          <w:szCs w:val="24"/>
          <w:highlight w:val="none"/>
          <w:u w:val="none"/>
        </w:rPr>
        <w:t>本理财产品</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的分配原则与支付方式。法律</w:t>
      </w:r>
      <w:r>
        <w:rPr>
          <w:rFonts w:hint="eastAsia" w:ascii="仿宋_GB2312" w:hAnsi="宋体" w:cs="宋体"/>
          <w:bCs/>
          <w:color w:val="auto"/>
          <w:kern w:val="0"/>
          <w:szCs w:val="24"/>
          <w:highlight w:val="none"/>
          <w:u w:val="none"/>
        </w:rPr>
        <w:t>法规</w:t>
      </w:r>
      <w:r>
        <w:rPr>
          <w:rFonts w:ascii="仿宋_GB2312" w:hAnsi="宋体" w:cs="宋体"/>
          <w:bCs/>
          <w:color w:val="auto"/>
          <w:kern w:val="0"/>
          <w:szCs w:val="24"/>
          <w:highlight w:val="none"/>
          <w:u w:val="none"/>
        </w:rPr>
        <w:t>或监管机构另有规定的从其规定。</w:t>
      </w:r>
    </w:p>
    <w:p w14:paraId="3DB49502">
      <w:pPr>
        <w:pStyle w:val="3"/>
        <w:autoSpaceDE w:val="0"/>
        <w:autoSpaceDN w:val="0"/>
        <w:adjustRightInd w:val="0"/>
        <w:snapToGrid w:val="0"/>
        <w:ind w:firstLine="482"/>
        <w:rPr>
          <w:color w:val="auto"/>
          <w:highlight w:val="none"/>
          <w:u w:val="none"/>
        </w:rPr>
      </w:pPr>
      <w:r>
        <w:rPr>
          <w:rFonts w:hint="eastAsia"/>
          <w:color w:val="auto"/>
          <w:highlight w:val="none"/>
          <w:u w:val="none"/>
        </w:rPr>
        <w:t>理财</w:t>
      </w:r>
      <w:r>
        <w:rPr>
          <w:rFonts w:hint="eastAsia"/>
          <w:color w:val="auto"/>
          <w:highlight w:val="none"/>
          <w:u w:val="none"/>
          <w:lang w:eastAsia="zh-CN"/>
        </w:rPr>
        <w:t>收益</w:t>
      </w:r>
      <w:r>
        <w:rPr>
          <w:rFonts w:hint="eastAsia"/>
          <w:color w:val="auto"/>
          <w:highlight w:val="none"/>
          <w:u w:val="none"/>
        </w:rPr>
        <w:t xml:space="preserve">的分配方案 </w:t>
      </w:r>
    </w:p>
    <w:p w14:paraId="2349547C">
      <w:pPr>
        <w:autoSpaceDE w:val="0"/>
        <w:autoSpaceDN w:val="0"/>
        <w:adjustRightInd w:val="0"/>
        <w:snapToGrid w:val="0"/>
        <w:spacing w:line="360" w:lineRule="auto"/>
        <w:ind w:firstLine="480" w:firstLineChars="200"/>
        <w:jc w:val="left"/>
        <w:rPr>
          <w:color w:val="auto"/>
          <w:highlight w:val="none"/>
          <w:u w:val="none"/>
        </w:rPr>
      </w:pPr>
      <w:r>
        <w:rPr>
          <w:rFonts w:hint="eastAsia" w:ascii="仿宋_GB2312" w:hAnsi="宋体" w:cs="宋体"/>
          <w:bCs/>
          <w:color w:val="auto"/>
          <w:kern w:val="0"/>
          <w:szCs w:val="24"/>
          <w:highlight w:val="none"/>
          <w:u w:val="none"/>
        </w:rPr>
        <w:t>1.</w:t>
      </w:r>
      <w:r>
        <w:rPr>
          <w:rFonts w:hint="eastAsia"/>
          <w:color w:val="auto"/>
          <w:highlight w:val="none"/>
          <w:u w:val="none"/>
        </w:rPr>
        <w:t>分配方案要点：</w:t>
      </w:r>
    </w:p>
    <w:p w14:paraId="557FB496">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1）</w:t>
      </w:r>
      <w:r>
        <w:rPr>
          <w:rFonts w:hint="eastAsia" w:ascii="仿宋_GB2312" w:hAnsi="宋体" w:cs="宋体"/>
          <w:bCs/>
          <w:color w:val="auto"/>
          <w:kern w:val="0"/>
          <w:szCs w:val="24"/>
          <w:highlight w:val="none"/>
          <w:u w:val="none"/>
        </w:rPr>
        <w:t>本</w:t>
      </w:r>
      <w:r>
        <w:rPr>
          <w:rFonts w:ascii="仿宋_GB2312" w:hAnsi="宋体" w:cs="宋体"/>
          <w:bCs/>
          <w:color w:val="auto"/>
          <w:kern w:val="0"/>
          <w:szCs w:val="24"/>
          <w:highlight w:val="none"/>
          <w:u w:val="none"/>
        </w:rPr>
        <w:t>理财产品的分配时点包括</w:t>
      </w:r>
      <w:r>
        <w:rPr>
          <w:rFonts w:hint="eastAsia" w:ascii="仿宋_GB2312" w:hAnsi="宋体" w:cs="宋体"/>
          <w:bCs/>
          <w:color w:val="auto"/>
          <w:kern w:val="0"/>
          <w:szCs w:val="24"/>
          <w:highlight w:val="none"/>
          <w:u w:val="none"/>
        </w:rPr>
        <w:t>“期间分配”“终止分配”。</w:t>
      </w:r>
    </w:p>
    <w:p w14:paraId="5279F66F">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本</w:t>
      </w:r>
      <w:r>
        <w:rPr>
          <w:rFonts w:ascii="仿宋_GB2312" w:hAnsi="宋体" w:cs="宋体"/>
          <w:bCs/>
          <w:color w:val="auto"/>
          <w:kern w:val="0"/>
          <w:szCs w:val="24"/>
          <w:highlight w:val="none"/>
          <w:u w:val="none"/>
        </w:rPr>
        <w:t>理财产品的分配</w:t>
      </w:r>
      <w:r>
        <w:rPr>
          <w:rFonts w:hint="eastAsia" w:ascii="仿宋_GB2312" w:hAnsi="宋体" w:cs="宋体"/>
          <w:bCs/>
          <w:color w:val="auto"/>
          <w:kern w:val="0"/>
          <w:szCs w:val="24"/>
          <w:highlight w:val="none"/>
          <w:u w:val="none"/>
        </w:rPr>
        <w:t>方式</w:t>
      </w:r>
      <w:r>
        <w:rPr>
          <w:rFonts w:ascii="仿宋_GB2312" w:hAnsi="宋体" w:cs="宋体"/>
          <w:bCs/>
          <w:color w:val="auto"/>
          <w:kern w:val="0"/>
          <w:szCs w:val="24"/>
          <w:highlight w:val="none"/>
          <w:u w:val="none"/>
        </w:rPr>
        <w:t>采取</w:t>
      </w:r>
      <w:r>
        <w:rPr>
          <w:rFonts w:hint="eastAsia" w:ascii="仿宋_GB2312" w:hAnsi="宋体" w:cs="宋体"/>
          <w:bCs/>
          <w:color w:val="auto"/>
          <w:kern w:val="0"/>
          <w:szCs w:val="24"/>
          <w:highlight w:val="none"/>
          <w:u w:val="none"/>
        </w:rPr>
        <w:t>“现金分配”。</w:t>
      </w:r>
    </w:p>
    <w:p w14:paraId="61EFE5A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w:t>
      </w:r>
      <w:r>
        <w:rPr>
          <w:rFonts w:hint="eastAsia" w:ascii="仿宋_GB2312" w:hAnsi="宋体" w:cs="宋体"/>
          <w:bCs/>
          <w:color w:val="auto"/>
          <w:kern w:val="0"/>
          <w:szCs w:val="24"/>
          <w:highlight w:val="none"/>
          <w:u w:val="none"/>
        </w:rPr>
        <w:t>具体</w:t>
      </w:r>
      <w:r>
        <w:rPr>
          <w:rFonts w:ascii="仿宋_GB2312" w:hAnsi="宋体" w:cs="宋体"/>
          <w:bCs/>
          <w:color w:val="auto"/>
          <w:kern w:val="0"/>
          <w:szCs w:val="24"/>
          <w:highlight w:val="none"/>
          <w:u w:val="none"/>
        </w:rPr>
        <w:t>理财产品</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分配方案由产品管理人拟定，并由产品托管人复核后确定。</w:t>
      </w:r>
    </w:p>
    <w:p w14:paraId="60C627C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3.理财</w:t>
      </w:r>
      <w:r>
        <w:rPr>
          <w:rFonts w:ascii="仿宋_GB2312" w:hAnsi="宋体" w:cs="宋体"/>
          <w:bCs/>
          <w:color w:val="auto"/>
          <w:kern w:val="0"/>
          <w:szCs w:val="24"/>
          <w:highlight w:val="none"/>
          <w:u w:val="none"/>
        </w:rPr>
        <w:t>产品存续期间，产品管理人有权</w:t>
      </w:r>
      <w:r>
        <w:rPr>
          <w:rFonts w:hint="eastAsia" w:ascii="仿宋_GB2312" w:hAnsi="宋体" w:cs="宋体"/>
          <w:bCs/>
          <w:color w:val="auto"/>
          <w:kern w:val="0"/>
          <w:szCs w:val="24"/>
          <w:highlight w:val="none"/>
          <w:u w:val="none"/>
        </w:rPr>
        <w:t>视</w:t>
      </w:r>
      <w:r>
        <w:rPr>
          <w:rFonts w:ascii="仿宋_GB2312" w:hAnsi="宋体" w:cs="宋体"/>
          <w:bCs/>
          <w:color w:val="auto"/>
          <w:kern w:val="0"/>
          <w:szCs w:val="24"/>
          <w:highlight w:val="none"/>
          <w:u w:val="none"/>
        </w:rPr>
        <w:t>理财产品收益情况进行主动分配，相应</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分配基准日、分配方案由管理人及时披露。</w:t>
      </w:r>
    </w:p>
    <w:p w14:paraId="61A0DE99">
      <w:pPr>
        <w:pStyle w:val="3"/>
        <w:tabs>
          <w:tab w:val="left" w:pos="0"/>
          <w:tab w:val="left" w:pos="709"/>
        </w:tabs>
        <w:ind w:firstLine="482" w:firstLineChars="0"/>
        <w:rPr>
          <w:color w:val="auto"/>
          <w:highlight w:val="none"/>
          <w:u w:val="none"/>
        </w:rPr>
      </w:pPr>
      <w:r>
        <w:rPr>
          <w:rFonts w:hint="eastAsia"/>
          <w:color w:val="auto"/>
          <w:highlight w:val="none"/>
          <w:u w:val="none"/>
        </w:rPr>
        <w:t>理财</w:t>
      </w:r>
      <w:r>
        <w:rPr>
          <w:rFonts w:hint="eastAsia"/>
          <w:color w:val="auto"/>
          <w:highlight w:val="none"/>
          <w:u w:val="none"/>
          <w:lang w:eastAsia="zh-CN"/>
        </w:rPr>
        <w:t>收益</w:t>
      </w:r>
      <w:r>
        <w:rPr>
          <w:rFonts w:hint="eastAsia"/>
          <w:color w:val="auto"/>
          <w:highlight w:val="none"/>
          <w:u w:val="none"/>
        </w:rPr>
        <w:t>的分配</w:t>
      </w:r>
    </w:p>
    <w:p w14:paraId="6017D1D0">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1.理财</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的分配日</w:t>
      </w:r>
    </w:p>
    <w:p w14:paraId="24B1BC8F">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若</w:t>
      </w:r>
      <w:r>
        <w:rPr>
          <w:rFonts w:ascii="仿宋_GB2312" w:hAnsi="宋体" w:cs="宋体"/>
          <w:bCs/>
          <w:color w:val="auto"/>
          <w:kern w:val="0"/>
          <w:szCs w:val="24"/>
          <w:highlight w:val="none"/>
          <w:u w:val="none"/>
        </w:rPr>
        <w:t>为期间分配的，原则上产品管理人应于分配基准日后</w:t>
      </w:r>
      <w:r>
        <w:rPr>
          <w:rFonts w:hint="eastAsia" w:ascii="仿宋_GB2312" w:hAnsi="宋体" w:cs="宋体"/>
          <w:bCs/>
          <w:color w:val="auto"/>
          <w:kern w:val="0"/>
          <w:szCs w:val="24"/>
          <w:highlight w:val="none"/>
          <w:u w:val="none"/>
          <w:lang w:val="en-US" w:eastAsia="zh-CN"/>
        </w:rPr>
        <w:t>5</w:t>
      </w:r>
      <w:r>
        <w:rPr>
          <w:rFonts w:hint="eastAsia" w:ascii="仿宋_GB2312" w:hAnsi="宋体" w:cs="宋体"/>
          <w:bCs/>
          <w:color w:val="auto"/>
          <w:kern w:val="0"/>
          <w:szCs w:val="24"/>
          <w:highlight w:val="none"/>
          <w:u w:val="none"/>
        </w:rPr>
        <w:t>个</w:t>
      </w:r>
      <w:r>
        <w:rPr>
          <w:rFonts w:hint="eastAsia" w:ascii="仿宋_GB2312" w:hAnsi="宋体" w:cs="宋体"/>
          <w:bCs/>
          <w:color w:val="auto"/>
          <w:kern w:val="0"/>
          <w:szCs w:val="24"/>
          <w:highlight w:val="none"/>
          <w:u w:val="none"/>
          <w:lang w:eastAsia="zh-CN"/>
        </w:rPr>
        <w:t>交易日</w:t>
      </w:r>
      <w:r>
        <w:rPr>
          <w:rFonts w:ascii="仿宋_GB2312" w:hAnsi="宋体" w:cs="宋体"/>
          <w:bCs/>
          <w:color w:val="auto"/>
          <w:kern w:val="0"/>
          <w:szCs w:val="24"/>
          <w:highlight w:val="none"/>
          <w:u w:val="none"/>
        </w:rPr>
        <w:t>内分配理财</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如有</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w:t>
      </w:r>
    </w:p>
    <w:p w14:paraId="3E137BD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若为</w:t>
      </w:r>
      <w:r>
        <w:rPr>
          <w:rFonts w:ascii="仿宋_GB2312" w:hAnsi="宋体" w:cs="宋体"/>
          <w:bCs/>
          <w:color w:val="auto"/>
          <w:kern w:val="0"/>
          <w:szCs w:val="24"/>
          <w:highlight w:val="none"/>
          <w:u w:val="none"/>
        </w:rPr>
        <w:t>终止分配的，</w:t>
      </w:r>
      <w:r>
        <w:rPr>
          <w:rFonts w:hint="eastAsia" w:ascii="仿宋_GB2312" w:hAnsi="宋体" w:cs="宋体"/>
          <w:bCs/>
          <w:color w:val="auto"/>
          <w:kern w:val="0"/>
          <w:szCs w:val="24"/>
          <w:highlight w:val="none"/>
          <w:u w:val="none"/>
        </w:rPr>
        <w:t>产品</w:t>
      </w:r>
      <w:r>
        <w:rPr>
          <w:rFonts w:ascii="仿宋_GB2312" w:hAnsi="宋体" w:cs="宋体"/>
          <w:bCs/>
          <w:color w:val="auto"/>
          <w:kern w:val="0"/>
          <w:szCs w:val="24"/>
          <w:highlight w:val="none"/>
          <w:u w:val="none"/>
        </w:rPr>
        <w:t>管理人应按“</w:t>
      </w:r>
      <w:r>
        <w:rPr>
          <w:rFonts w:hint="eastAsia" w:ascii="仿宋_GB2312" w:hAnsi="宋体" w:cs="宋体"/>
          <w:bCs/>
          <w:color w:val="auto"/>
          <w:kern w:val="0"/>
          <w:szCs w:val="24"/>
          <w:highlight w:val="none"/>
          <w:u w:val="none"/>
        </w:rPr>
        <w:t>第十</w:t>
      </w:r>
      <w:r>
        <w:rPr>
          <w:rFonts w:hint="eastAsia" w:ascii="仿宋_GB2312" w:hAnsi="宋体" w:cs="宋体"/>
          <w:bCs/>
          <w:color w:val="auto"/>
          <w:kern w:val="0"/>
          <w:szCs w:val="24"/>
          <w:highlight w:val="none"/>
          <w:u w:val="none"/>
          <w:lang w:eastAsia="zh-CN"/>
        </w:rPr>
        <w:t>一</w:t>
      </w:r>
      <w:r>
        <w:rPr>
          <w:rFonts w:hint="eastAsia" w:ascii="仿宋_GB2312" w:hAnsi="宋体" w:cs="宋体"/>
          <w:bCs/>
          <w:color w:val="auto"/>
          <w:kern w:val="0"/>
          <w:szCs w:val="24"/>
          <w:highlight w:val="none"/>
          <w:u w:val="none"/>
        </w:rPr>
        <w:t>节 理财</w:t>
      </w:r>
      <w:r>
        <w:rPr>
          <w:rFonts w:ascii="仿宋_GB2312" w:hAnsi="宋体" w:cs="宋体"/>
          <w:bCs/>
          <w:color w:val="auto"/>
          <w:kern w:val="0"/>
          <w:szCs w:val="24"/>
          <w:highlight w:val="none"/>
          <w:u w:val="none"/>
        </w:rPr>
        <w:t>产品</w:t>
      </w:r>
      <w:r>
        <w:rPr>
          <w:rFonts w:hint="eastAsia" w:ascii="仿宋_GB2312" w:hAnsi="宋体" w:cs="宋体"/>
          <w:bCs/>
          <w:color w:val="auto"/>
          <w:kern w:val="0"/>
          <w:szCs w:val="24"/>
          <w:highlight w:val="none"/>
          <w:u w:val="none"/>
          <w:lang w:eastAsia="zh-CN"/>
        </w:rPr>
        <w:t>的</w:t>
      </w:r>
      <w:r>
        <w:rPr>
          <w:rFonts w:ascii="仿宋_GB2312" w:hAnsi="宋体" w:cs="宋体"/>
          <w:bCs/>
          <w:color w:val="auto"/>
          <w:kern w:val="0"/>
          <w:szCs w:val="24"/>
          <w:highlight w:val="none"/>
          <w:u w:val="none"/>
        </w:rPr>
        <w:t>终止与清算”</w:t>
      </w:r>
      <w:r>
        <w:rPr>
          <w:rFonts w:hint="eastAsia" w:ascii="仿宋_GB2312" w:hAnsi="宋体" w:cs="宋体"/>
          <w:bCs/>
          <w:color w:val="auto"/>
          <w:kern w:val="0"/>
          <w:szCs w:val="24"/>
          <w:highlight w:val="none"/>
          <w:u w:val="none"/>
        </w:rPr>
        <w:t>中</w:t>
      </w:r>
      <w:r>
        <w:rPr>
          <w:rFonts w:ascii="仿宋_GB2312" w:hAnsi="宋体" w:cs="宋体"/>
          <w:bCs/>
          <w:color w:val="auto"/>
          <w:kern w:val="0"/>
          <w:szCs w:val="24"/>
          <w:highlight w:val="none"/>
          <w:u w:val="none"/>
        </w:rPr>
        <w:t>产品清算期的相关约定向投资者分配</w:t>
      </w:r>
      <w:r>
        <w:rPr>
          <w:rFonts w:hint="eastAsia" w:ascii="仿宋_GB2312" w:hAnsi="宋体" w:cs="宋体"/>
          <w:bCs/>
          <w:color w:val="auto"/>
          <w:kern w:val="0"/>
          <w:szCs w:val="24"/>
          <w:highlight w:val="none"/>
          <w:u w:val="none"/>
        </w:rPr>
        <w:t>理财</w:t>
      </w:r>
      <w:r>
        <w:rPr>
          <w:rFonts w:hint="eastAsia" w:ascii="仿宋_GB2312" w:hAnsi="宋体" w:cs="宋体"/>
          <w:bCs/>
          <w:color w:val="auto"/>
          <w:kern w:val="0"/>
          <w:szCs w:val="24"/>
          <w:highlight w:val="none"/>
          <w:u w:val="none"/>
          <w:lang w:eastAsia="zh-CN"/>
        </w:rPr>
        <w:t>收益</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如有</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w:t>
      </w:r>
    </w:p>
    <w:p w14:paraId="7D0F0E42">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w:t>
      </w:r>
      <w:r>
        <w:rPr>
          <w:rFonts w:hint="eastAsia" w:ascii="仿宋_GB2312" w:hAnsi="宋体" w:cs="宋体"/>
          <w:bCs/>
          <w:color w:val="auto"/>
          <w:kern w:val="0"/>
          <w:szCs w:val="24"/>
          <w:highlight w:val="none"/>
          <w:u w:val="none"/>
        </w:rPr>
        <w:t>具体</w:t>
      </w:r>
      <w:r>
        <w:rPr>
          <w:rFonts w:ascii="仿宋_GB2312" w:hAnsi="宋体" w:cs="宋体"/>
          <w:bCs/>
          <w:color w:val="auto"/>
          <w:kern w:val="0"/>
          <w:szCs w:val="24"/>
          <w:highlight w:val="none"/>
          <w:u w:val="none"/>
        </w:rPr>
        <w:t>的理财产品分配</w:t>
      </w:r>
      <w:r>
        <w:rPr>
          <w:rFonts w:hint="eastAsia" w:ascii="仿宋_GB2312" w:hAnsi="宋体" w:cs="宋体"/>
          <w:bCs/>
          <w:color w:val="auto"/>
          <w:kern w:val="0"/>
          <w:szCs w:val="24"/>
          <w:highlight w:val="none"/>
          <w:u w:val="none"/>
        </w:rPr>
        <w:t>以</w:t>
      </w:r>
      <w:r>
        <w:rPr>
          <w:rFonts w:ascii="仿宋_GB2312" w:hAnsi="宋体" w:cs="宋体"/>
          <w:bCs/>
          <w:color w:val="auto"/>
          <w:kern w:val="0"/>
          <w:szCs w:val="24"/>
          <w:highlight w:val="none"/>
          <w:u w:val="none"/>
        </w:rPr>
        <w:t>管理人实际分配的为准。</w:t>
      </w:r>
    </w:p>
    <w:p w14:paraId="0AC28ECC">
      <w:pPr>
        <w:pStyle w:val="31"/>
        <w:widowControl/>
        <w:snapToGrid w:val="0"/>
        <w:spacing w:line="360" w:lineRule="auto"/>
        <w:ind w:firstLine="480" w:firstLineChars="200"/>
        <w:rPr>
          <w:color w:val="auto"/>
          <w:highlight w:val="none"/>
        </w:rPr>
      </w:pPr>
      <w:r>
        <w:rPr>
          <w:rFonts w:hint="eastAsia" w:ascii="仿宋_GB2312" w:hAnsi="宋体" w:eastAsia="仿宋_GB2312"/>
          <w:bCs/>
          <w:color w:val="auto"/>
          <w:highlight w:val="none"/>
        </w:rPr>
        <w:br w:type="page"/>
      </w:r>
    </w:p>
    <w:p w14:paraId="74C40ED2">
      <w:pPr>
        <w:pStyle w:val="2"/>
        <w:rPr>
          <w:color w:val="auto"/>
          <w:highlight w:val="none"/>
          <w:u w:val="none"/>
        </w:rPr>
      </w:pPr>
      <w:r>
        <w:rPr>
          <w:rFonts w:hint="eastAsia"/>
          <w:color w:val="auto"/>
          <w:highlight w:val="none"/>
          <w:u w:val="none"/>
        </w:rPr>
        <w:t>理财产品的费用与税收</w:t>
      </w:r>
    </w:p>
    <w:p w14:paraId="52C7C717">
      <w:pPr>
        <w:pStyle w:val="3"/>
        <w:tabs>
          <w:tab w:val="left" w:pos="0"/>
          <w:tab w:val="left" w:pos="709"/>
        </w:tabs>
        <w:ind w:firstLine="482" w:firstLineChars="0"/>
        <w:rPr>
          <w:color w:val="auto"/>
          <w:highlight w:val="none"/>
          <w:u w:val="none"/>
        </w:rPr>
      </w:pPr>
      <w:r>
        <w:rPr>
          <w:rFonts w:hint="eastAsia"/>
          <w:color w:val="auto"/>
          <w:highlight w:val="none"/>
          <w:u w:val="none"/>
        </w:rPr>
        <w:t>理财费用</w:t>
      </w:r>
    </w:p>
    <w:p w14:paraId="275F40FE">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1.理财产品费用的种类</w:t>
      </w:r>
    </w:p>
    <w:p w14:paraId="0FEF4F28">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（1）理财产品的认购费、申购费、赎回费；</w:t>
      </w:r>
    </w:p>
    <w:p w14:paraId="431A7700">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（2）理财产品的销售服务费；</w:t>
      </w:r>
    </w:p>
    <w:p w14:paraId="57E13C80">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（3）理财产品的</w:t>
      </w:r>
      <w:r>
        <w:rPr>
          <w:rFonts w:hint="eastAsia" w:ascii="仿宋_GB2312" w:hAnsi="宋体" w:cs="宋体"/>
          <w:bCs/>
          <w:color w:val="auto"/>
          <w:kern w:val="0"/>
          <w:szCs w:val="24"/>
          <w:highlight w:val="none"/>
          <w:u w:val="none"/>
          <w:lang w:eastAsia="zh-CN"/>
        </w:rPr>
        <w:t>固定</w:t>
      </w:r>
      <w:r>
        <w:rPr>
          <w:rFonts w:hint="eastAsia" w:ascii="仿宋_GB2312" w:hAnsi="宋体" w:cs="宋体"/>
          <w:bCs/>
          <w:color w:val="auto"/>
          <w:kern w:val="0"/>
          <w:szCs w:val="24"/>
          <w:highlight w:val="none"/>
          <w:u w:val="none"/>
        </w:rPr>
        <w:t>管理费</w:t>
      </w:r>
      <w:r>
        <w:rPr>
          <w:rFonts w:ascii="仿宋_GB2312" w:hAnsi="宋体" w:cs="宋体"/>
          <w:bCs/>
          <w:color w:val="auto"/>
          <w:kern w:val="0"/>
          <w:szCs w:val="24"/>
          <w:highlight w:val="none"/>
          <w:u w:val="none"/>
        </w:rPr>
        <w:t>及</w:t>
      </w:r>
      <w:r>
        <w:rPr>
          <w:rFonts w:hint="eastAsia" w:ascii="仿宋_GB2312" w:hAnsi="宋体" w:cs="宋体"/>
          <w:bCs/>
          <w:color w:val="auto"/>
          <w:kern w:val="0"/>
          <w:szCs w:val="24"/>
          <w:highlight w:val="none"/>
          <w:u w:val="none"/>
          <w:lang w:eastAsia="zh-CN"/>
        </w:rPr>
        <w:t>浮动管理费</w:t>
      </w:r>
      <w:r>
        <w:rPr>
          <w:rFonts w:ascii="仿宋_GB2312" w:hAnsi="宋体" w:cs="宋体"/>
          <w:bCs/>
          <w:color w:val="auto"/>
          <w:kern w:val="0"/>
          <w:szCs w:val="24"/>
          <w:highlight w:val="none"/>
          <w:u w:val="none"/>
        </w:rPr>
        <w:t>；</w:t>
      </w:r>
    </w:p>
    <w:p w14:paraId="3F90B5A7">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（4）理财产品的托管费；</w:t>
      </w:r>
    </w:p>
    <w:p w14:paraId="4B19B06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（5）</w:t>
      </w:r>
      <w:r>
        <w:rPr>
          <w:rFonts w:hint="eastAsia" w:ascii="仿宋_GB2312" w:hAnsi="宋体" w:cs="宋体"/>
          <w:bCs/>
          <w:color w:val="auto"/>
          <w:kern w:val="0"/>
          <w:szCs w:val="24"/>
          <w:highlight w:val="none"/>
          <w:u w:val="none"/>
        </w:rPr>
        <w:t>其他费用，包括但不限于：与</w:t>
      </w:r>
      <w:r>
        <w:rPr>
          <w:rFonts w:ascii="仿宋_GB2312" w:hAnsi="宋体" w:cs="宋体"/>
          <w:bCs/>
          <w:color w:val="auto"/>
          <w:kern w:val="0"/>
          <w:szCs w:val="24"/>
          <w:highlight w:val="none"/>
          <w:u w:val="none"/>
        </w:rPr>
        <w:t>理财产品相关的</w:t>
      </w:r>
      <w:r>
        <w:rPr>
          <w:rFonts w:hint="eastAsia" w:ascii="仿宋_GB2312" w:hAnsi="宋体" w:cs="宋体"/>
          <w:bCs/>
          <w:color w:val="auto"/>
          <w:kern w:val="0"/>
          <w:szCs w:val="24"/>
          <w:highlight w:val="none"/>
          <w:u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6EA9768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宋体" w:hAnsi="宋体" w:cs="宋体"/>
          <w:color w:val="auto"/>
          <w:kern w:val="0"/>
          <w:szCs w:val="24"/>
          <w:highlight w:val="none"/>
          <w:u w:val="none"/>
        </w:rPr>
        <w:t>本产品可能根据投资者购买理财产品的</w:t>
      </w:r>
      <w:r>
        <w:rPr>
          <w:rFonts w:hint="eastAsia" w:ascii="仿宋_GB2312" w:hAnsi="宋体" w:cs="宋体"/>
          <w:bCs/>
          <w:color w:val="auto"/>
          <w:kern w:val="0"/>
          <w:szCs w:val="24"/>
          <w:highlight w:val="none"/>
          <w:u w:val="none"/>
        </w:rPr>
        <w:t>金额、销售渠道、客户类型</w:t>
      </w:r>
      <w:r>
        <w:rPr>
          <w:rFonts w:hint="eastAsia" w:ascii="宋体" w:hAnsi="宋体" w:cs="宋体"/>
          <w:color w:val="auto"/>
          <w:kern w:val="0"/>
          <w:szCs w:val="24"/>
          <w:highlight w:val="none"/>
          <w:u w:val="none"/>
        </w:rPr>
        <w:t>等因素设置不同产品份额</w:t>
      </w:r>
      <w:r>
        <w:rPr>
          <w:rFonts w:hint="eastAsia" w:ascii="仿宋_GB2312" w:hAnsi="宋体" w:cs="宋体"/>
          <w:bCs/>
          <w:color w:val="auto"/>
          <w:kern w:val="0"/>
          <w:szCs w:val="24"/>
          <w:highlight w:val="none"/>
          <w:u w:val="none"/>
        </w:rPr>
        <w:t>类别</w:t>
      </w:r>
      <w:r>
        <w:rPr>
          <w:rFonts w:hint="eastAsia" w:ascii="宋体" w:hAnsi="宋体" w:cs="宋体"/>
          <w:color w:val="auto"/>
          <w:kern w:val="0"/>
          <w:szCs w:val="24"/>
          <w:highlight w:val="none"/>
          <w:u w:val="none"/>
        </w:rPr>
        <w:t>，各类产品份额</w:t>
      </w:r>
      <w:r>
        <w:rPr>
          <w:rFonts w:hint="eastAsia" w:ascii="仿宋_GB2312" w:hAnsi="宋体" w:cs="宋体"/>
          <w:bCs/>
          <w:color w:val="auto"/>
          <w:kern w:val="0"/>
          <w:szCs w:val="24"/>
          <w:highlight w:val="none"/>
          <w:u w:val="none"/>
        </w:rPr>
        <w:t>可能分别设置不同的</w:t>
      </w:r>
      <w:r>
        <w:rPr>
          <w:rFonts w:ascii="仿宋_GB2312" w:hAnsi="宋体" w:cs="宋体"/>
          <w:bCs/>
          <w:color w:val="auto"/>
          <w:kern w:val="0"/>
          <w:szCs w:val="24"/>
          <w:highlight w:val="none"/>
          <w:u w:val="none"/>
        </w:rPr>
        <w:t>销售服务</w:t>
      </w:r>
      <w:r>
        <w:rPr>
          <w:rFonts w:ascii="宋体" w:hAnsi="宋体" w:cs="宋体"/>
          <w:color w:val="auto"/>
          <w:kern w:val="0"/>
          <w:szCs w:val="24"/>
          <w:highlight w:val="none"/>
          <w:u w:val="none"/>
        </w:rPr>
        <w:t>费率，</w:t>
      </w:r>
      <w:r>
        <w:rPr>
          <w:rFonts w:ascii="仿宋_GB2312" w:hAnsi="宋体" w:cs="宋体"/>
          <w:bCs/>
          <w:color w:val="auto"/>
          <w:kern w:val="0"/>
          <w:szCs w:val="24"/>
          <w:highlight w:val="none"/>
          <w:u w:val="none"/>
        </w:rPr>
        <w:t>费率具体数值以《产品说明书》“</w:t>
      </w:r>
      <w:r>
        <w:rPr>
          <w:rFonts w:hint="eastAsia" w:ascii="仿宋_GB2312" w:hAnsi="宋体" w:cs="宋体"/>
          <w:bCs/>
          <w:color w:val="auto"/>
          <w:kern w:val="0"/>
          <w:szCs w:val="24"/>
          <w:highlight w:val="none"/>
          <w:u w:val="none"/>
          <w:lang w:eastAsia="zh-CN"/>
        </w:rPr>
        <w:t>第一节 理财产品说明书关键要素</w:t>
      </w:r>
      <w:r>
        <w:rPr>
          <w:rFonts w:ascii="仿宋_GB2312" w:hAnsi="宋体" w:cs="宋体"/>
          <w:bCs/>
          <w:color w:val="auto"/>
          <w:kern w:val="0"/>
          <w:szCs w:val="24"/>
          <w:highlight w:val="none"/>
          <w:u w:val="none"/>
        </w:rPr>
        <w:t>”为准。</w:t>
      </w:r>
    </w:p>
    <w:p w14:paraId="12D58559">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2.理财产品费用计提方法、计提标准和支付方式</w:t>
      </w:r>
    </w:p>
    <w:p w14:paraId="63FAEC06">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（1）理财产品的认购费、申购费、赎回费</w:t>
      </w:r>
    </w:p>
    <w:p w14:paraId="6FDFE31D">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1）认购费：费率具体数值以《产品说明书》“</w:t>
      </w:r>
      <w:r>
        <w:rPr>
          <w:rFonts w:hint="eastAsia" w:ascii="仿宋_GB2312" w:hAnsi="宋体" w:cs="宋体"/>
          <w:bCs/>
          <w:color w:val="auto"/>
          <w:kern w:val="0"/>
          <w:szCs w:val="24"/>
          <w:highlight w:val="none"/>
          <w:u w:val="none"/>
          <w:lang w:eastAsia="zh-CN"/>
        </w:rPr>
        <w:t>第一节 理财产品说明书关键要素</w:t>
      </w:r>
      <w:r>
        <w:rPr>
          <w:rFonts w:ascii="仿宋_GB2312" w:hAnsi="宋体" w:cs="宋体"/>
          <w:bCs/>
          <w:color w:val="auto"/>
          <w:kern w:val="0"/>
          <w:szCs w:val="24"/>
          <w:highlight w:val="none"/>
          <w:u w:val="none"/>
        </w:rPr>
        <w:t>”为准。</w:t>
      </w:r>
    </w:p>
    <w:p w14:paraId="6E950F67">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2）申购费：费率具体数值以《产品说明书》“</w:t>
      </w:r>
      <w:r>
        <w:rPr>
          <w:rFonts w:hint="eastAsia" w:ascii="仿宋_GB2312" w:hAnsi="宋体" w:cs="宋体"/>
          <w:bCs/>
          <w:color w:val="auto"/>
          <w:kern w:val="0"/>
          <w:szCs w:val="24"/>
          <w:highlight w:val="none"/>
          <w:u w:val="none"/>
          <w:lang w:eastAsia="zh-CN"/>
        </w:rPr>
        <w:t>第一节 理财产品说明书关键要素</w:t>
      </w:r>
      <w:r>
        <w:rPr>
          <w:rFonts w:ascii="仿宋_GB2312" w:hAnsi="宋体" w:cs="宋体"/>
          <w:bCs/>
          <w:color w:val="auto"/>
          <w:kern w:val="0"/>
          <w:szCs w:val="24"/>
          <w:highlight w:val="none"/>
          <w:u w:val="none"/>
        </w:rPr>
        <w:t>”为准。</w:t>
      </w:r>
    </w:p>
    <w:p w14:paraId="5620C9AD">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3）赎回费：费率具体数值以《产品说明书》“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”为准。</w:t>
      </w:r>
    </w:p>
    <w:p w14:paraId="7A3D291E">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（2）理财产品的销售服务费</w:t>
      </w:r>
    </w:p>
    <w:p w14:paraId="769CE761">
      <w:pPr>
        <w:tabs>
          <w:tab w:val="left" w:pos="3119"/>
        </w:tabs>
        <w:autoSpaceDE w:val="0"/>
        <w:autoSpaceDN w:val="0"/>
        <w:snapToGrid w:val="0"/>
        <w:spacing w:line="360" w:lineRule="auto"/>
        <w:ind w:firstLine="480" w:firstLineChars="200"/>
        <w:rPr>
          <w:rFonts w:ascii="仿宋_GB2312" w:hAnsi="宋体" w:cs="宋体"/>
          <w:bCs/>
          <w:color w:val="auto"/>
          <w:spacing w:val="-4"/>
          <w:kern w:val="0"/>
          <w:szCs w:val="24"/>
          <w:highlight w:val="none"/>
          <w:u w:val="none"/>
        </w:rPr>
      </w:pPr>
      <w:r>
        <w:rPr>
          <w:rFonts w:hint="eastAsia" w:ascii="仿宋_GB2312" w:hAnsi="宋体" w:cs="宋体"/>
          <w:bCs/>
          <w:color w:val="auto"/>
          <w:kern w:val="0"/>
          <w:szCs w:val="24"/>
          <w:highlight w:val="none"/>
          <w:u w:val="none"/>
        </w:rPr>
        <w:t>本产品的销售服务费按前一日理财资产净值与销售服务费费率每日计提。</w:t>
      </w:r>
      <w:r>
        <w:rPr>
          <w:rFonts w:hint="eastAsia" w:ascii="仿宋_GB2312" w:hAnsi="宋体" w:cs="宋体"/>
          <w:bCs/>
          <w:color w:val="auto"/>
          <w:spacing w:val="-4"/>
          <w:kern w:val="0"/>
          <w:szCs w:val="24"/>
          <w:highlight w:val="none"/>
          <w:u w:val="none"/>
        </w:rPr>
        <w:t>管理人可按季或产品开放周期（如有）收取，或与后续季度、开放周期（如有）合并收取</w:t>
      </w:r>
      <w:r>
        <w:rPr>
          <w:rFonts w:hint="eastAsia" w:ascii="仿宋_GB2312" w:hAnsi="宋体" w:cs="宋体"/>
          <w:bCs/>
          <w:color w:val="auto"/>
          <w:kern w:val="0"/>
          <w:szCs w:val="24"/>
          <w:highlight w:val="none"/>
          <w:u w:val="none"/>
        </w:rPr>
        <w:t>。销售服务费</w:t>
      </w:r>
      <w:r>
        <w:rPr>
          <w:rFonts w:hint="eastAsia" w:ascii="仿宋_GB2312" w:hAnsi="宋体" w:cs="宋体"/>
          <w:bCs/>
          <w:color w:val="auto"/>
          <w:spacing w:val="-4"/>
          <w:kern w:val="0"/>
          <w:szCs w:val="24"/>
          <w:highlight w:val="none"/>
          <w:u w:val="none"/>
        </w:rPr>
        <w:t>精确到小数点后2位，小数点2位以后四舍五入。</w:t>
      </w:r>
    </w:p>
    <w:p w14:paraId="5C4AACA6">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销售服务费的计算方法如下：</w:t>
      </w:r>
    </w:p>
    <w:p w14:paraId="30D3430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H＝E×销售服务费年费率÷365</w:t>
      </w:r>
    </w:p>
    <w:p w14:paraId="0DE2964F">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H为每日应计提的销售服务费</w:t>
      </w:r>
    </w:p>
    <w:p w14:paraId="53D7609E">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E为前一日的理财资产净值</w:t>
      </w:r>
    </w:p>
    <w:p w14:paraId="503D286B">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销售服务费依照上述约定，从理财财产中支付。费率具体数值以《产品说明书》“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”为准。</w:t>
      </w:r>
    </w:p>
    <w:p w14:paraId="0291519E">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u w:val="none"/>
          <w:lang w:eastAsia="zh-CN"/>
        </w:rPr>
      </w:pPr>
      <w:r>
        <w:rPr>
          <w:rFonts w:hint="eastAsia" w:ascii="仿宋_GB2312" w:hAnsi="宋体" w:cs="宋体"/>
          <w:bCs/>
          <w:color w:val="auto"/>
          <w:kern w:val="0"/>
          <w:szCs w:val="24"/>
          <w:highlight w:val="none"/>
          <w:u w:val="none"/>
        </w:rPr>
        <w:t>（3）理财产品的</w:t>
      </w:r>
      <w:r>
        <w:rPr>
          <w:rFonts w:hint="eastAsia" w:ascii="仿宋_GB2312" w:hAnsi="宋体" w:cs="宋体"/>
          <w:bCs/>
          <w:color w:val="auto"/>
          <w:kern w:val="0"/>
          <w:szCs w:val="24"/>
          <w:highlight w:val="none"/>
          <w:u w:val="none"/>
          <w:lang w:eastAsia="zh-CN"/>
        </w:rPr>
        <w:t>固定管理费</w:t>
      </w:r>
    </w:p>
    <w:p w14:paraId="4DD1EACD">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本产品的</w:t>
      </w:r>
      <w:r>
        <w:rPr>
          <w:rFonts w:hint="eastAsia" w:ascii="仿宋_GB2312" w:hAnsi="宋体" w:cs="宋体"/>
          <w:bCs/>
          <w:color w:val="auto"/>
          <w:kern w:val="0"/>
          <w:szCs w:val="24"/>
          <w:highlight w:val="none"/>
          <w:u w:val="none"/>
          <w:lang w:eastAsia="zh-CN"/>
        </w:rPr>
        <w:t>固定管理费</w:t>
      </w:r>
      <w:r>
        <w:rPr>
          <w:rFonts w:hint="eastAsia" w:ascii="仿宋_GB2312" w:hAnsi="宋体" w:cs="宋体"/>
          <w:bCs/>
          <w:color w:val="auto"/>
          <w:kern w:val="0"/>
          <w:szCs w:val="24"/>
          <w:highlight w:val="none"/>
          <w:u w:val="none"/>
        </w:rPr>
        <w:t>按前一日理财资产净值与</w:t>
      </w:r>
      <w:r>
        <w:rPr>
          <w:rFonts w:hint="eastAsia" w:ascii="仿宋_GB2312" w:hAnsi="宋体" w:cs="宋体"/>
          <w:bCs/>
          <w:color w:val="auto"/>
          <w:kern w:val="0"/>
          <w:szCs w:val="24"/>
          <w:highlight w:val="none"/>
          <w:u w:val="none"/>
          <w:lang w:eastAsia="zh-CN"/>
        </w:rPr>
        <w:t>固定管理费</w:t>
      </w:r>
      <w:r>
        <w:rPr>
          <w:rFonts w:hint="eastAsia" w:ascii="仿宋_GB2312" w:hAnsi="宋体" w:cs="宋体"/>
          <w:bCs/>
          <w:color w:val="auto"/>
          <w:kern w:val="0"/>
          <w:szCs w:val="24"/>
          <w:highlight w:val="none"/>
          <w:u w:val="none"/>
        </w:rPr>
        <w:t>费率每日计提，</w:t>
      </w:r>
      <w:r>
        <w:rPr>
          <w:rFonts w:hint="eastAsia" w:ascii="仿宋_GB2312" w:hAnsi="宋体" w:cs="宋体"/>
          <w:bCs/>
          <w:color w:val="auto"/>
          <w:spacing w:val="-4"/>
          <w:kern w:val="0"/>
          <w:szCs w:val="24"/>
          <w:highlight w:val="none"/>
          <w:u w:val="none"/>
        </w:rPr>
        <w:t>管理人可按季或产品开放周期（如有）收取，或与后续季度、开放周期（如有）合并收取。</w:t>
      </w:r>
      <w:r>
        <w:rPr>
          <w:rFonts w:hint="eastAsia" w:ascii="仿宋_GB2312" w:hAnsi="宋体" w:cs="宋体"/>
          <w:bCs/>
          <w:color w:val="auto"/>
          <w:kern w:val="0"/>
          <w:szCs w:val="24"/>
          <w:highlight w:val="none"/>
          <w:u w:val="none"/>
          <w:lang w:eastAsia="zh-CN"/>
        </w:rPr>
        <w:t>固定管理费</w:t>
      </w:r>
      <w:r>
        <w:rPr>
          <w:rFonts w:hint="eastAsia" w:ascii="仿宋_GB2312" w:hAnsi="宋体" w:cs="宋体"/>
          <w:bCs/>
          <w:color w:val="auto"/>
          <w:spacing w:val="-4"/>
          <w:kern w:val="0"/>
          <w:szCs w:val="24"/>
          <w:highlight w:val="none"/>
          <w:u w:val="none"/>
        </w:rPr>
        <w:t>精确到小数点后2位，小数点2位以后四舍五入</w:t>
      </w:r>
      <w:r>
        <w:rPr>
          <w:rFonts w:hint="eastAsia" w:ascii="仿宋_GB2312" w:hAnsi="宋体" w:cs="宋体"/>
          <w:bCs/>
          <w:color w:val="auto"/>
          <w:kern w:val="0"/>
          <w:szCs w:val="24"/>
          <w:highlight w:val="none"/>
          <w:u w:val="none"/>
        </w:rPr>
        <w:t>。</w:t>
      </w:r>
    </w:p>
    <w:p w14:paraId="53CD1E3D">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固定管理费</w:t>
      </w:r>
      <w:r>
        <w:rPr>
          <w:rFonts w:hint="eastAsia" w:ascii="仿宋_GB2312" w:hAnsi="宋体" w:cs="宋体"/>
          <w:bCs/>
          <w:color w:val="auto"/>
          <w:kern w:val="0"/>
          <w:szCs w:val="24"/>
          <w:highlight w:val="none"/>
          <w:u w:val="none"/>
        </w:rPr>
        <w:t>的计算方法如下：</w:t>
      </w:r>
    </w:p>
    <w:p w14:paraId="13006FFB">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H＝E×</w:t>
      </w:r>
      <w:r>
        <w:rPr>
          <w:rFonts w:hint="eastAsia" w:ascii="仿宋_GB2312" w:hAnsi="宋体" w:cs="宋体"/>
          <w:bCs/>
          <w:color w:val="auto"/>
          <w:kern w:val="0"/>
          <w:szCs w:val="24"/>
          <w:highlight w:val="none"/>
          <w:u w:val="none"/>
          <w:lang w:eastAsia="zh-CN"/>
        </w:rPr>
        <w:t>固定管理费</w:t>
      </w:r>
      <w:r>
        <w:rPr>
          <w:rFonts w:hint="eastAsia" w:ascii="仿宋_GB2312" w:hAnsi="宋体" w:cs="宋体"/>
          <w:bCs/>
          <w:color w:val="auto"/>
          <w:kern w:val="0"/>
          <w:szCs w:val="24"/>
          <w:highlight w:val="none"/>
          <w:u w:val="none"/>
        </w:rPr>
        <w:t>年费率÷365</w:t>
      </w:r>
    </w:p>
    <w:p w14:paraId="07B3463A">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u w:val="none"/>
          <w:lang w:eastAsia="zh-CN"/>
        </w:rPr>
      </w:pPr>
      <w:r>
        <w:rPr>
          <w:rFonts w:hint="eastAsia" w:ascii="仿宋_GB2312" w:hAnsi="宋体" w:cs="宋体"/>
          <w:bCs/>
          <w:color w:val="auto"/>
          <w:kern w:val="0"/>
          <w:szCs w:val="24"/>
          <w:highlight w:val="none"/>
          <w:u w:val="none"/>
        </w:rPr>
        <w:t>H为每日应计提的产品</w:t>
      </w:r>
      <w:r>
        <w:rPr>
          <w:rFonts w:hint="eastAsia" w:ascii="仿宋_GB2312" w:hAnsi="宋体" w:cs="宋体"/>
          <w:bCs/>
          <w:color w:val="auto"/>
          <w:kern w:val="0"/>
          <w:szCs w:val="24"/>
          <w:highlight w:val="none"/>
          <w:u w:val="none"/>
          <w:lang w:eastAsia="zh-CN"/>
        </w:rPr>
        <w:t>固定管理费</w:t>
      </w:r>
    </w:p>
    <w:p w14:paraId="32D45F98">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E为前一日的理财资产净值</w:t>
      </w:r>
    </w:p>
    <w:p w14:paraId="7314D70D">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固定管理费</w:t>
      </w:r>
      <w:r>
        <w:rPr>
          <w:rFonts w:hint="eastAsia" w:ascii="仿宋_GB2312" w:hAnsi="宋体" w:cs="宋体"/>
          <w:bCs/>
          <w:color w:val="auto"/>
          <w:kern w:val="0"/>
          <w:szCs w:val="24"/>
          <w:highlight w:val="none"/>
          <w:u w:val="none"/>
        </w:rPr>
        <w:t>依照上述约定，从理财财产中支付。费率具体数值以《产品说明书》“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”为准。</w:t>
      </w:r>
    </w:p>
    <w:p w14:paraId="64699F4D">
      <w:pPr>
        <w:pStyle w:val="23"/>
        <w:widowControl/>
        <w:numPr>
          <w:ilvl w:val="255"/>
          <w:numId w:val="0"/>
        </w:numPr>
        <w:snapToGrid w:val="0"/>
        <w:spacing w:line="360" w:lineRule="auto"/>
        <w:ind w:firstLine="480" w:firstLineChars="200"/>
        <w:rPr>
          <w:rFonts w:hint="eastAsia" w:eastAsia="仿宋_GB2312"/>
          <w:color w:val="auto"/>
          <w:highlight w:val="none"/>
          <w:u w:val="none"/>
          <w:lang w:eastAsia="zh-CN"/>
        </w:rPr>
      </w:pPr>
      <w:r>
        <w:rPr>
          <w:rFonts w:hint="eastAsia" w:ascii="仿宋_GB2312" w:hAnsi="宋体" w:cs="宋体"/>
          <w:bCs/>
          <w:color w:val="auto"/>
          <w:kern w:val="0"/>
          <w:szCs w:val="24"/>
          <w:highlight w:val="none"/>
          <w:u w:val="none"/>
        </w:rPr>
        <w:t>（4）</w:t>
      </w:r>
      <w:r>
        <w:rPr>
          <w:rFonts w:hint="eastAsia" w:ascii="仿宋_GB2312" w:hAnsi="宋体" w:cs="宋体"/>
          <w:bCs/>
          <w:color w:val="auto"/>
          <w:kern w:val="0"/>
          <w:szCs w:val="24"/>
          <w:highlight w:val="none"/>
          <w:u w:val="none"/>
          <w:lang w:eastAsia="zh-CN"/>
        </w:rPr>
        <w:t>浮动管理费</w:t>
      </w:r>
    </w:p>
    <w:p w14:paraId="54F0EC7E">
      <w:pPr>
        <w:pStyle w:val="23"/>
        <w:widowControl/>
        <w:snapToGrid w:val="0"/>
        <w:spacing w:line="360" w:lineRule="auto"/>
        <w:ind w:left="420" w:firstLine="0" w:firstLineChars="0"/>
        <w:rPr>
          <w:rFonts w:hint="eastAsia" w:ascii="仿宋_GB2312" w:hAnsi="宋体" w:eastAsia="仿宋_GB2312" w:cs="宋体"/>
          <w:bCs/>
          <w:color w:val="auto"/>
          <w:kern w:val="0"/>
          <w:szCs w:val="24"/>
          <w:highlight w:val="none"/>
          <w:u w:val="none"/>
          <w:lang w:eastAsia="zh-CN"/>
        </w:rPr>
      </w:pPr>
      <w:r>
        <w:rPr>
          <w:rFonts w:hint="eastAsia"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rPr>
        <w:t>本产品</w:t>
      </w:r>
      <w:r>
        <w:rPr>
          <w:rFonts w:ascii="仿宋_GB2312" w:hAnsi="宋体" w:cs="宋体"/>
          <w:bCs/>
          <w:color w:val="auto"/>
          <w:kern w:val="0"/>
          <w:szCs w:val="24"/>
          <w:highlight w:val="none"/>
          <w:u w:val="none"/>
        </w:rPr>
        <w:t>无</w:t>
      </w:r>
      <w:r>
        <w:rPr>
          <w:rFonts w:hint="eastAsia" w:ascii="仿宋_GB2312" w:hAnsi="宋体" w:cs="宋体"/>
          <w:bCs/>
          <w:color w:val="auto"/>
          <w:kern w:val="0"/>
          <w:szCs w:val="24"/>
          <w:highlight w:val="none"/>
          <w:u w:val="none"/>
          <w:lang w:eastAsia="zh-CN"/>
        </w:rPr>
        <w:t>浮动管理费</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lang w:eastAsia="zh-CN"/>
        </w:rPr>
        <w:t>】</w:t>
      </w:r>
    </w:p>
    <w:p w14:paraId="1FC31DA3">
      <w:pPr>
        <w:widowControl/>
        <w:tabs>
          <w:tab w:val="left" w:pos="709"/>
        </w:tabs>
        <w:snapToGrid w:val="0"/>
        <w:spacing w:line="360" w:lineRule="auto"/>
        <w:ind w:firstLine="480" w:firstLineChars="200"/>
        <w:rPr>
          <w:color w:val="auto"/>
          <w:highlight w:val="none"/>
          <w:u w:val="none"/>
        </w:rPr>
      </w:pPr>
      <w:r>
        <w:rPr>
          <w:rFonts w:hint="eastAsia" w:ascii="仿宋_GB2312" w:hAnsi="宋体" w:cs="宋体"/>
          <w:bCs/>
          <w:color w:val="auto"/>
          <w:kern w:val="0"/>
          <w:szCs w:val="24"/>
          <w:highlight w:val="none"/>
          <w:u w:val="none"/>
          <w:lang w:eastAsia="zh-CN"/>
        </w:rPr>
        <w:t>【</w:t>
      </w:r>
      <w:r>
        <w:rPr>
          <w:rFonts w:hint="eastAsia" w:ascii="仿宋_GB2312" w:hAnsi="宋体" w:cs="宋体"/>
          <w:bCs/>
          <w:color w:val="auto"/>
          <w:kern w:val="0"/>
          <w:szCs w:val="24"/>
          <w:highlight w:val="none"/>
          <w:u w:val="none"/>
        </w:rPr>
        <w:t>□理财产品管理人收取理财产品</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每日计提，在产品到期日收取（如有）。在理财产品到期日时</w:t>
      </w:r>
      <w:r>
        <w:rPr>
          <w:rFonts w:hint="eastAsia"/>
          <w:color w:val="auto"/>
          <w:highlight w:val="none"/>
          <w:u w:val="none"/>
        </w:rPr>
        <w:t>，若理财资产扣除销售服务费、</w:t>
      </w:r>
      <w:r>
        <w:rPr>
          <w:rFonts w:hint="eastAsia"/>
          <w:color w:val="auto"/>
          <w:highlight w:val="none"/>
          <w:u w:val="none"/>
          <w:lang w:eastAsia="zh-CN"/>
        </w:rPr>
        <w:t>托管费</w:t>
      </w:r>
      <w:r>
        <w:rPr>
          <w:rFonts w:hint="eastAsia"/>
          <w:color w:val="auto"/>
          <w:highlight w:val="none"/>
          <w:u w:val="none"/>
        </w:rPr>
        <w:t>和</w:t>
      </w:r>
      <w:r>
        <w:rPr>
          <w:rFonts w:hint="eastAsia"/>
          <w:color w:val="auto"/>
          <w:highlight w:val="none"/>
          <w:u w:val="none"/>
          <w:lang w:eastAsia="zh-CN"/>
        </w:rPr>
        <w:t>固定管理费</w:t>
      </w:r>
      <w:r>
        <w:rPr>
          <w:rFonts w:hint="eastAsia"/>
          <w:color w:val="auto"/>
          <w:highlight w:val="none"/>
          <w:u w:val="none"/>
        </w:rPr>
        <w:t>等相关费用和税收后，产品年化收益率超过</w:t>
      </w:r>
      <w:r>
        <w:rPr>
          <w:rFonts w:hint="eastAsia"/>
          <w:color w:val="auto"/>
          <w:highlight w:val="none"/>
          <w:u w:val="none"/>
          <w:lang w:eastAsia="zh-CN"/>
        </w:rPr>
        <w:t>浮动管理费</w:t>
      </w:r>
      <w:r>
        <w:rPr>
          <w:rFonts w:hint="eastAsia"/>
          <w:color w:val="auto"/>
          <w:highlight w:val="none"/>
          <w:u w:val="none"/>
        </w:rPr>
        <w:t>计提基准，则产品管理人收取超出部分的一定比例作为</w:t>
      </w:r>
      <w:r>
        <w:rPr>
          <w:rFonts w:hint="eastAsia"/>
          <w:color w:val="auto"/>
          <w:highlight w:val="none"/>
          <w:u w:val="none"/>
          <w:lang w:eastAsia="zh-CN"/>
        </w:rPr>
        <w:t>浮动管理费</w:t>
      </w:r>
      <w:r>
        <w:rPr>
          <w:rFonts w:hint="eastAsia"/>
          <w:color w:val="auto"/>
          <w:highlight w:val="none"/>
          <w:u w:val="none"/>
        </w:rPr>
        <w:t>。</w:t>
      </w:r>
    </w:p>
    <w:p w14:paraId="2557D6F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计提基准的设置、</w:t>
      </w:r>
      <w:r>
        <w:rPr>
          <w:rFonts w:hint="eastAsia"/>
          <w:color w:val="auto"/>
          <w:highlight w:val="none"/>
          <w:u w:val="none"/>
          <w:lang w:eastAsia="zh-CN"/>
        </w:rPr>
        <w:t>浮动管理费</w:t>
      </w:r>
      <w:r>
        <w:rPr>
          <w:rFonts w:hint="eastAsia" w:ascii="仿宋_GB2312" w:hAnsi="宋体" w:cs="宋体"/>
          <w:bCs/>
          <w:color w:val="auto"/>
          <w:kern w:val="0"/>
          <w:szCs w:val="24"/>
          <w:highlight w:val="none"/>
          <w:u w:val="none"/>
        </w:rPr>
        <w:t>的具体比例数值以《产品说明书》“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”为准。</w:t>
      </w:r>
    </w:p>
    <w:p w14:paraId="0EB71E86">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color w:val="auto"/>
          <w:highlight w:val="none"/>
          <w:u w:val="none"/>
          <w:lang w:eastAsia="zh-CN"/>
        </w:rPr>
        <w:t>浮动管理费</w:t>
      </w:r>
      <w:r>
        <w:rPr>
          <w:rFonts w:hint="eastAsia" w:ascii="仿宋_GB2312" w:hAnsi="宋体" w:cs="宋体"/>
          <w:bCs/>
          <w:color w:val="auto"/>
          <w:kern w:val="0"/>
          <w:szCs w:val="24"/>
          <w:highlight w:val="none"/>
          <w:u w:val="none"/>
        </w:rPr>
        <w:t xml:space="preserve">的计提/收取如下： </w:t>
      </w:r>
    </w:p>
    <w:p w14:paraId="29F11BC3">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产品年化收益率</w:t>
      </w:r>
      <w:r>
        <w:rPr>
          <w:rFonts w:ascii="仿宋_GB2312" w:hAnsi="宋体" w:cs="宋体"/>
          <w:bCs/>
          <w:color w:val="auto"/>
          <w:kern w:val="0"/>
          <w:szCs w:val="24"/>
          <w:highlight w:val="none"/>
          <w:u w:val="none"/>
        </w:rPr>
        <w:t>R</w:t>
      </w:r>
      <w:r>
        <w:rPr>
          <w:rFonts w:hint="eastAsia" w:ascii="仿宋_GB2312" w:hAnsi="宋体" w:cs="宋体"/>
          <w:bCs/>
          <w:color w:val="auto"/>
          <w:kern w:val="0"/>
          <w:szCs w:val="24"/>
          <w:highlight w:val="none"/>
          <w:u w:val="none"/>
        </w:rPr>
        <w:t>的计算公式，R=（</w:t>
      </w:r>
      <w:r>
        <w:rPr>
          <w:rFonts w:ascii="仿宋_GB2312" w:hAnsi="宋体" w:cs="宋体"/>
          <w:bCs/>
          <w:color w:val="auto"/>
          <w:kern w:val="0"/>
          <w:szCs w:val="24"/>
          <w:highlight w:val="none"/>
          <w:u w:val="none"/>
        </w:rPr>
        <w:t>V</w:t>
      </w:r>
      <w:r>
        <w:rPr>
          <w:rFonts w:hint="eastAsia" w:ascii="仿宋_GB2312" w:hAnsi="宋体" w:cs="宋体"/>
          <w:bCs/>
          <w:color w:val="auto"/>
          <w:kern w:val="0"/>
          <w:sz w:val="13"/>
          <w:szCs w:val="24"/>
          <w:highlight w:val="none"/>
          <w:u w:val="none"/>
        </w:rPr>
        <w:t>计提/到期日产品份额累计净值</w:t>
      </w:r>
      <w:r>
        <w:rPr>
          <w:rFonts w:hint="eastAsia" w:ascii="仿宋_GB2312" w:hAnsi="宋体" w:cs="宋体"/>
          <w:bCs/>
          <w:color w:val="auto"/>
          <w:kern w:val="0"/>
          <w:szCs w:val="24"/>
          <w:highlight w:val="none"/>
          <w:u w:val="none"/>
        </w:rPr>
        <w:t>-V</w:t>
      </w:r>
      <w:r>
        <w:rPr>
          <w:rFonts w:hint="eastAsia" w:ascii="仿宋_GB2312" w:hAnsi="宋体" w:cs="宋体"/>
          <w:bCs/>
          <w:color w:val="auto"/>
          <w:kern w:val="0"/>
          <w:sz w:val="13"/>
          <w:szCs w:val="24"/>
          <w:highlight w:val="none"/>
          <w:u w:val="none"/>
        </w:rPr>
        <w:t>期初份额净值</w:t>
      </w:r>
      <w:r>
        <w:rPr>
          <w:rFonts w:hint="eastAsia" w:ascii="仿宋_GB2312" w:hAnsi="宋体" w:cs="宋体"/>
          <w:bCs/>
          <w:color w:val="auto"/>
          <w:kern w:val="0"/>
          <w:szCs w:val="24"/>
          <w:highlight w:val="none"/>
          <w:u w:val="none"/>
        </w:rPr>
        <w:t>）/V</w:t>
      </w:r>
      <w:r>
        <w:rPr>
          <w:rFonts w:hint="eastAsia" w:ascii="仿宋_GB2312" w:hAnsi="宋体" w:cs="宋体"/>
          <w:bCs/>
          <w:color w:val="auto"/>
          <w:kern w:val="0"/>
          <w:sz w:val="13"/>
          <w:szCs w:val="24"/>
          <w:highlight w:val="none"/>
          <w:u w:val="none"/>
        </w:rPr>
        <w:t>期初份额净值</w:t>
      </w: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D+1</w:t>
      </w: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*365*100</w:t>
      </w:r>
      <w:r>
        <w:rPr>
          <w:rFonts w:hint="eastAsia" w:ascii="仿宋_GB2312" w:hAnsi="宋体" w:cs="宋体"/>
          <w:bCs/>
          <w:color w:val="auto"/>
          <w:kern w:val="0"/>
          <w:szCs w:val="24"/>
          <w:highlight w:val="none"/>
          <w:u w:val="none"/>
        </w:rPr>
        <w:t>%</w:t>
      </w:r>
    </w:p>
    <w:p w14:paraId="04EE86E4">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产品管理人对产品年化收益率</w:t>
      </w:r>
      <w:r>
        <w:rPr>
          <w:rFonts w:ascii="仿宋_GB2312" w:hAnsi="宋体" w:cs="宋体"/>
          <w:bCs/>
          <w:color w:val="auto"/>
          <w:kern w:val="0"/>
          <w:szCs w:val="24"/>
          <w:highlight w:val="none"/>
          <w:u w:val="none"/>
        </w:rPr>
        <w:t>超过</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计提基准的部分，按</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分成比例</w:t>
      </w:r>
      <w:r>
        <w:rPr>
          <w:rFonts w:ascii="仿宋_GB2312" w:hAnsi="宋体" w:cs="宋体"/>
          <w:bCs/>
          <w:color w:val="auto"/>
          <w:kern w:val="0"/>
          <w:szCs w:val="24"/>
          <w:highlight w:val="none"/>
          <w:u w:val="none"/>
        </w:rPr>
        <w:t>以及产品份额持有天数</w:t>
      </w:r>
      <w:r>
        <w:rPr>
          <w:rFonts w:hint="eastAsia" w:ascii="仿宋_GB2312" w:hAnsi="宋体" w:cs="宋体"/>
          <w:bCs/>
          <w:color w:val="auto"/>
          <w:kern w:val="0"/>
          <w:szCs w:val="24"/>
          <w:highlight w:val="none"/>
          <w:u w:val="none"/>
        </w:rPr>
        <w:t>计提/收取</w:t>
      </w:r>
      <w:r>
        <w:rPr>
          <w:rFonts w:hint="eastAsia"/>
          <w:color w:val="auto"/>
          <w:highlight w:val="none"/>
          <w:u w:val="none"/>
          <w:lang w:eastAsia="zh-CN"/>
        </w:rPr>
        <w:t>浮动管理费</w:t>
      </w:r>
      <w:r>
        <w:rPr>
          <w:rFonts w:hint="eastAsia" w:ascii="仿宋_GB2312" w:hAnsi="宋体" w:cs="宋体"/>
          <w:bCs/>
          <w:color w:val="auto"/>
          <w:kern w:val="0"/>
          <w:szCs w:val="24"/>
          <w:highlight w:val="none"/>
          <w:u w:val="none"/>
        </w:rPr>
        <w:t>，计算方法如下：</w:t>
      </w:r>
    </w:p>
    <w:p w14:paraId="5BFD2451">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当</w:t>
      </w:r>
      <w:r>
        <w:rPr>
          <w:rFonts w:ascii="仿宋_GB2312" w:hAnsi="宋体" w:cs="宋体"/>
          <w:bCs/>
          <w:color w:val="auto"/>
          <w:kern w:val="0"/>
          <w:szCs w:val="24"/>
          <w:highlight w:val="none"/>
          <w:u w:val="none"/>
        </w:rPr>
        <w:t>R≤</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计提基准，可计提/收取</w:t>
      </w:r>
      <w:r>
        <w:rPr>
          <w:rFonts w:hint="eastAsia"/>
          <w:color w:val="auto"/>
          <w:highlight w:val="none"/>
          <w:u w:val="none"/>
          <w:lang w:eastAsia="zh-CN"/>
        </w:rPr>
        <w:t>浮动管理费</w:t>
      </w:r>
      <w:r>
        <w:rPr>
          <w:rFonts w:ascii="仿宋_GB2312" w:hAnsi="宋体" w:cs="宋体"/>
          <w:bCs/>
          <w:color w:val="auto"/>
          <w:kern w:val="0"/>
          <w:szCs w:val="24"/>
          <w:highlight w:val="none"/>
          <w:u w:val="none"/>
        </w:rPr>
        <w:t>=0；</w:t>
      </w:r>
    </w:p>
    <w:p w14:paraId="609EA2B6">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当</w:t>
      </w:r>
      <w:r>
        <w:rPr>
          <w:rFonts w:ascii="仿宋_GB2312" w:hAnsi="宋体" w:cs="宋体"/>
          <w:bCs/>
          <w:color w:val="auto"/>
          <w:kern w:val="0"/>
          <w:szCs w:val="24"/>
          <w:highlight w:val="none"/>
          <w:u w:val="none"/>
        </w:rPr>
        <w:t>R＞</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计提基准，可计提/收取</w:t>
      </w:r>
      <w:r>
        <w:rPr>
          <w:rFonts w:hint="eastAsia"/>
          <w:color w:val="auto"/>
          <w:highlight w:val="none"/>
          <w:u w:val="none"/>
          <w:lang w:eastAsia="zh-CN"/>
        </w:rPr>
        <w:t>浮动管理费</w:t>
      </w:r>
      <w:r>
        <w:rPr>
          <w:rFonts w:ascii="仿宋_GB2312" w:hAnsi="宋体" w:cs="宋体"/>
          <w:bCs/>
          <w:color w:val="auto"/>
          <w:kern w:val="0"/>
          <w:szCs w:val="24"/>
          <w:highlight w:val="none"/>
          <w:u w:val="none"/>
        </w:rPr>
        <w:t>=</w:t>
      </w:r>
      <w:r>
        <w:rPr>
          <w:rFonts w:hint="eastAsia" w:ascii="仿宋_GB2312" w:hAnsi="宋体" w:cs="宋体"/>
          <w:bCs/>
          <w:color w:val="auto"/>
          <w:kern w:val="0"/>
          <w:szCs w:val="24"/>
          <w:highlight w:val="none"/>
          <w:u w:val="none"/>
        </w:rPr>
        <w:t>产品计提/到期日投资者持有的产品份额×V</w:t>
      </w:r>
      <w:r>
        <w:rPr>
          <w:rFonts w:hint="eastAsia" w:ascii="仿宋_GB2312" w:hAnsi="宋体" w:cs="宋体"/>
          <w:bCs/>
          <w:color w:val="auto"/>
          <w:kern w:val="0"/>
          <w:sz w:val="13"/>
          <w:szCs w:val="24"/>
          <w:highlight w:val="none"/>
          <w:u w:val="none"/>
        </w:rPr>
        <w:t>期初份额净值</w:t>
      </w: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R-</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计提基准）×</w:t>
      </w:r>
      <w:r>
        <w:rPr>
          <w:rFonts w:ascii="仿宋_GB2312" w:hAnsi="宋体" w:cs="宋体"/>
          <w:bCs/>
          <w:color w:val="auto"/>
          <w:kern w:val="0"/>
          <w:szCs w:val="24"/>
          <w:highlight w:val="none"/>
          <w:u w:val="none"/>
        </w:rPr>
        <w:t>N×</w:t>
      </w:r>
      <w:r>
        <w:rPr>
          <w:rFonts w:hint="eastAsia" w:ascii="仿宋_GB2312" w:hAnsi="宋体" w:cs="宋体"/>
          <w:bCs/>
          <w:color w:val="auto"/>
          <w:kern w:val="0"/>
          <w:szCs w:val="24"/>
          <w:highlight w:val="none"/>
          <w:u w:val="none"/>
        </w:rPr>
        <w:t>（D</w:t>
      </w:r>
      <w:r>
        <w:rPr>
          <w:rFonts w:ascii="仿宋_GB2312" w:hAnsi="宋体" w:cs="宋体"/>
          <w:bCs/>
          <w:color w:val="auto"/>
          <w:kern w:val="0"/>
          <w:szCs w:val="24"/>
          <w:highlight w:val="none"/>
          <w:u w:val="none"/>
        </w:rPr>
        <w:t>+1</w:t>
      </w:r>
      <w:r>
        <w:rPr>
          <w:rFonts w:hint="eastAsia" w:ascii="仿宋_GB2312" w:hAnsi="宋体" w:cs="宋体"/>
          <w:bCs/>
          <w:color w:val="auto"/>
          <w:kern w:val="0"/>
          <w:szCs w:val="24"/>
          <w:highlight w:val="none"/>
          <w:u w:val="none"/>
        </w:rPr>
        <w:t>）</w:t>
      </w:r>
      <w:r>
        <w:rPr>
          <w:rFonts w:ascii="仿宋_GB2312" w:hAnsi="宋体" w:cs="宋体"/>
          <w:bCs/>
          <w:color w:val="auto"/>
          <w:kern w:val="0"/>
          <w:szCs w:val="24"/>
          <w:highlight w:val="none"/>
          <w:u w:val="none"/>
        </w:rPr>
        <w:t>/365。</w:t>
      </w:r>
    </w:p>
    <w:p w14:paraId="2B3FF627">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u w:val="none"/>
          <w:lang w:eastAsia="zh-CN"/>
        </w:rPr>
      </w:pPr>
      <w:r>
        <w:rPr>
          <w:rFonts w:hint="eastAsia" w:ascii="仿宋_GB2312" w:hAnsi="宋体" w:cs="宋体"/>
          <w:bCs/>
          <w:color w:val="auto"/>
          <w:kern w:val="0"/>
          <w:szCs w:val="24"/>
          <w:highlight w:val="none"/>
          <w:u w:val="none"/>
        </w:rPr>
        <w:t>其中，</w:t>
      </w:r>
      <w:r>
        <w:rPr>
          <w:rFonts w:ascii="仿宋_GB2312" w:hAnsi="宋体" w:cs="宋体"/>
          <w:bCs/>
          <w:color w:val="auto"/>
          <w:kern w:val="0"/>
          <w:szCs w:val="24"/>
          <w:highlight w:val="none"/>
          <w:u w:val="none"/>
        </w:rPr>
        <w:t>V</w:t>
      </w:r>
      <w:r>
        <w:rPr>
          <w:rFonts w:hint="eastAsia" w:ascii="仿宋_GB2312" w:hAnsi="宋体" w:cs="宋体"/>
          <w:bCs/>
          <w:color w:val="auto"/>
          <w:kern w:val="0"/>
          <w:sz w:val="13"/>
          <w:szCs w:val="24"/>
          <w:highlight w:val="none"/>
          <w:u w:val="none"/>
        </w:rPr>
        <w:t>计提/到期日产品份额累计净值</w:t>
      </w:r>
      <w:r>
        <w:rPr>
          <w:rFonts w:hint="eastAsia" w:ascii="仿宋_GB2312" w:hAnsi="宋体" w:cs="宋体"/>
          <w:bCs/>
          <w:color w:val="auto"/>
          <w:kern w:val="0"/>
          <w:szCs w:val="24"/>
          <w:highlight w:val="none"/>
          <w:u w:val="none"/>
        </w:rPr>
        <w:t>表示产品计提/到期日的产品份额累计净值（未扣除</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），V</w:t>
      </w:r>
      <w:r>
        <w:rPr>
          <w:rFonts w:hint="eastAsia" w:ascii="仿宋_GB2312" w:hAnsi="宋体" w:cs="宋体"/>
          <w:bCs/>
          <w:color w:val="auto"/>
          <w:kern w:val="0"/>
          <w:sz w:val="13"/>
          <w:szCs w:val="24"/>
          <w:highlight w:val="none"/>
          <w:u w:val="none"/>
        </w:rPr>
        <w:t>期初份额净值</w:t>
      </w:r>
      <w:r>
        <w:rPr>
          <w:rFonts w:hint="eastAsia" w:ascii="仿宋_GB2312" w:hAnsi="宋体" w:cs="宋体"/>
          <w:bCs/>
          <w:color w:val="auto"/>
          <w:kern w:val="0"/>
          <w:szCs w:val="24"/>
          <w:highlight w:val="none"/>
          <w:u w:val="none"/>
        </w:rPr>
        <w:t>表示产品成立日的产品份额净值，D表示产品到期日-产品成立日，N表示</w:t>
      </w:r>
      <w:r>
        <w:rPr>
          <w:rFonts w:hint="eastAsia" w:ascii="仿宋_GB2312" w:hAnsi="宋体" w:cs="宋体"/>
          <w:bCs/>
          <w:color w:val="auto"/>
          <w:kern w:val="0"/>
          <w:szCs w:val="24"/>
          <w:highlight w:val="none"/>
          <w:u w:val="none"/>
          <w:lang w:eastAsia="zh-CN"/>
        </w:rPr>
        <w:t>浮动管理费</w:t>
      </w:r>
      <w:r>
        <w:rPr>
          <w:rFonts w:hint="eastAsia" w:ascii="仿宋_GB2312" w:hAnsi="宋体" w:cs="宋体"/>
          <w:bCs/>
          <w:color w:val="auto"/>
          <w:kern w:val="0"/>
          <w:szCs w:val="24"/>
          <w:highlight w:val="none"/>
          <w:u w:val="none"/>
        </w:rPr>
        <w:t>分成比例。</w:t>
      </w:r>
      <w:r>
        <w:rPr>
          <w:rFonts w:hint="eastAsia" w:ascii="仿宋_GB2312" w:hAnsi="宋体" w:cs="宋体"/>
          <w:bCs/>
          <w:color w:val="auto"/>
          <w:kern w:val="0"/>
          <w:szCs w:val="24"/>
          <w:highlight w:val="none"/>
          <w:u w:val="none"/>
          <w:lang w:eastAsia="zh-CN"/>
        </w:rPr>
        <w:t>】</w:t>
      </w:r>
    </w:p>
    <w:p w14:paraId="248D6AC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（5）理财产品的托管费</w:t>
      </w:r>
    </w:p>
    <w:p w14:paraId="625C6782">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本产品的托管费按前一日理财资产净值与</w:t>
      </w:r>
      <w:r>
        <w:rPr>
          <w:rFonts w:hint="eastAsia" w:ascii="仿宋_GB2312" w:hAnsi="宋体" w:cs="宋体"/>
          <w:bCs/>
          <w:color w:val="auto"/>
          <w:kern w:val="0"/>
          <w:szCs w:val="24"/>
          <w:highlight w:val="none"/>
          <w:u w:val="none"/>
          <w:lang w:eastAsia="zh-CN"/>
        </w:rPr>
        <w:t>托管费</w:t>
      </w:r>
      <w:r>
        <w:rPr>
          <w:rFonts w:hint="eastAsia" w:ascii="仿宋_GB2312" w:hAnsi="宋体" w:cs="宋体"/>
          <w:bCs/>
          <w:color w:val="auto"/>
          <w:kern w:val="0"/>
          <w:szCs w:val="24"/>
          <w:highlight w:val="none"/>
          <w:u w:val="none"/>
        </w:rPr>
        <w:t>费率每日计提，</w:t>
      </w:r>
      <w:r>
        <w:rPr>
          <w:rFonts w:hint="eastAsia" w:ascii="仿宋_GB2312" w:hAnsi="宋体" w:cs="宋体"/>
          <w:bCs/>
          <w:color w:val="auto"/>
          <w:spacing w:val="-4"/>
          <w:kern w:val="0"/>
          <w:szCs w:val="24"/>
          <w:highlight w:val="none"/>
          <w:u w:val="none"/>
        </w:rPr>
        <w:t>管理人可按季或产品开放周期（如有）收取，或与后续季度、开放周期（如有）合并收取。</w:t>
      </w:r>
      <w:r>
        <w:rPr>
          <w:rFonts w:hint="eastAsia" w:ascii="仿宋_GB2312" w:hAnsi="宋体" w:cs="宋体"/>
          <w:bCs/>
          <w:color w:val="auto"/>
          <w:kern w:val="0"/>
          <w:szCs w:val="24"/>
          <w:highlight w:val="none"/>
          <w:u w:val="none"/>
          <w:lang w:eastAsia="zh-CN"/>
        </w:rPr>
        <w:t>托管费</w:t>
      </w:r>
      <w:r>
        <w:rPr>
          <w:rFonts w:hint="eastAsia" w:ascii="仿宋_GB2312" w:hAnsi="宋体" w:cs="宋体"/>
          <w:bCs/>
          <w:color w:val="auto"/>
          <w:spacing w:val="-4"/>
          <w:kern w:val="0"/>
          <w:szCs w:val="24"/>
          <w:highlight w:val="none"/>
          <w:u w:val="none"/>
        </w:rPr>
        <w:t>精确到小数点后2位，小数点2位以后四舍五入</w:t>
      </w:r>
      <w:r>
        <w:rPr>
          <w:rFonts w:hint="eastAsia" w:ascii="仿宋_GB2312" w:hAnsi="宋体" w:cs="宋体"/>
          <w:bCs/>
          <w:color w:val="auto"/>
          <w:kern w:val="0"/>
          <w:szCs w:val="24"/>
          <w:highlight w:val="none"/>
          <w:u w:val="none"/>
        </w:rPr>
        <w:t>。</w:t>
      </w:r>
    </w:p>
    <w:p w14:paraId="14619FDA">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托管费</w:t>
      </w:r>
      <w:r>
        <w:rPr>
          <w:rFonts w:hint="eastAsia" w:ascii="仿宋_GB2312" w:hAnsi="宋体" w:cs="宋体"/>
          <w:bCs/>
          <w:color w:val="auto"/>
          <w:kern w:val="0"/>
          <w:szCs w:val="24"/>
          <w:highlight w:val="none"/>
          <w:u w:val="none"/>
        </w:rPr>
        <w:t>的计算方法如下：</w:t>
      </w:r>
    </w:p>
    <w:p w14:paraId="78AB1F31">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H＝E×</w:t>
      </w:r>
      <w:r>
        <w:rPr>
          <w:rFonts w:hint="eastAsia" w:ascii="仿宋_GB2312" w:hAnsi="宋体" w:cs="宋体"/>
          <w:bCs/>
          <w:color w:val="auto"/>
          <w:kern w:val="0"/>
          <w:szCs w:val="24"/>
          <w:highlight w:val="none"/>
          <w:u w:val="none"/>
          <w:lang w:eastAsia="zh-CN"/>
        </w:rPr>
        <w:t>托管费</w:t>
      </w:r>
      <w:r>
        <w:rPr>
          <w:rFonts w:hint="eastAsia" w:ascii="仿宋_GB2312" w:hAnsi="宋体" w:cs="宋体"/>
          <w:bCs/>
          <w:color w:val="auto"/>
          <w:kern w:val="0"/>
          <w:szCs w:val="24"/>
          <w:highlight w:val="none"/>
          <w:u w:val="none"/>
        </w:rPr>
        <w:t>年费率÷365</w:t>
      </w:r>
    </w:p>
    <w:p w14:paraId="7FE3B4FD">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u w:val="none"/>
          <w:lang w:eastAsia="zh-CN"/>
        </w:rPr>
      </w:pPr>
      <w:r>
        <w:rPr>
          <w:rFonts w:hint="eastAsia" w:ascii="仿宋_GB2312" w:hAnsi="宋体" w:cs="宋体"/>
          <w:bCs/>
          <w:color w:val="auto"/>
          <w:kern w:val="0"/>
          <w:szCs w:val="24"/>
          <w:highlight w:val="none"/>
          <w:u w:val="none"/>
        </w:rPr>
        <w:t>H为每日应计提的</w:t>
      </w:r>
      <w:r>
        <w:rPr>
          <w:rFonts w:hint="eastAsia" w:ascii="仿宋_GB2312" w:hAnsi="宋体" w:cs="宋体"/>
          <w:bCs/>
          <w:color w:val="auto"/>
          <w:kern w:val="0"/>
          <w:szCs w:val="24"/>
          <w:highlight w:val="none"/>
          <w:u w:val="none"/>
          <w:lang w:eastAsia="zh-CN"/>
        </w:rPr>
        <w:t>托管费</w:t>
      </w:r>
    </w:p>
    <w:p w14:paraId="3BD90CA3">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E为前一日的理财资产净值</w:t>
      </w:r>
    </w:p>
    <w:p w14:paraId="58C926F3">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lang w:eastAsia="zh-CN"/>
        </w:rPr>
        <w:t>托管费</w:t>
      </w:r>
      <w:r>
        <w:rPr>
          <w:rFonts w:hint="eastAsia" w:ascii="仿宋_GB2312" w:hAnsi="宋体" w:cs="宋体"/>
          <w:bCs/>
          <w:color w:val="auto"/>
          <w:kern w:val="0"/>
          <w:szCs w:val="24"/>
          <w:highlight w:val="none"/>
          <w:u w:val="none"/>
        </w:rPr>
        <w:t>依照上述约定，从理财财产中支付。费率具体数值以《产品说明书》“</w:t>
      </w:r>
      <w:r>
        <w:rPr>
          <w:rFonts w:hint="eastAsia" w:ascii="仿宋_GB2312" w:hAnsi="宋体" w:cs="宋体"/>
          <w:bCs/>
          <w:color w:val="auto"/>
          <w:kern w:val="0"/>
          <w:szCs w:val="24"/>
          <w:highlight w:val="none"/>
          <w:u w:val="none"/>
          <w:lang w:eastAsia="zh-CN"/>
        </w:rPr>
        <w:t>第一节 理财产品说明书关键要素</w:t>
      </w:r>
      <w:r>
        <w:rPr>
          <w:rFonts w:hint="eastAsia" w:ascii="仿宋_GB2312" w:hAnsi="宋体" w:cs="宋体"/>
          <w:bCs/>
          <w:color w:val="auto"/>
          <w:kern w:val="0"/>
          <w:szCs w:val="24"/>
          <w:highlight w:val="none"/>
          <w:u w:val="none"/>
        </w:rPr>
        <w:t>”为准。</w:t>
      </w:r>
    </w:p>
    <w:p w14:paraId="4FBF58E7">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（6）其他费用</w:t>
      </w:r>
    </w:p>
    <w:p w14:paraId="3D8A0D94">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与理财产品相关的其他费用，按照实际发生金额从产品资产中列支。若产品管理人先行垫付其他费用的，管理人有权从理财产品资产中优先受偿。</w:t>
      </w:r>
    </w:p>
    <w:p w14:paraId="547DE8CF">
      <w:pPr>
        <w:widowControl/>
        <w:tabs>
          <w:tab w:val="left" w:pos="709"/>
        </w:tabs>
        <w:snapToGrid w:val="0"/>
        <w:spacing w:line="360" w:lineRule="auto"/>
        <w:ind w:firstLine="482" w:firstLineChars="200"/>
        <w:rPr>
          <w:rFonts w:ascii="仿宋_GB2312" w:hAnsi="宋体" w:cs="宋体"/>
          <w:b/>
          <w:bCs/>
          <w:color w:val="auto"/>
          <w:kern w:val="0"/>
          <w:szCs w:val="24"/>
          <w:highlight w:val="none"/>
          <w:u w:val="none"/>
        </w:rPr>
      </w:pPr>
      <w:r>
        <w:rPr>
          <w:rFonts w:ascii="仿宋_GB2312" w:hAnsi="宋体" w:cs="宋体"/>
          <w:b/>
          <w:bCs/>
          <w:color w:val="auto"/>
          <w:kern w:val="0"/>
          <w:szCs w:val="24"/>
          <w:highlight w:val="none"/>
          <w:u w:val="none"/>
        </w:rPr>
        <w:t>3</w:t>
      </w:r>
      <w:r>
        <w:rPr>
          <w:rFonts w:hint="eastAsia" w:ascii="仿宋_GB2312" w:hAnsi="宋体" w:cs="宋体"/>
          <w:b/>
          <w:bCs/>
          <w:color w:val="auto"/>
          <w:kern w:val="0"/>
          <w:szCs w:val="24"/>
          <w:highlight w:val="none"/>
          <w:u w:val="none"/>
        </w:rPr>
        <w:t>.费用调整</w:t>
      </w:r>
    </w:p>
    <w:p w14:paraId="032ADC48">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14:paraId="37735013">
      <w:pPr>
        <w:pStyle w:val="3"/>
        <w:ind w:firstLine="482"/>
        <w:rPr>
          <w:color w:val="auto"/>
          <w:highlight w:val="none"/>
          <w:u w:val="none"/>
        </w:rPr>
      </w:pPr>
      <w:r>
        <w:rPr>
          <w:rFonts w:hint="eastAsia"/>
          <w:color w:val="auto"/>
          <w:highlight w:val="none"/>
          <w:u w:val="none"/>
        </w:rPr>
        <w:t>税收说明</w:t>
      </w:r>
    </w:p>
    <w:p w14:paraId="6AC7FBBA">
      <w:pPr>
        <w:tabs>
          <w:tab w:val="left" w:pos="709"/>
        </w:tabs>
        <w:snapToGrid w:val="0"/>
        <w:spacing w:line="360" w:lineRule="auto"/>
        <w:ind w:firstLine="480" w:firstLineChars="200"/>
        <w:rPr>
          <w:color w:val="auto"/>
          <w:highlight w:val="none"/>
          <w:u w:val="none"/>
        </w:rPr>
      </w:pPr>
      <w:r>
        <w:rPr>
          <w:rFonts w:hint="eastAsia" w:ascii="仿宋_GB2312" w:hAnsi="宋体" w:cs="宋体"/>
          <w:bCs/>
          <w:color w:val="auto"/>
          <w:kern w:val="0"/>
          <w:szCs w:val="24"/>
          <w:highlight w:val="none"/>
          <w:u w:val="none"/>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14:paraId="14C0D5FE">
      <w:pPr>
        <w:jc w:val="left"/>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br w:type="page"/>
      </w:r>
    </w:p>
    <w:p w14:paraId="141ED708">
      <w:pPr>
        <w:pStyle w:val="2"/>
        <w:rPr>
          <w:color w:val="auto"/>
          <w:highlight w:val="none"/>
          <w:u w:val="none"/>
        </w:rPr>
      </w:pPr>
      <w:r>
        <w:rPr>
          <w:rFonts w:hint="eastAsia"/>
          <w:color w:val="auto"/>
          <w:highlight w:val="none"/>
          <w:u w:val="none"/>
        </w:rPr>
        <w:t>理财产品的终止与清算</w:t>
      </w:r>
    </w:p>
    <w:p w14:paraId="0EFAA4F5">
      <w:pPr>
        <w:pStyle w:val="3"/>
        <w:ind w:firstLine="482"/>
        <w:rPr>
          <w:color w:val="auto"/>
          <w:highlight w:val="none"/>
          <w:u w:val="none"/>
        </w:rPr>
      </w:pPr>
      <w:r>
        <w:rPr>
          <w:rFonts w:hint="eastAsia"/>
          <w:color w:val="auto"/>
          <w:highlight w:val="none"/>
          <w:u w:val="none"/>
        </w:rPr>
        <w:t>理财产品到期</w:t>
      </w:r>
    </w:p>
    <w:p w14:paraId="3D6BA70E">
      <w:pPr>
        <w:widowControl/>
        <w:tabs>
          <w:tab w:val="left" w:pos="709"/>
        </w:tabs>
        <w:adjustRightInd w:val="0"/>
        <w:snapToGrid w:val="0"/>
        <w:spacing w:line="360" w:lineRule="auto"/>
        <w:ind w:firstLine="482" w:firstLineChars="200"/>
        <w:rPr>
          <w:rFonts w:ascii="仿宋_GB2312" w:hAnsi="宋体" w:cs="宋体"/>
          <w:bCs/>
          <w:color w:val="auto"/>
          <w:kern w:val="0"/>
          <w:szCs w:val="24"/>
          <w:highlight w:val="none"/>
          <w:u w:val="none"/>
        </w:rPr>
      </w:pPr>
      <w:r>
        <w:rPr>
          <w:rFonts w:hint="eastAsia" w:ascii="仿宋_GB2312" w:hAnsi="宋体" w:cs="宋体"/>
          <w:b/>
          <w:bCs/>
          <w:color w:val="auto"/>
          <w:kern w:val="0"/>
          <w:szCs w:val="24"/>
          <w:highlight w:val="none"/>
          <w:u w:val="none"/>
        </w:rPr>
        <w:t>本理财产品无固定到期日</w:t>
      </w:r>
      <w:r>
        <w:rPr>
          <w:rFonts w:hint="eastAsia" w:ascii="仿宋_GB2312" w:hAnsi="宋体" w:cs="宋体"/>
          <w:bCs/>
          <w:color w:val="auto"/>
          <w:kern w:val="0"/>
          <w:szCs w:val="24"/>
          <w:highlight w:val="none"/>
          <w:u w:val="none"/>
        </w:rPr>
        <w:t>，</w:t>
      </w:r>
      <w:r>
        <w:rPr>
          <w:rFonts w:hint="eastAsia" w:ascii="宋体" w:hAnsi="宋体"/>
          <w:color w:val="auto"/>
          <w:szCs w:val="24"/>
          <w:highlight w:val="none"/>
          <w:u w:val="none"/>
        </w:rPr>
        <w:t>如产品提前终止</w:t>
      </w:r>
      <w:r>
        <w:rPr>
          <w:rFonts w:hint="eastAsia" w:ascii="宋体" w:hAnsi="宋体"/>
          <w:color w:val="auto"/>
          <w:szCs w:val="24"/>
          <w:highlight w:val="none"/>
          <w:u w:val="none"/>
          <w:lang w:eastAsia="zh-CN"/>
        </w:rPr>
        <w:t>或延期终止</w:t>
      </w:r>
      <w:r>
        <w:rPr>
          <w:rFonts w:hint="eastAsia" w:ascii="宋体" w:hAnsi="宋体"/>
          <w:color w:val="auto"/>
          <w:szCs w:val="24"/>
          <w:highlight w:val="none"/>
          <w:u w:val="none"/>
        </w:rPr>
        <w:t>，除有特别约定外，实际终止日为到期日。</w:t>
      </w:r>
    </w:p>
    <w:p w14:paraId="3F3202A0">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14:paraId="7A986732">
      <w:pPr>
        <w:pStyle w:val="3"/>
        <w:ind w:firstLine="482"/>
        <w:rPr>
          <w:color w:val="auto"/>
          <w:highlight w:val="none"/>
          <w:u w:val="none"/>
        </w:rPr>
      </w:pPr>
      <w:r>
        <w:rPr>
          <w:rFonts w:hint="eastAsia"/>
          <w:color w:val="auto"/>
          <w:highlight w:val="none"/>
          <w:u w:val="none"/>
        </w:rPr>
        <w:t>理财产品提前终止</w:t>
      </w:r>
    </w:p>
    <w:p w14:paraId="73CEC8EF">
      <w:pPr>
        <w:widowControl/>
        <w:tabs>
          <w:tab w:val="left" w:pos="709"/>
        </w:tabs>
        <w:snapToGrid w:val="0"/>
        <w:spacing w:line="360" w:lineRule="auto"/>
        <w:ind w:firstLine="482" w:firstLineChars="200"/>
        <w:rPr>
          <w:rFonts w:ascii="仿宋_GB2312" w:hAnsi="宋体" w:cs="宋体"/>
          <w:b/>
          <w:bCs/>
          <w:color w:val="auto"/>
          <w:kern w:val="0"/>
          <w:szCs w:val="24"/>
          <w:highlight w:val="none"/>
          <w:u w:val="none"/>
        </w:rPr>
      </w:pPr>
      <w:r>
        <w:rPr>
          <w:rFonts w:hint="eastAsia" w:ascii="仿宋_GB2312" w:hAnsi="宋体" w:cs="宋体"/>
          <w:b/>
          <w:bCs/>
          <w:color w:val="auto"/>
          <w:kern w:val="0"/>
          <w:szCs w:val="24"/>
          <w:highlight w:val="none"/>
          <w:u w:val="none"/>
        </w:rPr>
        <w:t>本理财产品存续期间，投资者无提前终止权。如出现以下情形，管理人有权但无义务提前终止本产品：</w:t>
      </w:r>
      <w:r>
        <w:rPr>
          <w:rFonts w:ascii="仿宋_GB2312" w:hAnsi="宋体" w:cs="宋体"/>
          <w:b/>
          <w:bCs/>
          <w:color w:val="auto"/>
          <w:kern w:val="0"/>
          <w:szCs w:val="24"/>
          <w:highlight w:val="none"/>
          <w:u w:val="none"/>
        </w:rPr>
        <w:t xml:space="preserve"> </w:t>
      </w:r>
    </w:p>
    <w:p w14:paraId="29307F69">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1.自然灾害、疫情、金融市场危机、战争等不可抗力因素及/或意外事件导致理财产品无法继续运作。</w:t>
      </w:r>
    </w:p>
    <w:p w14:paraId="0013A637">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2.遇有市场出现剧烈波动、异常风险事件等情形导致理财产品收益出现大幅波动或严重影响理财产品的资产安全。</w:t>
      </w:r>
    </w:p>
    <w:p w14:paraId="2A772B30">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3.因投资者理财资金被有权机关扣划等原因导致理财产品剩余资产无法满足相关法律法规规定、所投资市场要求或协议等相关法律文件约定，或者继续存续无法实现投资目标。</w:t>
      </w:r>
    </w:p>
    <w:p w14:paraId="19A3263B">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4.因相关投资管理机构解散、破产、撤销、被取消业务资格等原因无法继续履行相应职责导致产品无法继续运作。</w:t>
      </w:r>
    </w:p>
    <w:p w14:paraId="47FE1CF7">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5.相关投资管理机构或运用理财资金的第三方主体实施符合法律法规规定或协议等相关文件约定的行为导致理财产品被动提前终止。</w:t>
      </w:r>
    </w:p>
    <w:p w14:paraId="61ADF8D0">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6.因法律法规变化或国家金融政策调整、紧急措施出台影响产品继续正常运作。</w:t>
      </w:r>
    </w:p>
    <w:p w14:paraId="63A84CD9">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7.提前终止产品比维持产品运作更有利于保护产品持有人的权益。</w:t>
      </w:r>
    </w:p>
    <w:p w14:paraId="3D0886CD">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8</w:t>
      </w:r>
      <w:r>
        <w:rPr>
          <w:rFonts w:hint="eastAsia" w:ascii="仿宋_GB2312" w:hAnsi="宋体" w:cs="宋体"/>
          <w:bCs/>
          <w:color w:val="auto"/>
          <w:kern w:val="0"/>
          <w:szCs w:val="24"/>
          <w:highlight w:val="none"/>
          <w:u w:val="none"/>
        </w:rPr>
        <w:t>.遇国家政策出现重大调整并影响到本产品的正常运行。</w:t>
      </w:r>
    </w:p>
    <w:p w14:paraId="33DBC964">
      <w:pPr>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9</w:t>
      </w:r>
      <w:r>
        <w:rPr>
          <w:rFonts w:hint="eastAsia" w:ascii="仿宋_GB2312" w:hAnsi="宋体" w:cs="宋体"/>
          <w:bCs/>
          <w:color w:val="auto"/>
          <w:kern w:val="0"/>
          <w:szCs w:val="24"/>
          <w:highlight w:val="none"/>
          <w:u w:val="none"/>
        </w:rPr>
        <w:t>.因本产品投资的资产部分或全部提前终止或发生其他影响本产品正常投资运作的重大事件。</w:t>
      </w:r>
    </w:p>
    <w:p w14:paraId="47FEA3A0">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10</w:t>
      </w:r>
      <w:r>
        <w:rPr>
          <w:rFonts w:hint="eastAsia" w:ascii="仿宋_GB2312" w:hAnsi="宋体" w:cs="宋体"/>
          <w:bCs/>
          <w:color w:val="auto"/>
          <w:kern w:val="0"/>
          <w:szCs w:val="24"/>
          <w:highlight w:val="none"/>
          <w:u w:val="none"/>
        </w:rPr>
        <w:t>.本产品存续期内，所投资资产种类已全部调整为现金资产且无其他投资安排。</w:t>
      </w:r>
    </w:p>
    <w:p w14:paraId="27346F2A">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11</w:t>
      </w:r>
      <w:r>
        <w:rPr>
          <w:rFonts w:hint="eastAsia" w:ascii="仿宋_GB2312" w:hAnsi="宋体" w:cs="宋体"/>
          <w:bCs/>
          <w:color w:val="auto"/>
          <w:kern w:val="0"/>
          <w:szCs w:val="24"/>
          <w:highlight w:val="none"/>
          <w:u w:val="none"/>
        </w:rPr>
        <w:t>.管理人认为有必要提前终止本产品的其他情形。</w:t>
      </w:r>
    </w:p>
    <w:p w14:paraId="3605DBF6">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管理人将至少于提前终止日前</w:t>
      </w:r>
      <w:r>
        <w:rPr>
          <w:rFonts w:hint="eastAsia" w:ascii="仿宋_GB2312" w:hAnsi="宋体" w:cs="宋体"/>
          <w:bCs/>
          <w:color w:val="auto"/>
          <w:kern w:val="0"/>
          <w:szCs w:val="24"/>
          <w:highlight w:val="none"/>
          <w:u w:val="none"/>
          <w:lang w:val="en-US" w:eastAsia="zh-CN"/>
        </w:rPr>
        <w:t>1</w:t>
      </w:r>
      <w:r>
        <w:rPr>
          <w:rFonts w:hint="eastAsia" w:ascii="仿宋_GB2312" w:hAnsi="宋体" w:cs="宋体"/>
          <w:bCs/>
          <w:color w:val="auto"/>
          <w:kern w:val="0"/>
          <w:szCs w:val="24"/>
          <w:highlight w:val="none"/>
          <w:u w:val="none"/>
        </w:rPr>
        <w:t>个工作日通过本产品说明书约定</w:t>
      </w:r>
      <w:r>
        <w:rPr>
          <w:rFonts w:ascii="仿宋_GB2312" w:hAnsi="宋体" w:cs="宋体"/>
          <w:bCs/>
          <w:color w:val="auto"/>
          <w:kern w:val="0"/>
          <w:szCs w:val="24"/>
          <w:highlight w:val="none"/>
          <w:u w:val="none"/>
        </w:rPr>
        <w:t>方式</w:t>
      </w:r>
      <w:r>
        <w:rPr>
          <w:rFonts w:hint="eastAsia" w:ascii="仿宋_GB2312" w:hAnsi="宋体" w:cs="宋体"/>
          <w:bCs/>
          <w:color w:val="auto"/>
          <w:kern w:val="0"/>
          <w:szCs w:val="24"/>
          <w:highlight w:val="none"/>
          <w:u w:val="none"/>
        </w:rPr>
        <w:t>发布本产品提前终止公告，并于提前终止日后5个</w:t>
      </w:r>
      <w:r>
        <w:rPr>
          <w:rFonts w:hint="eastAsia" w:ascii="仿宋_GB2312" w:hAnsi="宋体" w:cs="宋体"/>
          <w:bCs/>
          <w:color w:val="auto"/>
          <w:kern w:val="0"/>
          <w:szCs w:val="24"/>
          <w:highlight w:val="none"/>
          <w:u w:val="none"/>
          <w:lang w:eastAsia="zh-CN"/>
        </w:rPr>
        <w:t>工作日</w:t>
      </w:r>
      <w:r>
        <w:rPr>
          <w:rFonts w:hint="eastAsia" w:ascii="仿宋_GB2312" w:hAnsi="宋体" w:cs="宋体"/>
          <w:bCs/>
          <w:color w:val="auto"/>
          <w:kern w:val="0"/>
          <w:szCs w:val="24"/>
          <w:highlight w:val="none"/>
          <w:u w:val="none"/>
        </w:rPr>
        <w:t>内通过销售机构将兑付理财资金划至投资者指定账户。</w:t>
      </w:r>
    </w:p>
    <w:p w14:paraId="691AEAA3">
      <w:pPr>
        <w:pStyle w:val="3"/>
        <w:ind w:firstLine="482"/>
        <w:rPr>
          <w:color w:val="auto"/>
          <w:highlight w:val="none"/>
          <w:u w:val="none"/>
        </w:rPr>
      </w:pPr>
      <w:r>
        <w:rPr>
          <w:rFonts w:hint="eastAsia" w:ascii="楷体_GB2312" w:hAnsi="宋体" w:eastAsia="楷体_GB2312" w:cs="宋体"/>
          <w:bCs/>
          <w:color w:val="auto"/>
          <w:kern w:val="0"/>
          <w:szCs w:val="24"/>
          <w:highlight w:val="none"/>
          <w:u w:val="none"/>
        </w:rPr>
        <w:t>理财产品到期清算</w:t>
      </w:r>
    </w:p>
    <w:p w14:paraId="7E08857F">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1.清算程序</w:t>
      </w:r>
    </w:p>
    <w:p w14:paraId="7AD605FF">
      <w:pPr>
        <w:widowControl/>
        <w:tabs>
          <w:tab w:val="left" w:pos="709"/>
        </w:tabs>
        <w:snapToGrid w:val="0"/>
        <w:spacing w:line="360" w:lineRule="auto"/>
        <w:ind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产品到期（含提前终止）后，理财产品终止运作，本理财产品</w:t>
      </w:r>
      <w:r>
        <w:rPr>
          <w:color w:val="auto"/>
          <w:highlight w:val="none"/>
          <w:u w:val="none"/>
        </w:rPr>
        <w:t>管</w:t>
      </w:r>
      <w:r>
        <w:rPr>
          <w:rFonts w:hint="eastAsia" w:ascii="仿宋_GB2312" w:hAnsi="宋体" w:cs="宋体"/>
          <w:bCs/>
          <w:color w:val="auto"/>
          <w:kern w:val="0"/>
          <w:szCs w:val="24"/>
          <w:highlight w:val="none"/>
          <w:u w:val="none"/>
        </w:rPr>
        <w:t>理人启动产品清算，理财资产清</w:t>
      </w:r>
      <w:r>
        <w:rPr>
          <w:rFonts w:ascii="仿宋_GB2312" w:hAnsi="宋体" w:cs="宋体"/>
          <w:bCs/>
          <w:color w:val="auto"/>
          <w:kern w:val="0"/>
          <w:szCs w:val="24"/>
          <w:highlight w:val="none"/>
          <w:u w:val="none"/>
        </w:rPr>
        <w:t>算后扣除理财相关费用、缴纳所欠税款并清偿理财产品负债后，</w:t>
      </w:r>
      <w:r>
        <w:rPr>
          <w:color w:val="auto"/>
          <w:highlight w:val="none"/>
          <w:u w:val="none"/>
        </w:rPr>
        <w:t>管</w:t>
      </w:r>
      <w:r>
        <w:rPr>
          <w:rFonts w:hint="eastAsia" w:ascii="仿宋_GB2312" w:hAnsi="宋体" w:cs="宋体"/>
          <w:bCs/>
          <w:color w:val="auto"/>
          <w:kern w:val="0"/>
          <w:szCs w:val="24"/>
          <w:highlight w:val="none"/>
          <w:u w:val="none"/>
        </w:rPr>
        <w:t>理人通过销售机构将投资者应得资金（如有，下同）划至投资者指定账户。本产品到期（含提前终止）时，如本产品项下财产全部变现，管理人将在产品到期后5个</w:t>
      </w:r>
      <w:r>
        <w:rPr>
          <w:rFonts w:hint="eastAsia" w:ascii="仿宋_GB2312" w:hAnsi="宋体" w:cs="宋体"/>
          <w:bCs/>
          <w:color w:val="auto"/>
          <w:kern w:val="0"/>
          <w:szCs w:val="24"/>
          <w:highlight w:val="none"/>
          <w:u w:val="none"/>
          <w:lang w:eastAsia="zh-CN"/>
        </w:rPr>
        <w:t>工作日</w:t>
      </w:r>
      <w:r>
        <w:rPr>
          <w:rFonts w:hint="eastAsia" w:ascii="仿宋_GB2312" w:hAnsi="宋体" w:cs="宋体"/>
          <w:bCs/>
          <w:color w:val="auto"/>
          <w:kern w:val="0"/>
          <w:szCs w:val="24"/>
          <w:highlight w:val="none"/>
          <w:u w:val="none"/>
        </w:rPr>
        <w:t>内向投资者完成</w:t>
      </w:r>
      <w:r>
        <w:rPr>
          <w:rFonts w:ascii="仿宋_GB2312" w:hAnsi="宋体" w:cs="宋体"/>
          <w:bCs/>
          <w:color w:val="auto"/>
          <w:kern w:val="0"/>
          <w:szCs w:val="24"/>
          <w:highlight w:val="none"/>
          <w:u w:val="none"/>
        </w:rPr>
        <w:t>分配</w:t>
      </w:r>
      <w:r>
        <w:rPr>
          <w:rFonts w:hint="eastAsia" w:ascii="仿宋_GB2312" w:hAnsi="宋体" w:cs="宋体"/>
          <w:bCs/>
          <w:color w:val="auto"/>
          <w:kern w:val="0"/>
          <w:szCs w:val="24"/>
          <w:highlight w:val="none"/>
          <w:u w:val="none"/>
        </w:rPr>
        <w:t>。本产品到期日（或提前/延期终止日）至资金到账日期间，投资者理财资金如因清算安排实际产生利息的，相关利息归投资者所有。</w:t>
      </w:r>
    </w:p>
    <w:p w14:paraId="74A5992A">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如因清算需要，本产品无法在到期后5个</w:t>
      </w:r>
      <w:r>
        <w:rPr>
          <w:rFonts w:hint="eastAsia" w:ascii="仿宋_GB2312" w:hAnsi="宋体" w:cs="宋体"/>
          <w:bCs/>
          <w:color w:val="auto"/>
          <w:kern w:val="0"/>
          <w:szCs w:val="24"/>
          <w:highlight w:val="none"/>
          <w:u w:val="none"/>
          <w:lang w:eastAsia="zh-CN"/>
        </w:rPr>
        <w:t>工作日</w:t>
      </w:r>
      <w:r>
        <w:rPr>
          <w:rFonts w:hint="eastAsia" w:ascii="仿宋_GB2312" w:hAnsi="宋体" w:cs="宋体"/>
          <w:bCs/>
          <w:color w:val="auto"/>
          <w:kern w:val="0"/>
          <w:szCs w:val="24"/>
          <w:highlight w:val="none"/>
          <w:u w:val="none"/>
        </w:rPr>
        <w:t>内向投资者完成</w:t>
      </w:r>
      <w:r>
        <w:rPr>
          <w:rFonts w:ascii="仿宋_GB2312" w:hAnsi="宋体" w:cs="宋体"/>
          <w:bCs/>
          <w:color w:val="auto"/>
          <w:kern w:val="0"/>
          <w:szCs w:val="24"/>
          <w:highlight w:val="none"/>
          <w:u w:val="none"/>
        </w:rPr>
        <w:t>分配</w:t>
      </w:r>
      <w:r>
        <w:rPr>
          <w:rFonts w:hint="eastAsia" w:ascii="仿宋_GB2312" w:hAnsi="宋体" w:cs="宋体"/>
          <w:bCs/>
          <w:color w:val="auto"/>
          <w:kern w:val="0"/>
          <w:szCs w:val="24"/>
          <w:highlight w:val="none"/>
          <w:u w:val="none"/>
        </w:rPr>
        <w:t>的，管理人有权延后产品可得资金分配并于产品到期日前公告。</w:t>
      </w:r>
    </w:p>
    <w:p w14:paraId="6020CA40">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2.清算费用分别按照实际发生费用从产品资产中列支。</w:t>
      </w:r>
    </w:p>
    <w:p w14:paraId="3584D17E">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3.产品资产清算剩余资产的分配</w:t>
      </w:r>
    </w:p>
    <w:p w14:paraId="673189EE">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产品资产按下列顺序清偿：</w:t>
      </w:r>
    </w:p>
    <w:p w14:paraId="7E63BDF0">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（1）支付清算费用和交纳所欠税款；</w:t>
      </w:r>
    </w:p>
    <w:p w14:paraId="614350A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（2）清偿产品债务；</w:t>
      </w:r>
    </w:p>
    <w:p w14:paraId="490130BD">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（3）按产品份额持有人持有的产品份额比例进行分配。</w:t>
      </w:r>
    </w:p>
    <w:p w14:paraId="2B2C4CCB">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4.产品终止投资者到账资金计算</w:t>
      </w:r>
    </w:p>
    <w:p w14:paraId="3ECC1513">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若产品终止或提前终止时本理财产品项下资产全部变现，产品管理人将</w:t>
      </w:r>
      <w:r>
        <w:rPr>
          <w:rFonts w:hint="eastAsia" w:ascii="仿宋_GB2312" w:hAnsi="宋体" w:cs="宋体"/>
          <w:bCs/>
          <w:color w:val="auto"/>
          <w:kern w:val="0"/>
          <w:szCs w:val="24"/>
          <w:highlight w:val="none"/>
          <w:u w:val="none"/>
        </w:rPr>
        <w:t>扣除理财产品财产清算费用、缴纳所欠税款并清偿理财产品债务后，按照各投资者持有理财产品份额占理财产品总份额的比例于</w:t>
      </w:r>
      <w:r>
        <w:rPr>
          <w:rFonts w:ascii="仿宋_GB2312" w:hAnsi="宋体" w:cs="宋体"/>
          <w:bCs/>
          <w:color w:val="auto"/>
          <w:kern w:val="0"/>
          <w:szCs w:val="24"/>
          <w:highlight w:val="none"/>
          <w:u w:val="none"/>
        </w:rPr>
        <w:t>产品到期日后</w:t>
      </w:r>
      <w:r>
        <w:rPr>
          <w:rFonts w:hint="eastAsia" w:ascii="仿宋_GB2312" w:hAnsi="宋体" w:cs="宋体"/>
          <w:bCs/>
          <w:color w:val="auto"/>
          <w:kern w:val="0"/>
          <w:szCs w:val="24"/>
          <w:highlight w:val="none"/>
          <w:u w:val="none"/>
        </w:rPr>
        <w:t>5</w:t>
      </w:r>
      <w:r>
        <w:rPr>
          <w:rFonts w:ascii="仿宋_GB2312" w:hAnsi="宋体" w:cs="宋体"/>
          <w:bCs/>
          <w:color w:val="auto"/>
          <w:kern w:val="0"/>
          <w:szCs w:val="24"/>
          <w:highlight w:val="none"/>
          <w:u w:val="none"/>
        </w:rPr>
        <w:t>个</w:t>
      </w:r>
      <w:r>
        <w:rPr>
          <w:rFonts w:hint="eastAsia" w:ascii="仿宋_GB2312" w:hAnsi="宋体" w:cs="宋体"/>
          <w:bCs/>
          <w:color w:val="auto"/>
          <w:kern w:val="0"/>
          <w:szCs w:val="24"/>
          <w:highlight w:val="none"/>
          <w:u w:val="none"/>
          <w:lang w:eastAsia="zh-CN"/>
        </w:rPr>
        <w:t>工作日</w:t>
      </w:r>
      <w:r>
        <w:rPr>
          <w:rFonts w:ascii="仿宋_GB2312" w:hAnsi="宋体" w:cs="宋体"/>
          <w:bCs/>
          <w:color w:val="auto"/>
          <w:kern w:val="0"/>
          <w:szCs w:val="24"/>
          <w:highlight w:val="none"/>
          <w:u w:val="none"/>
        </w:rPr>
        <w:t>内或提前终止日后</w:t>
      </w:r>
      <w:r>
        <w:rPr>
          <w:rFonts w:hint="eastAsia" w:ascii="仿宋_GB2312" w:hAnsi="宋体" w:cs="宋体"/>
          <w:bCs/>
          <w:color w:val="auto"/>
          <w:kern w:val="0"/>
          <w:szCs w:val="24"/>
          <w:highlight w:val="none"/>
          <w:u w:val="none"/>
        </w:rPr>
        <w:t>5</w:t>
      </w:r>
      <w:r>
        <w:rPr>
          <w:rFonts w:ascii="仿宋_GB2312" w:hAnsi="宋体" w:cs="宋体"/>
          <w:bCs/>
          <w:color w:val="auto"/>
          <w:kern w:val="0"/>
          <w:szCs w:val="24"/>
          <w:highlight w:val="none"/>
          <w:u w:val="none"/>
        </w:rPr>
        <w:t>个</w:t>
      </w:r>
      <w:r>
        <w:rPr>
          <w:rFonts w:hint="eastAsia" w:ascii="仿宋_GB2312" w:hAnsi="宋体" w:cs="宋体"/>
          <w:bCs/>
          <w:color w:val="auto"/>
          <w:kern w:val="0"/>
          <w:szCs w:val="24"/>
          <w:highlight w:val="none"/>
          <w:u w:val="none"/>
          <w:lang w:eastAsia="zh-CN"/>
        </w:rPr>
        <w:t>工作日</w:t>
      </w:r>
      <w:r>
        <w:rPr>
          <w:rFonts w:hint="eastAsia" w:ascii="仿宋_GB2312" w:hAnsi="宋体" w:cs="宋体"/>
          <w:bCs/>
          <w:color w:val="auto"/>
          <w:kern w:val="0"/>
          <w:szCs w:val="24"/>
          <w:highlight w:val="none"/>
          <w:u w:val="none"/>
        </w:rPr>
        <w:t>通过销售机构</w:t>
      </w:r>
      <w:r>
        <w:rPr>
          <w:rFonts w:ascii="仿宋_GB2312" w:hAnsi="宋体" w:cs="宋体"/>
          <w:bCs/>
          <w:color w:val="auto"/>
          <w:kern w:val="0"/>
          <w:szCs w:val="24"/>
          <w:highlight w:val="none"/>
          <w:u w:val="none"/>
        </w:rPr>
        <w:t>内将投资者应得资金划转投资者指定账户。计算公式如下：</w:t>
      </w:r>
    </w:p>
    <w:p w14:paraId="1DF8AC81">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本产品兑付金额(理财产品总资产净值)=理财产品资产总值-理财产品负债总值</w:t>
      </w:r>
    </w:p>
    <w:p w14:paraId="308BB2B7">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其中，投资者到账金额计算公式如下：</w:t>
      </w:r>
    </w:p>
    <w:p w14:paraId="36CBCE44">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本产品投资者到账金额=投资者在到期日持有理财产品份额/理财产品总份额*理财产品总资产净值，</w:t>
      </w:r>
      <w:r>
        <w:rPr>
          <w:rFonts w:ascii="仿宋_GB2312" w:hAnsi="宋体" w:cs="宋体"/>
          <w:bCs/>
          <w:color w:val="auto"/>
          <w:kern w:val="0"/>
          <w:szCs w:val="24"/>
          <w:highlight w:val="none"/>
          <w:u w:val="none"/>
        </w:rPr>
        <w:t>最终资金以实际到账为准。</w:t>
      </w:r>
    </w:p>
    <w:p w14:paraId="1CAD54E1">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可分配给</w:t>
      </w:r>
      <w:r>
        <w:rPr>
          <w:rFonts w:hint="eastAsia" w:ascii="仿宋_GB2312" w:hAnsi="宋体" w:cs="宋体"/>
          <w:bCs/>
          <w:color w:val="auto"/>
          <w:kern w:val="0"/>
          <w:szCs w:val="24"/>
          <w:highlight w:val="none"/>
          <w:u w:val="none"/>
        </w:rPr>
        <w:t>投资者</w:t>
      </w:r>
      <w:r>
        <w:rPr>
          <w:rFonts w:ascii="仿宋_GB2312" w:hAnsi="宋体" w:cs="宋体"/>
          <w:bCs/>
          <w:color w:val="auto"/>
          <w:kern w:val="0"/>
          <w:szCs w:val="24"/>
          <w:highlight w:val="none"/>
          <w:u w:val="none"/>
        </w:rPr>
        <w:t>。对于未变现资产部分，产品管理人以投资者利益最大化的原则，寻求未变现资产变现方式，在资产变现后，产品持有的现金类资产在扣除剩余未支付的清算费用和交纳所欠税款、清偿产品债务后，于产品清算完毕后的</w:t>
      </w:r>
      <w:r>
        <w:rPr>
          <w:rFonts w:hint="eastAsia" w:ascii="仿宋_GB2312" w:hAnsi="宋体" w:cs="宋体"/>
          <w:bCs/>
          <w:color w:val="auto"/>
          <w:kern w:val="0"/>
          <w:szCs w:val="24"/>
          <w:highlight w:val="none"/>
          <w:u w:val="none"/>
        </w:rPr>
        <w:t>5</w:t>
      </w:r>
      <w:r>
        <w:rPr>
          <w:rFonts w:ascii="仿宋_GB2312" w:hAnsi="宋体" w:cs="宋体"/>
          <w:bCs/>
          <w:color w:val="auto"/>
          <w:kern w:val="0"/>
          <w:szCs w:val="24"/>
          <w:highlight w:val="none"/>
          <w:u w:val="none"/>
        </w:rPr>
        <w:t>个</w:t>
      </w:r>
      <w:r>
        <w:rPr>
          <w:rFonts w:hint="eastAsia" w:ascii="仿宋_GB2312" w:hAnsi="宋体" w:cs="宋体"/>
          <w:bCs/>
          <w:color w:val="auto"/>
          <w:kern w:val="0"/>
          <w:szCs w:val="24"/>
          <w:highlight w:val="none"/>
          <w:u w:val="none"/>
          <w:lang w:eastAsia="zh-CN"/>
        </w:rPr>
        <w:t>工作日</w:t>
      </w:r>
      <w:r>
        <w:rPr>
          <w:rFonts w:ascii="仿宋_GB2312" w:hAnsi="宋体" w:cs="宋体"/>
          <w:bCs/>
          <w:color w:val="auto"/>
          <w:kern w:val="0"/>
          <w:szCs w:val="24"/>
          <w:highlight w:val="none"/>
          <w:u w:val="none"/>
        </w:rPr>
        <w:t>内分配给</w:t>
      </w:r>
      <w:r>
        <w:rPr>
          <w:rFonts w:hint="eastAsia" w:ascii="仿宋_GB2312" w:hAnsi="宋体" w:cs="宋体"/>
          <w:bCs/>
          <w:color w:val="auto"/>
          <w:kern w:val="0"/>
          <w:szCs w:val="24"/>
          <w:highlight w:val="none"/>
          <w:u w:val="none"/>
        </w:rPr>
        <w:t>投资者</w:t>
      </w:r>
      <w:r>
        <w:rPr>
          <w:rFonts w:ascii="仿宋_GB2312" w:hAnsi="宋体" w:cs="宋体"/>
          <w:bCs/>
          <w:color w:val="auto"/>
          <w:kern w:val="0"/>
          <w:szCs w:val="24"/>
          <w:highlight w:val="none"/>
          <w:u w:val="none"/>
        </w:rPr>
        <w:t>。</w:t>
      </w:r>
    </w:p>
    <w:p w14:paraId="40F6F16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产品管理人拟进行二次或多次清算的，管理人应向投资者及时披露。</w:t>
      </w:r>
    </w:p>
    <w:p w14:paraId="5A6363D8">
      <w:pPr>
        <w:jc w:val="left"/>
        <w:rPr>
          <w:rFonts w:ascii="仿宋_GB2312" w:hAnsi="宋体" w:cs="宋体"/>
          <w:bCs/>
          <w:color w:val="auto"/>
          <w:kern w:val="0"/>
          <w:szCs w:val="24"/>
          <w:highlight w:val="none"/>
          <w:u w:val="none"/>
        </w:rPr>
      </w:pPr>
      <w:r>
        <w:rPr>
          <w:rFonts w:ascii="仿宋_GB2312" w:hAnsi="宋体" w:cs="宋体"/>
          <w:bCs/>
          <w:color w:val="auto"/>
          <w:kern w:val="0"/>
          <w:szCs w:val="24"/>
          <w:highlight w:val="none"/>
          <w:u w:val="none"/>
        </w:rPr>
        <w:br w:type="page"/>
      </w:r>
    </w:p>
    <w:p w14:paraId="6C79E1F3">
      <w:pPr>
        <w:pStyle w:val="2"/>
        <w:rPr>
          <w:color w:val="auto"/>
          <w:highlight w:val="none"/>
          <w:u w:val="none"/>
        </w:rPr>
      </w:pPr>
      <w:r>
        <w:rPr>
          <w:rFonts w:hint="eastAsia"/>
          <w:color w:val="auto"/>
          <w:highlight w:val="none"/>
          <w:u w:val="none"/>
        </w:rPr>
        <w:t>理财产品的信息披露</w:t>
      </w:r>
    </w:p>
    <w:p w14:paraId="5D19276B">
      <w:pPr>
        <w:pStyle w:val="3"/>
        <w:ind w:firstLine="482"/>
        <w:rPr>
          <w:color w:val="auto"/>
          <w:highlight w:val="none"/>
          <w:u w:val="none"/>
        </w:rPr>
      </w:pPr>
      <w:r>
        <w:rPr>
          <w:rFonts w:hint="eastAsia"/>
          <w:color w:val="auto"/>
          <w:highlight w:val="none"/>
          <w:u w:val="none"/>
        </w:rPr>
        <w:t>信息披露方式</w:t>
      </w:r>
    </w:p>
    <w:p w14:paraId="197BCFC5">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本理财产品将通过</w:t>
      </w:r>
      <w:r>
        <w:rPr>
          <w:rFonts w:hint="eastAsia" w:ascii="仿宋_GB2312" w:hAnsi="宋体" w:cs="宋体"/>
          <w:b/>
          <w:color w:val="auto"/>
          <w:kern w:val="0"/>
          <w:szCs w:val="24"/>
          <w:highlight w:val="none"/>
          <w:u w:val="none"/>
          <w:lang w:eastAsia="zh-CN"/>
        </w:rPr>
        <w:t>中国理财网、</w:t>
      </w:r>
      <w:r>
        <w:rPr>
          <w:rFonts w:hint="eastAsia" w:ascii="仿宋_GB2312" w:hAnsi="宋体" w:cs="宋体"/>
          <w:b/>
          <w:color w:val="auto"/>
          <w:kern w:val="0"/>
          <w:szCs w:val="24"/>
          <w:highlight w:val="none"/>
          <w:u w:val="none"/>
        </w:rPr>
        <w:t>产品管理人官方网站【</w:t>
      </w:r>
      <w:r>
        <w:rPr>
          <w:rFonts w:ascii="仿宋_GB2312" w:hAnsi="宋体" w:cs="宋体"/>
          <w:b/>
          <w:color w:val="auto"/>
          <w:kern w:val="0"/>
          <w:szCs w:val="24"/>
          <w:highlight w:val="none"/>
          <w:u w:val="none"/>
        </w:rPr>
        <w:t>www.czbank-wm.com</w:t>
      </w:r>
      <w:r>
        <w:rPr>
          <w:rFonts w:hint="eastAsia" w:ascii="仿宋_GB2312" w:hAnsi="宋体" w:cs="宋体"/>
          <w:b/>
          <w:color w:val="auto"/>
          <w:kern w:val="0"/>
          <w:szCs w:val="24"/>
          <w:highlight w:val="none"/>
          <w:u w:val="none"/>
        </w:rPr>
        <w:t>】</w:t>
      </w:r>
      <w:r>
        <w:rPr>
          <w:rFonts w:hint="eastAsia"/>
          <w:color w:val="auto"/>
          <w:highlight w:val="none"/>
          <w:u w:val="none"/>
        </w:rPr>
        <w:t>、</w:t>
      </w:r>
      <w:r>
        <w:rPr>
          <w:rFonts w:hint="eastAsia" w:ascii="仿宋_GB2312" w:hAnsi="宋体" w:cs="宋体"/>
          <w:b/>
          <w:color w:val="auto"/>
          <w:kern w:val="0"/>
          <w:szCs w:val="24"/>
          <w:highlight w:val="none"/>
          <w:u w:val="none"/>
        </w:rPr>
        <w:t>销售机构官方网站、个人手机银行或其他约定的方式等</w:t>
      </w:r>
      <w:r>
        <w:rPr>
          <w:rFonts w:hint="eastAsia" w:cs="宋体" w:asciiTheme="minorEastAsia" w:hAnsiTheme="minorEastAsia"/>
          <w:b/>
          <w:color w:val="auto"/>
          <w:kern w:val="0"/>
          <w:szCs w:val="24"/>
          <w:highlight w:val="none"/>
          <w:u w:val="none"/>
        </w:rPr>
        <w:t>一种或多种渠道</w:t>
      </w:r>
      <w:r>
        <w:rPr>
          <w:rFonts w:hint="eastAsia" w:ascii="仿宋_GB2312" w:hAnsi="宋体" w:cs="宋体"/>
          <w:b/>
          <w:color w:val="auto"/>
          <w:kern w:val="0"/>
          <w:szCs w:val="24"/>
          <w:highlight w:val="none"/>
          <w:u w:val="none"/>
        </w:rPr>
        <w:t>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14:paraId="678A7C69">
      <w:pPr>
        <w:pStyle w:val="3"/>
        <w:ind w:firstLine="482"/>
        <w:rPr>
          <w:color w:val="auto"/>
          <w:highlight w:val="none"/>
          <w:u w:val="none"/>
        </w:rPr>
      </w:pPr>
      <w:r>
        <w:rPr>
          <w:rFonts w:hint="eastAsia"/>
          <w:color w:val="auto"/>
          <w:highlight w:val="none"/>
          <w:u w:val="none"/>
        </w:rPr>
        <w:t>信息披露内容</w:t>
      </w:r>
    </w:p>
    <w:p w14:paraId="0B6D739D">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1.产品类型、募集信息、产品净值、产品规模、收益情况；</w:t>
      </w:r>
    </w:p>
    <w:p w14:paraId="1AC9BC47">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2.产品直接和间接投资的资产种类、投资比例、</w:t>
      </w:r>
      <w:r>
        <w:rPr>
          <w:rFonts w:hint="eastAsia" w:ascii="仿宋_GB2312" w:hAnsi="宋体" w:cs="宋体"/>
          <w:b/>
          <w:color w:val="auto"/>
          <w:kern w:val="0"/>
          <w:szCs w:val="24"/>
          <w:highlight w:val="none"/>
          <w:u w:val="none"/>
          <w:lang w:val="zh-CN"/>
        </w:rPr>
        <w:t>前十项资产具体名称、规模和比例等信息、</w:t>
      </w:r>
      <w:r>
        <w:rPr>
          <w:rFonts w:hint="eastAsia" w:ascii="仿宋_GB2312" w:hAnsi="宋体" w:cs="宋体"/>
          <w:b/>
          <w:color w:val="auto"/>
          <w:kern w:val="0"/>
          <w:szCs w:val="24"/>
          <w:highlight w:val="none"/>
          <w:u w:val="none"/>
        </w:rPr>
        <w:t>杠杆水平以及流动性风险分析；</w:t>
      </w:r>
    </w:p>
    <w:p w14:paraId="27D5D4D7">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3.产品估值方法、托管安排；</w:t>
      </w:r>
    </w:p>
    <w:p w14:paraId="3D22614A">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4.产品收益分配、各项费用情况及主要投资风险；</w:t>
      </w:r>
    </w:p>
    <w:p w14:paraId="3E2ACEAC">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5.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14:paraId="4328CDD0">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6.其他影响本产品投资运作的重大事项、突发事件、临时性信息披露等。</w:t>
      </w:r>
    </w:p>
    <w:p w14:paraId="5A09EF7A">
      <w:pPr>
        <w:pStyle w:val="3"/>
        <w:tabs>
          <w:tab w:val="left" w:pos="0"/>
          <w:tab w:val="left" w:pos="709"/>
        </w:tabs>
        <w:ind w:firstLine="480" w:firstLineChars="0"/>
        <w:rPr>
          <w:color w:val="auto"/>
          <w:highlight w:val="none"/>
          <w:u w:val="none"/>
        </w:rPr>
      </w:pPr>
      <w:r>
        <w:rPr>
          <w:rFonts w:hint="eastAsia"/>
          <w:color w:val="auto"/>
          <w:highlight w:val="none"/>
          <w:u w:val="none"/>
        </w:rPr>
        <w:t>信息披露频率</w:t>
      </w:r>
    </w:p>
    <w:p w14:paraId="2F271DA9">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ascii="仿宋_GB2312" w:hAnsi="宋体" w:cs="宋体"/>
          <w:color w:val="auto"/>
          <w:kern w:val="0"/>
          <w:szCs w:val="24"/>
          <w:highlight w:val="none"/>
          <w:u w:val="none"/>
        </w:rPr>
        <w:t>1.发行公告：本产品成立后5个工作日（含）内，将发布本理财产品成立公告；如</w:t>
      </w:r>
      <w:r>
        <w:rPr>
          <w:rFonts w:hint="eastAsia" w:ascii="仿宋_GB2312" w:hAnsi="宋体" w:cs="宋体"/>
          <w:color w:val="auto"/>
          <w:kern w:val="0"/>
          <w:szCs w:val="24"/>
          <w:highlight w:val="none"/>
          <w:u w:val="none"/>
        </w:rPr>
        <w:t>产品</w:t>
      </w:r>
      <w:r>
        <w:rPr>
          <w:rFonts w:ascii="仿宋_GB2312" w:hAnsi="宋体" w:cs="宋体"/>
          <w:color w:val="auto"/>
          <w:kern w:val="0"/>
          <w:szCs w:val="24"/>
          <w:highlight w:val="none"/>
          <w:u w:val="none"/>
        </w:rPr>
        <w:t>管理人决定本理财产品募集期延长，将于原定成立日前发布理财产品募集期延长公告；</w:t>
      </w:r>
      <w:r>
        <w:rPr>
          <w:rFonts w:hint="eastAsia" w:ascii="仿宋_GB2312" w:hAnsi="宋体" w:cs="宋体"/>
          <w:color w:val="auto"/>
          <w:kern w:val="0"/>
          <w:szCs w:val="24"/>
          <w:highlight w:val="none"/>
          <w:u w:val="none"/>
        </w:rPr>
        <w:t>产品</w:t>
      </w:r>
      <w:r>
        <w:rPr>
          <w:rFonts w:ascii="仿宋_GB2312" w:hAnsi="宋体" w:cs="宋体"/>
          <w:color w:val="auto"/>
          <w:kern w:val="0"/>
          <w:szCs w:val="24"/>
          <w:highlight w:val="none"/>
          <w:u w:val="none"/>
        </w:rPr>
        <w:t>管理人决定本理财产品不成立，将在理财产品原定成立日后的2个工作日（含）内发布理财产品不成立公告。</w:t>
      </w:r>
    </w:p>
    <w:p w14:paraId="0A863B83">
      <w:pPr>
        <w:widowControl/>
        <w:numPr>
          <w:ilvl w:val="0"/>
          <w:numId w:val="0"/>
        </w:numPr>
        <w:tabs>
          <w:tab w:val="left" w:pos="1261"/>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ascii="仿宋_GB2312" w:hAnsi="宋体" w:cs="宋体"/>
          <w:color w:val="auto"/>
          <w:kern w:val="0"/>
          <w:szCs w:val="24"/>
          <w:highlight w:val="none"/>
          <w:u w:val="none"/>
        </w:rPr>
        <w:t>2.定期公告：本产品在</w:t>
      </w:r>
      <w:r>
        <w:rPr>
          <w:rFonts w:hint="eastAsia" w:ascii="仿宋_GB2312" w:hAnsi="宋体" w:cs="宋体"/>
          <w:color w:val="auto"/>
          <w:kern w:val="0"/>
          <w:szCs w:val="24"/>
          <w:highlight w:val="none"/>
          <w:u w:val="none"/>
        </w:rPr>
        <w:t>每个季度结束之日起十五个工作日内披露产品的季度报告，每年8月31日前披露产品的半年度报告，每年4月30日前披露产品上一年度的年度报告。产品成立不足</w:t>
      </w:r>
      <w:r>
        <w:rPr>
          <w:rFonts w:ascii="仿宋_GB2312" w:hAnsi="宋体" w:cs="宋体"/>
          <w:color w:val="auto"/>
          <w:kern w:val="0"/>
          <w:szCs w:val="24"/>
          <w:highlight w:val="none"/>
          <w:u w:val="none"/>
        </w:rPr>
        <w:t>90</w:t>
      </w:r>
      <w:r>
        <w:rPr>
          <w:rFonts w:hint="eastAsia" w:ascii="仿宋_GB2312" w:hAnsi="宋体" w:cs="宋体"/>
          <w:color w:val="auto"/>
          <w:kern w:val="0"/>
          <w:szCs w:val="24"/>
          <w:highlight w:val="none"/>
          <w:u w:val="none"/>
        </w:rPr>
        <w:t>个</w:t>
      </w:r>
      <w:r>
        <w:rPr>
          <w:rFonts w:hint="eastAsia" w:ascii="仿宋_GB2312" w:hAnsi="宋体" w:cs="宋体"/>
          <w:color w:val="auto"/>
          <w:kern w:val="0"/>
          <w:szCs w:val="24"/>
          <w:highlight w:val="none"/>
          <w:u w:val="none"/>
          <w:lang w:eastAsia="zh-CN"/>
        </w:rPr>
        <w:t>自然日</w:t>
      </w:r>
      <w:r>
        <w:rPr>
          <w:rFonts w:hint="eastAsia" w:ascii="仿宋_GB2312" w:hAnsi="宋体" w:cs="宋体"/>
          <w:color w:val="auto"/>
          <w:kern w:val="0"/>
          <w:szCs w:val="24"/>
          <w:highlight w:val="none"/>
          <w:u w:val="none"/>
        </w:rPr>
        <w:t>或者</w:t>
      </w:r>
      <w:r>
        <w:rPr>
          <w:rFonts w:hint="eastAsia" w:ascii="仿宋_GB2312"/>
          <w:color w:val="auto"/>
          <w:szCs w:val="32"/>
          <w:highlight w:val="none"/>
        </w:rPr>
        <w:t>理财产品剩余存续期不足完整报告期，且到期公告或清算报告包括对应定期报告内容的，</w:t>
      </w:r>
      <w:r>
        <w:rPr>
          <w:rFonts w:hint="eastAsia" w:ascii="仿宋_GB2312"/>
          <w:color w:val="auto"/>
          <w:szCs w:val="32"/>
          <w:highlight w:val="none"/>
          <w:lang w:eastAsia="zh-CN"/>
        </w:rPr>
        <w:t>可</w:t>
      </w:r>
      <w:r>
        <w:rPr>
          <w:rFonts w:hint="eastAsia" w:ascii="仿宋_GB2312"/>
          <w:color w:val="auto"/>
          <w:szCs w:val="32"/>
          <w:highlight w:val="none"/>
        </w:rPr>
        <w:t>不编制</w:t>
      </w:r>
      <w:r>
        <w:rPr>
          <w:rFonts w:hint="eastAsia" w:ascii="仿宋_GB2312"/>
          <w:color w:val="auto"/>
          <w:szCs w:val="32"/>
          <w:highlight w:val="none"/>
          <w:lang w:eastAsia="zh-CN"/>
        </w:rPr>
        <w:t>本产品当期的</w:t>
      </w:r>
      <w:r>
        <w:rPr>
          <w:rFonts w:hint="eastAsia" w:ascii="仿宋_GB2312"/>
          <w:color w:val="auto"/>
          <w:szCs w:val="32"/>
          <w:highlight w:val="none"/>
        </w:rPr>
        <w:t>季度、半年和年度报告。</w:t>
      </w:r>
    </w:p>
    <w:p w14:paraId="20F8D449">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ascii="仿宋_GB2312" w:hAnsi="宋体" w:cs="宋体"/>
          <w:color w:val="auto"/>
          <w:kern w:val="0"/>
          <w:szCs w:val="24"/>
          <w:highlight w:val="none"/>
          <w:u w:val="none"/>
        </w:rPr>
        <w:t>3.到期公告：本产品在终止后5</w:t>
      </w:r>
      <w:r>
        <w:rPr>
          <w:rFonts w:hint="eastAsia" w:ascii="仿宋_GB2312" w:hAnsi="宋体" w:cs="宋体"/>
          <w:color w:val="auto"/>
          <w:kern w:val="0"/>
          <w:szCs w:val="24"/>
          <w:highlight w:val="none"/>
          <w:u w:val="none"/>
        </w:rPr>
        <w:t>个工作日内，披露本产品到期公告，包括理财产品的存续期限、终止日期、收费情况和收益分配情况等信息。本产品终止后5个工作日内，产品管理人发布产品到期公告。</w:t>
      </w:r>
    </w:p>
    <w:p w14:paraId="5890328E">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如果产品管理人提前或</w:t>
      </w:r>
      <w:r>
        <w:rPr>
          <w:rFonts w:ascii="仿宋_GB2312" w:hAnsi="宋体" w:cs="宋体"/>
          <w:color w:val="auto"/>
          <w:kern w:val="0"/>
          <w:szCs w:val="24"/>
          <w:highlight w:val="none"/>
          <w:u w:val="none"/>
        </w:rPr>
        <w:t>延后</w:t>
      </w:r>
      <w:r>
        <w:rPr>
          <w:rFonts w:hint="eastAsia" w:ascii="仿宋_GB2312" w:hAnsi="宋体" w:cs="宋体"/>
          <w:color w:val="auto"/>
          <w:kern w:val="0"/>
          <w:szCs w:val="24"/>
          <w:highlight w:val="none"/>
          <w:u w:val="none"/>
        </w:rPr>
        <w:t>终止本产品，产品管理人将提前</w:t>
      </w:r>
      <w:r>
        <w:rPr>
          <w:rFonts w:hint="eastAsia" w:ascii="仿宋_GB2312" w:hAnsi="宋体" w:cs="宋体"/>
          <w:color w:val="auto"/>
          <w:kern w:val="0"/>
          <w:szCs w:val="24"/>
          <w:highlight w:val="none"/>
          <w:u w:val="none"/>
          <w:lang w:val="en-US" w:eastAsia="zh-CN"/>
        </w:rPr>
        <w:t>1</w:t>
      </w:r>
      <w:r>
        <w:rPr>
          <w:rFonts w:hint="eastAsia" w:ascii="仿宋_GB2312" w:hAnsi="宋体" w:cs="宋体"/>
          <w:color w:val="auto"/>
          <w:kern w:val="0"/>
          <w:szCs w:val="24"/>
          <w:highlight w:val="none"/>
          <w:u w:val="none"/>
        </w:rPr>
        <w:t>个工作日进行公告。</w:t>
      </w:r>
    </w:p>
    <w:p w14:paraId="70746CE8">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ascii="仿宋_GB2312" w:hAnsi="宋体" w:cs="宋体"/>
          <w:color w:val="auto"/>
          <w:kern w:val="0"/>
          <w:szCs w:val="24"/>
          <w:highlight w:val="none"/>
          <w:u w:val="none"/>
        </w:rPr>
        <w:t>4.开放日</w:t>
      </w:r>
      <w:r>
        <w:rPr>
          <w:rFonts w:hint="eastAsia" w:ascii="仿宋_GB2312" w:hAnsi="宋体" w:cs="宋体"/>
          <w:color w:val="auto"/>
          <w:kern w:val="0"/>
          <w:szCs w:val="24"/>
          <w:highlight w:val="none"/>
          <w:u w:val="none"/>
        </w:rPr>
        <w:t>（估值日</w:t>
      </w:r>
      <w:r>
        <w:rPr>
          <w:rFonts w:ascii="仿宋_GB2312" w:hAnsi="宋体" w:cs="宋体"/>
          <w:color w:val="auto"/>
          <w:kern w:val="0"/>
          <w:szCs w:val="24"/>
          <w:highlight w:val="none"/>
          <w:u w:val="none"/>
        </w:rPr>
        <w:t>）公告：</w:t>
      </w:r>
      <w:r>
        <w:rPr>
          <w:rFonts w:hint="eastAsia" w:ascii="仿宋_GB2312" w:hAnsi="宋体" w:cs="宋体"/>
          <w:color w:val="auto"/>
          <w:kern w:val="0"/>
          <w:szCs w:val="24"/>
          <w:highlight w:val="none"/>
          <w:u w:val="none"/>
        </w:rPr>
        <w:t>产品管理人在申购日</w:t>
      </w:r>
      <w:r>
        <w:rPr>
          <w:rFonts w:ascii="仿宋_GB2312" w:hAnsi="宋体" w:cs="宋体"/>
          <w:color w:val="auto"/>
          <w:kern w:val="0"/>
          <w:szCs w:val="24"/>
          <w:highlight w:val="none"/>
          <w:u w:val="none"/>
        </w:rPr>
        <w:t>/赎回日结束后2</w:t>
      </w:r>
      <w:r>
        <w:rPr>
          <w:rFonts w:hint="eastAsia" w:ascii="仿宋_GB2312" w:hAnsi="宋体" w:cs="宋体"/>
          <w:color w:val="auto"/>
          <w:kern w:val="0"/>
          <w:szCs w:val="24"/>
          <w:highlight w:val="none"/>
          <w:u w:val="none"/>
        </w:rPr>
        <w:t>个工作日内披露开放日公告，公告内容包括申购日</w:t>
      </w:r>
      <w:r>
        <w:rPr>
          <w:rFonts w:ascii="仿宋_GB2312" w:hAnsi="宋体" w:cs="宋体"/>
          <w:color w:val="auto"/>
          <w:kern w:val="0"/>
          <w:szCs w:val="24"/>
          <w:highlight w:val="none"/>
          <w:u w:val="none"/>
        </w:rPr>
        <w:t>/赎回日的产品份额净值、产品份额累计净值、</w:t>
      </w:r>
      <w:r>
        <w:rPr>
          <w:rFonts w:hint="eastAsia" w:ascii="仿宋_GB2312" w:hAnsi="宋体" w:cs="宋体"/>
          <w:color w:val="auto"/>
          <w:kern w:val="0"/>
          <w:szCs w:val="24"/>
          <w:highlight w:val="none"/>
          <w:u w:val="none"/>
        </w:rPr>
        <w:t>申购/赎回</w:t>
      </w:r>
      <w:r>
        <w:rPr>
          <w:rFonts w:ascii="仿宋_GB2312" w:hAnsi="宋体" w:cs="宋体"/>
          <w:color w:val="auto"/>
          <w:kern w:val="0"/>
          <w:szCs w:val="24"/>
          <w:highlight w:val="none"/>
          <w:u w:val="none"/>
        </w:rPr>
        <w:t>价格</w:t>
      </w:r>
      <w:r>
        <w:rPr>
          <w:rFonts w:hint="eastAsia" w:ascii="仿宋_GB2312" w:hAnsi="宋体" w:cs="宋体"/>
          <w:color w:val="auto"/>
          <w:kern w:val="0"/>
          <w:szCs w:val="24"/>
          <w:highlight w:val="none"/>
          <w:u w:val="none"/>
        </w:rPr>
        <w:t>。如遇法定节假日顺延。如遇产品到期日、季度末、半年度末、年度末等时间节点，产品管理人将增加估值日。此外，如遇其他特殊情况，以产品管理人信息披露为准。</w:t>
      </w:r>
    </w:p>
    <w:p w14:paraId="7DDECFFA">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5</w:t>
      </w:r>
      <w:r>
        <w:rPr>
          <w:rFonts w:ascii="仿宋_GB2312" w:hAnsi="宋体" w:cs="宋体"/>
          <w:color w:val="auto"/>
          <w:kern w:val="0"/>
          <w:szCs w:val="24"/>
          <w:highlight w:val="none"/>
          <w:u w:val="none"/>
        </w:rPr>
        <w:t>.</w:t>
      </w:r>
      <w:r>
        <w:rPr>
          <w:rFonts w:hint="eastAsia" w:ascii="仿宋_GB2312" w:hAnsi="宋体" w:cs="宋体"/>
          <w:color w:val="auto"/>
          <w:kern w:val="0"/>
          <w:szCs w:val="24"/>
          <w:highlight w:val="none"/>
          <w:u w:val="none"/>
        </w:rPr>
        <w:t>产品临时公告</w:t>
      </w:r>
    </w:p>
    <w:p w14:paraId="75E3A104">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w:t>
      </w:r>
      <w:r>
        <w:rPr>
          <w:rFonts w:ascii="仿宋_GB2312" w:hAnsi="宋体" w:cs="宋体"/>
          <w:color w:val="auto"/>
          <w:kern w:val="0"/>
          <w:szCs w:val="24"/>
          <w:highlight w:val="none"/>
          <w:u w:val="none"/>
        </w:rPr>
        <w:t>1</w:t>
      </w:r>
      <w:r>
        <w:rPr>
          <w:rFonts w:hint="eastAsia" w:ascii="仿宋_GB2312" w:hAnsi="宋体" w:cs="宋体"/>
          <w:color w:val="auto"/>
          <w:kern w:val="0"/>
          <w:szCs w:val="24"/>
          <w:highlight w:val="none"/>
          <w:u w:val="none"/>
        </w:rPr>
        <w:t>）产品管理人对产品类型、投资范围、资产种类、投资比例、风险等级、产品期限、运作方式、认（申）购和赎回安排（包含认购或申购赎回时间、金额上下限等）、估值方法、收益分配安排</w:t>
      </w:r>
      <w:r>
        <w:rPr>
          <w:rFonts w:hint="eastAsia" w:ascii="仿宋_GB2312" w:hAnsi="宋体" w:cs="宋体"/>
          <w:color w:val="auto"/>
          <w:kern w:val="0"/>
          <w:szCs w:val="24"/>
          <w:highlight w:val="none"/>
          <w:u w:val="none"/>
          <w:lang w:eastAsia="zh-CN"/>
        </w:rPr>
        <w:t>、</w:t>
      </w:r>
      <w:r>
        <w:rPr>
          <w:rFonts w:hint="eastAsia" w:ascii="仿宋_GB2312"/>
          <w:color w:val="auto"/>
          <w:szCs w:val="32"/>
          <w:highlight w:val="none"/>
        </w:rPr>
        <w:t>份额类别</w:t>
      </w:r>
      <w:r>
        <w:rPr>
          <w:rFonts w:hint="eastAsia" w:ascii="仿宋_GB2312"/>
          <w:color w:val="auto"/>
          <w:szCs w:val="32"/>
          <w:highlight w:val="none"/>
          <w:lang w:eastAsia="zh-CN"/>
        </w:rPr>
        <w:t>、</w:t>
      </w:r>
      <w:r>
        <w:rPr>
          <w:rFonts w:hint="eastAsia" w:ascii="仿宋_GB2312" w:hAnsi="宋体" w:cs="宋体"/>
          <w:color w:val="auto"/>
          <w:kern w:val="0"/>
          <w:szCs w:val="24"/>
          <w:highlight w:val="none"/>
          <w:u w:val="none"/>
        </w:rPr>
        <w:t>收费项目、收费条件、收费标准、收费方式</w:t>
      </w:r>
      <w:r>
        <w:rPr>
          <w:rFonts w:hint="eastAsia" w:ascii="仿宋_GB2312" w:hAnsi="宋体" w:cs="宋体"/>
          <w:color w:val="auto"/>
          <w:kern w:val="0"/>
          <w:szCs w:val="24"/>
          <w:highlight w:val="none"/>
          <w:u w:val="none"/>
          <w:lang w:eastAsia="zh-CN"/>
        </w:rPr>
        <w:t>、费用优惠措施</w:t>
      </w:r>
      <w:r>
        <w:rPr>
          <w:rFonts w:hint="eastAsia" w:ascii="仿宋_GB2312" w:hAnsi="宋体" w:cs="宋体"/>
          <w:color w:val="auto"/>
          <w:kern w:val="0"/>
          <w:szCs w:val="24"/>
          <w:highlight w:val="none"/>
          <w:u w:val="none"/>
        </w:rPr>
        <w:t>等保留调整的权利，如发生调整，调整后的要素以产品管理人发布的公告中所载明的内容为准。产品管理人将提前</w:t>
      </w:r>
      <w:r>
        <w:rPr>
          <w:rFonts w:hint="eastAsia" w:ascii="仿宋_GB2312" w:hAnsi="宋体" w:cs="宋体"/>
          <w:color w:val="auto"/>
          <w:kern w:val="0"/>
          <w:szCs w:val="24"/>
          <w:highlight w:val="none"/>
          <w:u w:val="none"/>
          <w:lang w:val="en-US" w:eastAsia="zh-CN"/>
        </w:rPr>
        <w:t>1</w:t>
      </w:r>
      <w:r>
        <w:rPr>
          <w:rFonts w:hint="eastAsia" w:ascii="仿宋_GB2312" w:hAnsi="宋体" w:cs="宋体"/>
          <w:color w:val="auto"/>
          <w:kern w:val="0"/>
          <w:szCs w:val="24"/>
          <w:highlight w:val="none"/>
          <w:u w:val="none"/>
        </w:rPr>
        <w:t>个工作日发布公告。</w:t>
      </w:r>
    </w:p>
    <w:p w14:paraId="6EC6793B">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u w:val="none"/>
        </w:rPr>
      </w:pPr>
      <w:r>
        <w:rPr>
          <w:rFonts w:hint="eastAsia" w:ascii="仿宋_GB2312" w:hAnsi="宋体" w:cs="宋体"/>
          <w:b/>
          <w:bCs/>
          <w:color w:val="auto"/>
          <w:kern w:val="0"/>
          <w:szCs w:val="24"/>
          <w:highlight w:val="none"/>
          <w:u w:val="none"/>
        </w:rPr>
        <w:t>（</w:t>
      </w:r>
      <w:r>
        <w:rPr>
          <w:rFonts w:ascii="仿宋_GB2312" w:hAnsi="宋体" w:cs="宋体"/>
          <w:b/>
          <w:bCs/>
          <w:color w:val="auto"/>
          <w:kern w:val="0"/>
          <w:szCs w:val="24"/>
          <w:highlight w:val="none"/>
          <w:u w:val="none"/>
        </w:rPr>
        <w:t>2）在发生产品管理人拒绝或暂停接受投资者认购/申购申请、</w:t>
      </w:r>
      <w:r>
        <w:rPr>
          <w:rFonts w:hint="eastAsia" w:ascii="仿宋_GB2312" w:hAnsi="宋体" w:cs="宋体"/>
          <w:b/>
          <w:bCs/>
          <w:color w:val="auto"/>
          <w:kern w:val="0"/>
          <w:szCs w:val="24"/>
          <w:highlight w:val="none"/>
          <w:u w:val="none"/>
        </w:rPr>
        <w:t>延期办理巨额赎回申请、</w:t>
      </w:r>
      <w:r>
        <w:rPr>
          <w:rFonts w:ascii="仿宋_GB2312" w:hAnsi="宋体" w:cs="宋体"/>
          <w:b/>
          <w:bCs/>
          <w:color w:val="auto"/>
          <w:kern w:val="0"/>
          <w:szCs w:val="24"/>
          <w:highlight w:val="none"/>
          <w:u w:val="none"/>
        </w:rPr>
        <w:t>暂停接受投资者赎回申请、延缓支付赎回款项、暂停理财产品估值、</w:t>
      </w:r>
      <w:r>
        <w:rPr>
          <w:rFonts w:hint="eastAsia" w:ascii="仿宋_GB2312" w:hAnsi="宋体" w:cs="宋体"/>
          <w:b/>
          <w:bCs/>
          <w:color w:val="auto"/>
          <w:kern w:val="0"/>
          <w:szCs w:val="24"/>
          <w:highlight w:val="none"/>
          <w:u w:val="none"/>
          <w:lang w:eastAsia="zh-CN"/>
        </w:rPr>
        <w:t>收取短期赎回费、</w:t>
      </w:r>
      <w:r>
        <w:rPr>
          <w:rFonts w:ascii="仿宋_GB2312" w:hAnsi="宋体" w:cs="宋体"/>
          <w:b/>
          <w:bCs/>
          <w:color w:val="auto"/>
          <w:kern w:val="0"/>
          <w:szCs w:val="24"/>
          <w:highlight w:val="none"/>
          <w:u w:val="none"/>
        </w:rPr>
        <w:t>采用摆动定价等情形时，产品管理人将于</w:t>
      </w:r>
      <w:r>
        <w:rPr>
          <w:rFonts w:hint="eastAsia" w:ascii="仿宋_GB2312" w:hAnsi="宋体" w:cs="宋体"/>
          <w:b/>
          <w:bCs/>
          <w:color w:val="auto"/>
          <w:kern w:val="0"/>
          <w:szCs w:val="24"/>
          <w:highlight w:val="none"/>
          <w:u w:val="none"/>
        </w:rPr>
        <w:t>情形发生</w:t>
      </w:r>
      <w:r>
        <w:rPr>
          <w:rFonts w:hint="eastAsia" w:ascii="仿宋_GB2312" w:hAnsi="宋体" w:cs="宋体"/>
          <w:b/>
          <w:bCs/>
          <w:color w:val="auto"/>
          <w:kern w:val="0"/>
          <w:szCs w:val="24"/>
          <w:highlight w:val="none"/>
          <w:u w:val="none"/>
          <w:lang w:val="en-US" w:eastAsia="zh-CN"/>
        </w:rPr>
        <w:t>后</w:t>
      </w:r>
      <w:r>
        <w:rPr>
          <w:rFonts w:ascii="仿宋_GB2312" w:hAnsi="宋体" w:cs="宋体"/>
          <w:b/>
          <w:bCs/>
          <w:color w:val="auto"/>
          <w:kern w:val="0"/>
          <w:szCs w:val="24"/>
          <w:highlight w:val="none"/>
          <w:u w:val="none"/>
        </w:rPr>
        <w:t>3</w:t>
      </w:r>
      <w:r>
        <w:rPr>
          <w:rFonts w:hint="eastAsia" w:ascii="仿宋_GB2312" w:hAnsi="宋体" w:cs="宋体"/>
          <w:b/>
          <w:bCs/>
          <w:color w:val="auto"/>
          <w:kern w:val="0"/>
          <w:szCs w:val="24"/>
          <w:highlight w:val="none"/>
          <w:u w:val="none"/>
        </w:rPr>
        <w:t>个</w:t>
      </w:r>
      <w:r>
        <w:rPr>
          <w:rFonts w:hint="eastAsia" w:ascii="仿宋_GB2312" w:hAnsi="宋体" w:cs="宋体"/>
          <w:b/>
          <w:bCs/>
          <w:color w:val="auto"/>
          <w:kern w:val="0"/>
          <w:szCs w:val="24"/>
          <w:highlight w:val="none"/>
          <w:u w:val="none"/>
          <w:lang w:eastAsia="zh-CN"/>
        </w:rPr>
        <w:t>交易日</w:t>
      </w:r>
      <w:r>
        <w:rPr>
          <w:rFonts w:hint="eastAsia" w:ascii="仿宋_GB2312" w:hAnsi="宋体" w:cs="宋体"/>
          <w:b/>
          <w:bCs/>
          <w:color w:val="auto"/>
          <w:kern w:val="0"/>
          <w:szCs w:val="24"/>
          <w:highlight w:val="none"/>
          <w:u w:val="none"/>
        </w:rPr>
        <w:t>内告知投资者，并说明运用相关措施的原因和拟采取的应对安排等。在发生涉及产品认购、申购或赎回事项调整或潜在影响投资者赎回等事项时，管理人将发布临时公告。</w:t>
      </w:r>
    </w:p>
    <w:p w14:paraId="336998EC">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w:t>
      </w:r>
      <w:r>
        <w:rPr>
          <w:rFonts w:ascii="仿宋_GB2312" w:hAnsi="宋体" w:cs="宋体"/>
          <w:color w:val="auto"/>
          <w:kern w:val="0"/>
          <w:szCs w:val="24"/>
          <w:highlight w:val="none"/>
          <w:u w:val="none"/>
        </w:rPr>
        <w:t>3）理财产品清算期超过5</w:t>
      </w:r>
      <w:r>
        <w:rPr>
          <w:rFonts w:hint="eastAsia" w:ascii="仿宋_GB2312" w:hAnsi="宋体" w:cs="宋体"/>
          <w:color w:val="auto"/>
          <w:kern w:val="0"/>
          <w:szCs w:val="24"/>
          <w:highlight w:val="none"/>
          <w:u w:val="none"/>
        </w:rPr>
        <w:t>个工作日的，产品管理人应当在理财产品终止前</w:t>
      </w:r>
      <w:r>
        <w:rPr>
          <w:rFonts w:hint="eastAsia" w:ascii="仿宋_GB2312" w:hAnsi="宋体" w:cs="宋体"/>
          <w:color w:val="auto"/>
          <w:kern w:val="0"/>
          <w:szCs w:val="24"/>
          <w:highlight w:val="none"/>
          <w:u w:val="none"/>
          <w:lang w:val="en-US" w:eastAsia="zh-CN"/>
        </w:rPr>
        <w:t>1</w:t>
      </w:r>
      <w:r>
        <w:rPr>
          <w:rFonts w:hint="eastAsia" w:ascii="仿宋_GB2312" w:hAnsi="宋体" w:cs="宋体"/>
          <w:color w:val="auto"/>
          <w:kern w:val="0"/>
          <w:szCs w:val="24"/>
          <w:highlight w:val="none"/>
          <w:u w:val="none"/>
        </w:rPr>
        <w:t>个</w:t>
      </w:r>
      <w:r>
        <w:rPr>
          <w:rFonts w:ascii="仿宋_GB2312" w:hAnsi="宋体" w:cs="宋体"/>
          <w:color w:val="auto"/>
          <w:kern w:val="0"/>
          <w:szCs w:val="24"/>
          <w:highlight w:val="none"/>
          <w:u w:val="none"/>
        </w:rPr>
        <w:t>工作日</w:t>
      </w:r>
      <w:r>
        <w:rPr>
          <w:rFonts w:hint="eastAsia" w:ascii="仿宋_GB2312" w:hAnsi="宋体" w:cs="宋体"/>
          <w:color w:val="auto"/>
          <w:kern w:val="0"/>
          <w:szCs w:val="24"/>
          <w:highlight w:val="none"/>
          <w:u w:val="none"/>
        </w:rPr>
        <w:t>，根据与投资者约定的渠道向投资者进行信息披露。</w:t>
      </w:r>
    </w:p>
    <w:p w14:paraId="5E5D9BB4">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（4）在本产品存续期内，如因国家法律法规、监管规定发生变化，或是出于维护本产品正常运营的需要，在不损害投资者权益的前提下，产品管理人有权对理财产品销售文件进行修订，并提前</w:t>
      </w:r>
      <w:r>
        <w:rPr>
          <w:rFonts w:hint="eastAsia" w:ascii="仿宋_GB2312" w:hAnsi="宋体" w:cs="宋体"/>
          <w:b/>
          <w:color w:val="auto"/>
          <w:kern w:val="0"/>
          <w:szCs w:val="24"/>
          <w:highlight w:val="none"/>
          <w:u w:val="none"/>
          <w:lang w:val="en-US" w:eastAsia="zh-CN"/>
        </w:rPr>
        <w:t>1</w:t>
      </w:r>
      <w:r>
        <w:rPr>
          <w:rFonts w:hint="eastAsia" w:ascii="仿宋_GB2312" w:hAnsi="宋体" w:cs="宋体"/>
          <w:b/>
          <w:color w:val="auto"/>
          <w:kern w:val="0"/>
          <w:szCs w:val="24"/>
          <w:highlight w:val="none"/>
          <w:u w:val="none"/>
        </w:rPr>
        <w:t>个工作日进行公告。</w:t>
      </w:r>
    </w:p>
    <w:p w14:paraId="1A01711D">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w:t>
      </w:r>
      <w:r>
        <w:rPr>
          <w:rFonts w:ascii="仿宋_GB2312" w:hAnsi="宋体" w:cs="宋体"/>
          <w:color w:val="auto"/>
          <w:kern w:val="0"/>
          <w:szCs w:val="24"/>
          <w:highlight w:val="none"/>
          <w:u w:val="none"/>
        </w:rPr>
        <w:t>5）其他临时性公告</w:t>
      </w:r>
    </w:p>
    <w:p w14:paraId="40732D36">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除前述事项外，如出现产品</w:t>
      </w:r>
      <w:r>
        <w:rPr>
          <w:rFonts w:ascii="仿宋_GB2312" w:hAnsi="宋体" w:cs="宋体"/>
          <w:color w:val="auto"/>
          <w:kern w:val="0"/>
          <w:szCs w:val="24"/>
          <w:highlight w:val="none"/>
          <w:u w:val="none"/>
        </w:rPr>
        <w:t>二次清算</w:t>
      </w:r>
      <w:r>
        <w:rPr>
          <w:rFonts w:hint="eastAsia" w:ascii="仿宋_GB2312" w:hAnsi="宋体" w:cs="宋体"/>
          <w:color w:val="auto"/>
          <w:kern w:val="0"/>
          <w:szCs w:val="24"/>
          <w:highlight w:val="none"/>
          <w:u w:val="none"/>
        </w:rPr>
        <w:t>等其他突发事件，应在完成再次清算之日起两个工作日内，向投资者披露清算资金分配情况等信息。</w:t>
      </w:r>
    </w:p>
    <w:p w14:paraId="55C20375">
      <w:pPr>
        <w:widowControl/>
        <w:tabs>
          <w:tab w:val="left" w:pos="709"/>
        </w:tabs>
        <w:adjustRightInd w:val="0"/>
        <w:snapToGrid w:val="0"/>
        <w:spacing w:line="360" w:lineRule="auto"/>
        <w:ind w:firstLine="482" w:firstLineChars="200"/>
        <w:rPr>
          <w:rFonts w:hint="eastAsia" w:ascii="仿宋_GB2312" w:hAnsi="宋体" w:cs="宋体"/>
          <w:b/>
          <w:color w:val="auto"/>
          <w:kern w:val="0"/>
          <w:szCs w:val="24"/>
          <w:highlight w:val="none"/>
          <w:u w:val="none"/>
        </w:rPr>
      </w:pPr>
      <w:r>
        <w:rPr>
          <w:rFonts w:hint="eastAsia" w:ascii="仿宋_GB2312" w:hAnsi="宋体" w:cs="宋体"/>
          <w:b/>
          <w:color w:val="auto"/>
          <w:kern w:val="0"/>
          <w:szCs w:val="24"/>
          <w:highlight w:val="none"/>
          <w:u w:val="none"/>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提下，可由产品管理人决定投资者提前赎回的方式，并通过公告进行披露。若投资者未选择赎回本产品的，则视为已理解并接受产品管理人的相应调整。</w:t>
      </w:r>
    </w:p>
    <w:p w14:paraId="70F7C558">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lang w:eastAsia="zh-CN"/>
        </w:rPr>
      </w:pPr>
      <w:r>
        <w:rPr>
          <w:rFonts w:hint="eastAsia" w:ascii="仿宋_GB2312" w:hAnsi="宋体" w:cs="宋体"/>
          <w:color w:val="auto"/>
          <w:kern w:val="0"/>
          <w:szCs w:val="24"/>
          <w:highlight w:val="none"/>
          <w:u w:val="none"/>
          <w:lang w:eastAsia="zh-CN"/>
        </w:rPr>
        <w:t>产品管理人</w:t>
      </w:r>
      <w:r>
        <w:rPr>
          <w:rFonts w:hint="eastAsia" w:ascii="仿宋_GB2312" w:hAnsi="宋体" w:cs="宋体"/>
          <w:color w:val="auto"/>
          <w:kern w:val="0"/>
          <w:szCs w:val="24"/>
          <w:highlight w:val="none"/>
          <w:u w:val="none"/>
        </w:rPr>
        <w:t>对于理财产品存续期间发生的以下事项，应于知晓或应当知晓相关事项后五个工作日内向投资者披露</w:t>
      </w:r>
      <w:r>
        <w:rPr>
          <w:rFonts w:hint="eastAsia" w:ascii="仿宋_GB2312" w:hAnsi="宋体" w:cs="宋体"/>
          <w:color w:val="auto"/>
          <w:kern w:val="0"/>
          <w:szCs w:val="24"/>
          <w:highlight w:val="none"/>
          <w:u w:val="none"/>
          <w:lang w:eastAsia="zh-CN"/>
        </w:rPr>
        <w:t>：</w:t>
      </w:r>
    </w:p>
    <w:p w14:paraId="4E256597">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1）</w:t>
      </w:r>
      <w:r>
        <w:rPr>
          <w:rFonts w:hint="eastAsia" w:ascii="仿宋_GB2312" w:hAnsi="宋体" w:cs="宋体"/>
          <w:color w:val="auto"/>
          <w:kern w:val="0"/>
          <w:szCs w:val="24"/>
          <w:highlight w:val="none"/>
          <w:u w:val="none"/>
        </w:rPr>
        <w:t>更换理财产品管理人或</w:t>
      </w:r>
      <w:r>
        <w:rPr>
          <w:rFonts w:hint="eastAsia" w:ascii="仿宋_GB2312" w:hAnsi="宋体" w:cs="宋体"/>
          <w:color w:val="auto"/>
          <w:kern w:val="0"/>
          <w:szCs w:val="24"/>
          <w:highlight w:val="none"/>
          <w:u w:val="none"/>
          <w:lang w:eastAsia="zh-CN"/>
        </w:rPr>
        <w:t>产品管理人</w:t>
      </w:r>
      <w:r>
        <w:rPr>
          <w:rFonts w:hint="eastAsia" w:ascii="仿宋_GB2312" w:hAnsi="宋体" w:cs="宋体"/>
          <w:color w:val="auto"/>
          <w:kern w:val="0"/>
          <w:szCs w:val="24"/>
          <w:highlight w:val="none"/>
          <w:u w:val="none"/>
        </w:rPr>
        <w:t>变更实际控制人，更换托管机构，</w:t>
      </w:r>
      <w:r>
        <w:rPr>
          <w:rFonts w:hint="eastAsia" w:ascii="仿宋_GB2312" w:hAnsi="宋体" w:cs="宋体"/>
          <w:color w:val="auto"/>
          <w:kern w:val="0"/>
          <w:szCs w:val="24"/>
          <w:highlight w:val="none"/>
          <w:u w:val="none"/>
          <w:lang w:eastAsia="zh-CN"/>
        </w:rPr>
        <w:t>产品管理人</w:t>
      </w:r>
      <w:r>
        <w:rPr>
          <w:rFonts w:hint="eastAsia" w:ascii="仿宋_GB2312" w:hAnsi="宋体" w:cs="宋体"/>
          <w:color w:val="auto"/>
          <w:kern w:val="0"/>
          <w:szCs w:val="24"/>
          <w:highlight w:val="none"/>
          <w:u w:val="none"/>
        </w:rPr>
        <w:t>或托管</w:t>
      </w:r>
      <w:r>
        <w:rPr>
          <w:rFonts w:hint="eastAsia" w:ascii="仿宋_GB2312" w:hAnsi="宋体" w:cs="宋体"/>
          <w:color w:val="auto"/>
          <w:kern w:val="0"/>
          <w:szCs w:val="24"/>
          <w:highlight w:val="none"/>
          <w:u w:val="none"/>
          <w:lang w:eastAsia="zh-CN"/>
        </w:rPr>
        <w:t>人</w:t>
      </w:r>
      <w:r>
        <w:rPr>
          <w:rFonts w:hint="eastAsia" w:ascii="仿宋_GB2312" w:hAnsi="宋体" w:cs="宋体"/>
          <w:color w:val="auto"/>
          <w:kern w:val="0"/>
          <w:szCs w:val="24"/>
          <w:highlight w:val="none"/>
          <w:u w:val="none"/>
        </w:rPr>
        <w:t>的法定名称、住所发生变更。</w:t>
      </w:r>
    </w:p>
    <w:p w14:paraId="33F46B4F">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2）</w:t>
      </w:r>
      <w:r>
        <w:rPr>
          <w:rFonts w:hint="eastAsia" w:ascii="仿宋_GB2312" w:hAnsi="宋体" w:cs="宋体"/>
          <w:color w:val="auto"/>
          <w:kern w:val="0"/>
          <w:szCs w:val="24"/>
          <w:highlight w:val="none"/>
          <w:u w:val="none"/>
        </w:rPr>
        <w:t>涉及产品穿透后持仓百分之十及以上的单笔资产的诉讼或仲裁，并可能对产品或其投资者权益有重大影响的。</w:t>
      </w:r>
    </w:p>
    <w:p w14:paraId="0BF5492D">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3</w:t>
      </w:r>
      <w:r>
        <w:rPr>
          <w:rFonts w:hint="eastAsia" w:ascii="仿宋_GB2312" w:hAnsi="宋体" w:cs="宋体"/>
          <w:color w:val="auto"/>
          <w:kern w:val="0"/>
          <w:szCs w:val="24"/>
          <w:highlight w:val="none"/>
          <w:u w:val="none"/>
        </w:rPr>
        <w:t>）产品穿透后持仓百分之十及以上的非标准化债权类资产的融资主体、担保主体发生重大行政处罚、重大诉讼或仲裁，或破产、兼并、重组等重大事项，并对其还款能力或担保能力造成重大不利影响；或上述融资主体对其公开市场债务出现不能按时足额还本付息情况的。</w:t>
      </w:r>
    </w:p>
    <w:p w14:paraId="14739FF9">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rPr>
        <w:t>理财产品投资的非标准化资产本身为不良资产及其收益权的，可以不进行临时披露，但应当在季度、半年度、年度报告中披露相关情况。</w:t>
      </w:r>
    </w:p>
    <w:p w14:paraId="3159BD08">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4）</w:t>
      </w:r>
      <w:r>
        <w:rPr>
          <w:rFonts w:hint="eastAsia" w:ascii="仿宋_GB2312" w:hAnsi="宋体" w:cs="宋体"/>
          <w:color w:val="auto"/>
          <w:kern w:val="0"/>
          <w:szCs w:val="24"/>
          <w:highlight w:val="none"/>
          <w:u w:val="none"/>
        </w:rPr>
        <w:t>涉及产品穿透后持仓百分之十及以上的单笔资产的债券违约、股票停牌或退市的。</w:t>
      </w:r>
    </w:p>
    <w:p w14:paraId="1D5C5DC7">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5）</w:t>
      </w:r>
      <w:r>
        <w:rPr>
          <w:rFonts w:hint="eastAsia" w:ascii="仿宋_GB2312" w:hAnsi="宋体" w:cs="宋体"/>
          <w:color w:val="auto"/>
          <w:kern w:val="0"/>
          <w:szCs w:val="24"/>
          <w:highlight w:val="none"/>
          <w:u w:val="none"/>
        </w:rPr>
        <w:t>理财产品份额净值计价错误达份额净值百分之零点五。</w:t>
      </w:r>
    </w:p>
    <w:p w14:paraId="00D36E79">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6）</w:t>
      </w:r>
      <w:r>
        <w:rPr>
          <w:rFonts w:hint="eastAsia" w:ascii="仿宋_GB2312" w:hAnsi="宋体" w:cs="宋体"/>
          <w:color w:val="auto"/>
          <w:kern w:val="0"/>
          <w:szCs w:val="24"/>
          <w:highlight w:val="none"/>
          <w:u w:val="none"/>
        </w:rPr>
        <w:t>金融市场发生重大变化导致理财产品投资比例暂时超出浮动区间且可能对理财产品收益产生重大影响的。</w:t>
      </w:r>
    </w:p>
    <w:p w14:paraId="7F0DBDDA">
      <w:pPr>
        <w:widowControl/>
        <w:tabs>
          <w:tab w:val="left" w:pos="709"/>
        </w:tabs>
        <w:adjustRightInd w:val="0"/>
        <w:snapToGrid w:val="0"/>
        <w:spacing w:line="360" w:lineRule="auto"/>
        <w:ind w:firstLine="480" w:firstLineChars="200"/>
        <w:rPr>
          <w:rFonts w:hint="eastAsia" w:ascii="仿宋_GB2312" w:hAnsi="宋体" w:cs="宋体"/>
          <w:color w:val="auto"/>
          <w:kern w:val="0"/>
          <w:szCs w:val="24"/>
          <w:highlight w:val="none"/>
          <w:u w:val="none"/>
        </w:rPr>
      </w:pPr>
      <w:r>
        <w:rPr>
          <w:rFonts w:hint="eastAsia" w:ascii="仿宋_GB2312" w:hAnsi="宋体" w:cs="宋体"/>
          <w:color w:val="auto"/>
          <w:kern w:val="0"/>
          <w:szCs w:val="24"/>
          <w:highlight w:val="none"/>
          <w:u w:val="none"/>
          <w:lang w:val="en-US" w:eastAsia="zh-CN"/>
        </w:rPr>
        <w:t>7）</w:t>
      </w:r>
      <w:r>
        <w:rPr>
          <w:rFonts w:hint="eastAsia" w:ascii="仿宋_GB2312" w:hAnsi="宋体" w:cs="宋体"/>
          <w:color w:val="auto"/>
          <w:kern w:val="0"/>
          <w:szCs w:val="24"/>
          <w:highlight w:val="none"/>
          <w:u w:val="none"/>
        </w:rPr>
        <w:t>法律法规以及监管规定的其他内容，或者</w:t>
      </w:r>
      <w:r>
        <w:rPr>
          <w:rFonts w:hint="eastAsia" w:ascii="仿宋_GB2312" w:hAnsi="宋体" w:cs="宋体"/>
          <w:color w:val="auto"/>
          <w:kern w:val="0"/>
          <w:szCs w:val="24"/>
          <w:highlight w:val="none"/>
          <w:u w:val="none"/>
          <w:lang w:eastAsia="zh-CN"/>
        </w:rPr>
        <w:t>产品管理人</w:t>
      </w:r>
      <w:r>
        <w:rPr>
          <w:rFonts w:hint="eastAsia" w:ascii="仿宋_GB2312" w:hAnsi="宋体" w:cs="宋体"/>
          <w:color w:val="auto"/>
          <w:kern w:val="0"/>
          <w:szCs w:val="24"/>
          <w:highlight w:val="none"/>
          <w:u w:val="none"/>
        </w:rPr>
        <w:t>认为可能对投资者权益产生重大不利影响的其他事项。</w:t>
      </w:r>
    </w:p>
    <w:p w14:paraId="234FFEDB">
      <w:pPr>
        <w:widowControl/>
        <w:tabs>
          <w:tab w:val="left" w:pos="709"/>
        </w:tabs>
        <w:adjustRightInd w:val="0"/>
        <w:snapToGrid w:val="0"/>
        <w:spacing w:line="360" w:lineRule="auto"/>
        <w:ind w:firstLine="482" w:firstLineChars="200"/>
        <w:rPr>
          <w:rFonts w:hint="eastAsia" w:ascii="仿宋_GB2312" w:hAnsi="宋体" w:cs="宋体"/>
          <w:b/>
          <w:color w:val="auto"/>
          <w:kern w:val="0"/>
          <w:szCs w:val="24"/>
          <w:highlight w:val="none"/>
          <w:u w:val="none"/>
        </w:rPr>
      </w:pPr>
    </w:p>
    <w:p w14:paraId="44BD61A3">
      <w:pPr>
        <w:widowControl/>
        <w:jc w:val="left"/>
        <w:rPr>
          <w:rFonts w:eastAsia="黑体"/>
          <w:color w:val="auto"/>
          <w:kern w:val="44"/>
          <w:sz w:val="28"/>
          <w:highlight w:val="none"/>
          <w:u w:val="none"/>
        </w:rPr>
      </w:pPr>
      <w:r>
        <w:rPr>
          <w:color w:val="auto"/>
          <w:highlight w:val="none"/>
          <w:u w:val="none"/>
        </w:rPr>
        <w:br w:type="page"/>
      </w:r>
    </w:p>
    <w:p w14:paraId="15BF475C">
      <w:pPr>
        <w:pStyle w:val="2"/>
        <w:rPr>
          <w:color w:val="auto"/>
          <w:highlight w:val="none"/>
          <w:u w:val="none"/>
        </w:rPr>
      </w:pPr>
      <w:r>
        <w:rPr>
          <w:rFonts w:hint="eastAsia"/>
          <w:color w:val="auto"/>
          <w:highlight w:val="none"/>
          <w:u w:val="none"/>
          <w:lang w:eastAsia="zh-CN"/>
        </w:rPr>
        <w:t>风险揭示</w:t>
      </w:r>
    </w:p>
    <w:p w14:paraId="2E0FD5F4">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本产品不保证本金和收益，投资者的本金有可能蒙受损失，极端情况下，可能全部或部分受损。投资者应充分认识投资风险，谨慎投资。</w:t>
      </w:r>
      <w:r>
        <w:rPr>
          <w:rFonts w:hint="eastAsia" w:ascii="仿宋_GB2312" w:hAnsi="宋体" w:cs="宋体"/>
          <w:b w:val="0"/>
          <w:color w:val="auto"/>
          <w:kern w:val="0"/>
          <w:szCs w:val="24"/>
          <w:highlight w:val="none"/>
          <w:u w:val="none"/>
          <w:lang w:eastAsia="zh-CN"/>
        </w:rPr>
        <w:t>风险列示</w:t>
      </w:r>
      <w:r>
        <w:rPr>
          <w:rFonts w:hint="default" w:ascii="仿宋_GB2312" w:hAnsi="宋体" w:cs="宋体"/>
          <w:b w:val="0"/>
          <w:color w:val="auto"/>
          <w:kern w:val="0"/>
          <w:szCs w:val="24"/>
          <w:highlight w:val="none"/>
          <w:u w:val="none"/>
        </w:rPr>
        <w:t>如下：</w:t>
      </w:r>
    </w:p>
    <w:p w14:paraId="7BDFFEC2">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（一）政策风险</w:t>
      </w:r>
    </w:p>
    <w:p w14:paraId="06AD8C7C">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584BF9A2">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（二）信用风险</w:t>
      </w:r>
    </w:p>
    <w:p w14:paraId="56440153">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本理财产品所投资的资产或资产组合项下义务人可能出现信用违约情形，无法如期偿付融资本金与利息，则投资者可能面临本金和收益遭受部分甚至全部损失的风险。</w:t>
      </w:r>
    </w:p>
    <w:p w14:paraId="565AE465">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（三）市场风险</w:t>
      </w:r>
    </w:p>
    <w:p w14:paraId="1FB77812">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20EB3C27">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（四）流动性风险</w:t>
      </w:r>
    </w:p>
    <w:p w14:paraId="011E8762">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当市场出现极端情况或开放式产品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1A3CFB89">
      <w:pPr>
        <w:widowControl/>
        <w:tabs>
          <w:tab w:val="left" w:pos="709"/>
        </w:tabs>
        <w:adjustRightInd w:val="0"/>
        <w:snapToGrid w:val="0"/>
        <w:spacing w:line="360" w:lineRule="auto"/>
        <w:ind w:firstLine="482" w:firstLineChars="200"/>
        <w:rPr>
          <w:rFonts w:hint="default" w:ascii="仿宋_GB2312" w:hAnsi="宋体" w:cs="宋体"/>
          <w:b w:val="0"/>
          <w:color w:val="auto"/>
          <w:kern w:val="0"/>
          <w:szCs w:val="24"/>
          <w:highlight w:val="none"/>
          <w:u w:val="none"/>
        </w:rPr>
      </w:pPr>
      <w:r>
        <w:rPr>
          <w:rFonts w:hint="default" w:ascii="仿宋_GB2312" w:hAnsi="宋体" w:cs="宋体"/>
          <w:b/>
          <w:bCs/>
          <w:color w:val="auto"/>
          <w:kern w:val="0"/>
          <w:szCs w:val="24"/>
          <w:highlight w:val="none"/>
          <w:u w:val="none"/>
        </w:rPr>
        <w:t>投资者在本理财产品说明书约定的封闭期、最短持有期及/或其他不可赎回时段内不享有提前赎回权。</w:t>
      </w:r>
      <w:r>
        <w:rPr>
          <w:rFonts w:hint="default" w:ascii="仿宋_GB2312" w:hAnsi="宋体" w:cs="宋体"/>
          <w:b w:val="0"/>
          <w:color w:val="auto"/>
          <w:kern w:val="0"/>
          <w:szCs w:val="24"/>
          <w:highlight w:val="none"/>
          <w:u w:val="none"/>
        </w:rPr>
        <w:t>如果投资者面临用款需求与其他投资机会，可能因所持有的理财产品不能随时赎回或变现，存在用款需求无法满足或错过其他投资机会的风险。</w:t>
      </w:r>
    </w:p>
    <w:p w14:paraId="6EECABF7">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拟投资市场、资产的流动性风险评估：</w:t>
      </w:r>
    </w:p>
    <w:p w14:paraId="3F2C75F0">
      <w:pPr>
        <w:tabs>
          <w:tab w:val="left" w:pos="3119"/>
        </w:tabs>
        <w:autoSpaceDE w:val="0"/>
        <w:autoSpaceDN w:val="0"/>
        <w:spacing w:line="360" w:lineRule="auto"/>
        <w:ind w:right="36" w:rightChars="15"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本理财产品投资范围包括</w:t>
      </w:r>
      <w:r>
        <w:rPr>
          <w:rFonts w:hint="eastAsia" w:ascii="仿宋_GB2312" w:hAnsi="宋体" w:cs="宋体"/>
          <w:bCs/>
          <w:color w:val="auto"/>
          <w:kern w:val="0"/>
          <w:szCs w:val="24"/>
          <w:highlight w:val="none"/>
        </w:rPr>
        <w:t>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r>
        <w:rPr>
          <w:rFonts w:hint="default" w:ascii="仿宋_GB2312" w:hAnsi="宋体" w:cs="宋体"/>
          <w:b w:val="0"/>
          <w:color w:val="auto"/>
          <w:kern w:val="0"/>
          <w:szCs w:val="24"/>
          <w:highlight w:val="none"/>
          <w:u w:val="none"/>
        </w:rPr>
        <w:t>。标的资产主要为标准化债券金融工具，一般情况下具有较好的流动性，同时，本理财产品严格控制开放期内投资于流动性受限资产的投资品种比例。本理财产品管理人会进行标的的分散化投资并结合对各类标的资产的预期流动性状况进行合理配置，以防范流动性风险。</w:t>
      </w:r>
    </w:p>
    <w:p w14:paraId="251AC6D7">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流动性应对措施及对投资者的潜在影响：</w:t>
      </w:r>
    </w:p>
    <w:p w14:paraId="173C1884">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本理财产品管理人将合理安排组合流动性，统筹考虑产品期限、各类标的资产的预期流动性，合理进行资产配置，最大程度防范流动性风险。</w:t>
      </w:r>
    </w:p>
    <w:p w14:paraId="4951201A">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产品管理人可依照法律法规及理财产品销售文件的约定，综合运用各类流动性应对措施，作为特定情形下流动性风险管理的辅助手段，包括但不限于：</w:t>
      </w:r>
    </w:p>
    <w:p w14:paraId="14694D33">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（1）认购/申购风险应对措施，包括:设定单一投资者认购/申购金额上限、设定本理财产品单日净认购/申购比例上限、拒绝大额认购/申购、暂停认购/申购，以及国家金融监督管理总局规定的其他措施。</w:t>
      </w:r>
    </w:p>
    <w:p w14:paraId="376AC4FA">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（2）赎回风险应对措施，包括：设置赎回上限、延期办理巨额赎回申请、暂停接受赎回申请、延缓支付赎回款项、收取短期赎回费、暂停理财产品估值、摆动定价，以及国家金融监督管理总局规定的其他措施。</w:t>
      </w:r>
    </w:p>
    <w:p w14:paraId="2DF27DF4">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1)延期办理巨额赎回申请</w:t>
      </w:r>
    </w:p>
    <w:p w14:paraId="707F65CF">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若理财产品管理人采用延期办理巨额赎回申请的流动性风险应对措施，投资者的赎回申请将无法按时全额获得确认，投资者自身的流动性可能受到影响，并将额外承担市场波动对本理财产品净值的影响。</w:t>
      </w:r>
    </w:p>
    <w:p w14:paraId="63C61E35">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2）暂停接受赎回申请或延缓支付赎回款项</w:t>
      </w:r>
    </w:p>
    <w:p w14:paraId="20E128D5">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若理财产品管理人采用暂停接受赎回申请或延缓支付赎回款项的流动性风险应对措施，投资者面临在暂停赎回期间将无法赎回其持有的产品份额的风险，接收赎回款项的时间将可能比一般正常情形下有所延迟。</w:t>
      </w:r>
    </w:p>
    <w:p w14:paraId="0FE0D048">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3</w:t>
      </w:r>
      <w:r>
        <w:rPr>
          <w:rFonts w:hint="eastAsia" w:ascii="仿宋_GB2312" w:hAnsi="宋体" w:cs="宋体"/>
          <w:b/>
          <w:bCs/>
          <w:color w:val="auto"/>
          <w:kern w:val="0"/>
          <w:szCs w:val="24"/>
          <w:highlight w:val="none"/>
          <w:u w:val="none"/>
          <w:lang w:eastAsia="zh-CN"/>
        </w:rPr>
        <w:t>）</w:t>
      </w:r>
      <w:r>
        <w:rPr>
          <w:rFonts w:hint="default" w:ascii="仿宋_GB2312" w:hAnsi="宋体" w:cs="宋体"/>
          <w:b/>
          <w:bCs/>
          <w:color w:val="auto"/>
          <w:kern w:val="0"/>
          <w:szCs w:val="24"/>
          <w:highlight w:val="none"/>
          <w:u w:val="none"/>
        </w:rPr>
        <w:t>暂停理财产品估值</w:t>
      </w:r>
    </w:p>
    <w:p w14:paraId="2FBDCF8E">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若理财产品管理人采用暂停理财产品估值的流动性风险应对措施，投资人没有可供参考的产品份额净值，同时赎回申请可能被暂停接受，或被延缓支付赎回款项。</w:t>
      </w:r>
    </w:p>
    <w:p w14:paraId="36AB6109">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4</w:t>
      </w:r>
      <w:r>
        <w:rPr>
          <w:rFonts w:hint="eastAsia" w:ascii="仿宋_GB2312" w:hAnsi="宋体" w:cs="宋体"/>
          <w:b/>
          <w:bCs/>
          <w:color w:val="auto"/>
          <w:kern w:val="0"/>
          <w:szCs w:val="24"/>
          <w:highlight w:val="none"/>
          <w:u w:val="none"/>
          <w:lang w:eastAsia="zh-CN"/>
        </w:rPr>
        <w:t>）</w:t>
      </w:r>
      <w:r>
        <w:rPr>
          <w:rFonts w:hint="default" w:ascii="仿宋_GB2312" w:hAnsi="宋体" w:cs="宋体"/>
          <w:b/>
          <w:bCs/>
          <w:color w:val="auto"/>
          <w:kern w:val="0"/>
          <w:szCs w:val="24"/>
          <w:highlight w:val="none"/>
          <w:u w:val="none"/>
        </w:rPr>
        <w:t>摆动定价</w:t>
      </w:r>
    </w:p>
    <w:p w14:paraId="6E7EA47B">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若理财产品管理人采用摆动定价机制的流动性风险应对措施，则通过调整理财产品份额净值的方式，将理财产品调整投资组合的市场冲击成本分配给实际申购、赎回的投资者，以期减少对存量投资者利益的不利影响。</w:t>
      </w:r>
    </w:p>
    <w:p w14:paraId="58BEFF92">
      <w:pPr>
        <w:widowControl/>
        <w:numPr>
          <w:ilvl w:val="0"/>
          <w:numId w:val="5"/>
        </w:numPr>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lang w:val="en-US" w:eastAsia="zh-CN"/>
        </w:rPr>
      </w:pPr>
      <w:r>
        <w:rPr>
          <w:rFonts w:hint="default" w:ascii="仿宋_GB2312" w:hAnsi="宋体" w:cs="宋体"/>
          <w:b/>
          <w:bCs/>
          <w:color w:val="auto"/>
          <w:kern w:val="0"/>
          <w:szCs w:val="24"/>
          <w:highlight w:val="none"/>
          <w:u w:val="none"/>
          <w:lang w:val="en-US" w:eastAsia="zh-CN"/>
        </w:rPr>
        <w:t>收取短期赎回费</w:t>
      </w:r>
    </w:p>
    <w:p w14:paraId="431D92BB">
      <w:pPr>
        <w:widowControl/>
        <w:numPr>
          <w:ilvl w:val="0"/>
          <w:numId w:val="0"/>
        </w:numPr>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lang w:val="en-US" w:eastAsia="zh-CN"/>
        </w:rPr>
        <w:t>对持续持有期少于7日的投资者收取一定比例的赎回费，并全额计入理财财产。在此情形下，投资者在提交赎回申请时，实际赎回金额可能少于按照赎回申请当日理财产品份额净值计算出的赎回金额。若实施收取短期赎回费措施，管理人应于3个交易日内告知本理财产品的相关投资者。</w:t>
      </w:r>
    </w:p>
    <w:p w14:paraId="3F4235C0">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具体应对措施使用情形及程序详见</w:t>
      </w:r>
      <w:r>
        <w:rPr>
          <w:rFonts w:hint="eastAsia" w:ascii="仿宋_GB2312" w:hAnsi="宋体" w:cs="宋体"/>
          <w:b/>
          <w:bCs/>
          <w:color w:val="auto"/>
          <w:kern w:val="0"/>
          <w:szCs w:val="24"/>
          <w:highlight w:val="none"/>
          <w:u w:val="none"/>
          <w:lang w:eastAsia="zh-CN"/>
        </w:rPr>
        <w:t>“</w:t>
      </w:r>
      <w:r>
        <w:rPr>
          <w:rFonts w:hint="default" w:ascii="仿宋_GB2312" w:hAnsi="宋体" w:cs="宋体"/>
          <w:b/>
          <w:bCs/>
          <w:color w:val="auto"/>
          <w:kern w:val="0"/>
          <w:szCs w:val="24"/>
          <w:highlight w:val="none"/>
          <w:u w:val="none"/>
        </w:rPr>
        <w:t>第一节</w:t>
      </w:r>
      <w:r>
        <w:rPr>
          <w:rFonts w:hint="eastAsia" w:ascii="仿宋_GB2312" w:hAnsi="宋体" w:cs="宋体"/>
          <w:b/>
          <w:bCs/>
          <w:color w:val="auto"/>
          <w:kern w:val="0"/>
          <w:szCs w:val="24"/>
          <w:highlight w:val="none"/>
          <w:u w:val="none"/>
          <w:lang w:val="en-US" w:eastAsia="zh-CN"/>
        </w:rPr>
        <w:t xml:space="preserve"> </w:t>
      </w:r>
      <w:r>
        <w:rPr>
          <w:rFonts w:hint="default" w:ascii="仿宋_GB2312" w:hAnsi="宋体" w:cs="宋体"/>
          <w:b/>
          <w:bCs/>
          <w:color w:val="auto"/>
          <w:kern w:val="0"/>
          <w:szCs w:val="24"/>
          <w:highlight w:val="none"/>
          <w:u w:val="none"/>
        </w:rPr>
        <w:t>理财产品说明书关键要素</w:t>
      </w:r>
      <w:r>
        <w:rPr>
          <w:rFonts w:hint="eastAsia" w:ascii="仿宋_GB2312" w:hAnsi="宋体" w:cs="宋体"/>
          <w:b/>
          <w:bCs/>
          <w:color w:val="auto"/>
          <w:kern w:val="0"/>
          <w:szCs w:val="24"/>
          <w:highlight w:val="none"/>
          <w:u w:val="none"/>
          <w:lang w:eastAsia="zh-CN"/>
        </w:rPr>
        <w:t>”“第四节</w:t>
      </w:r>
      <w:r>
        <w:rPr>
          <w:rFonts w:hint="eastAsia" w:ascii="仿宋_GB2312" w:hAnsi="宋体" w:cs="宋体"/>
          <w:b/>
          <w:bCs/>
          <w:color w:val="auto"/>
          <w:kern w:val="0"/>
          <w:szCs w:val="24"/>
          <w:highlight w:val="none"/>
          <w:u w:val="none"/>
          <w:lang w:val="en-US" w:eastAsia="zh-CN"/>
        </w:rPr>
        <w:t xml:space="preserve"> </w:t>
      </w:r>
      <w:r>
        <w:rPr>
          <w:rFonts w:hint="eastAsia" w:ascii="仿宋_GB2312" w:hAnsi="宋体" w:cs="宋体"/>
          <w:b/>
          <w:bCs/>
          <w:color w:val="auto"/>
          <w:kern w:val="0"/>
          <w:szCs w:val="24"/>
          <w:highlight w:val="none"/>
          <w:u w:val="none"/>
          <w:lang w:eastAsia="zh-CN"/>
        </w:rPr>
        <w:t>理财产品的认购与成立”“第五节</w:t>
      </w:r>
      <w:r>
        <w:rPr>
          <w:rFonts w:hint="eastAsia" w:ascii="仿宋_GB2312" w:hAnsi="宋体" w:cs="宋体"/>
          <w:b/>
          <w:bCs/>
          <w:color w:val="auto"/>
          <w:kern w:val="0"/>
          <w:szCs w:val="24"/>
          <w:highlight w:val="none"/>
          <w:u w:val="none"/>
          <w:lang w:val="en-US" w:eastAsia="zh-CN"/>
        </w:rPr>
        <w:t xml:space="preserve"> </w:t>
      </w:r>
      <w:r>
        <w:rPr>
          <w:rFonts w:hint="eastAsia" w:ascii="仿宋_GB2312" w:hAnsi="宋体" w:cs="宋体"/>
          <w:b/>
          <w:bCs/>
          <w:color w:val="auto"/>
          <w:kern w:val="0"/>
          <w:szCs w:val="24"/>
          <w:highlight w:val="none"/>
          <w:u w:val="none"/>
          <w:lang w:eastAsia="zh-CN"/>
        </w:rPr>
        <w:t>理财产品的申购与赎回”</w:t>
      </w:r>
      <w:r>
        <w:rPr>
          <w:rFonts w:hint="default" w:ascii="仿宋_GB2312" w:hAnsi="宋体" w:cs="宋体"/>
          <w:b/>
          <w:bCs/>
          <w:color w:val="auto"/>
          <w:kern w:val="0"/>
          <w:szCs w:val="24"/>
          <w:highlight w:val="none"/>
          <w:u w:val="none"/>
        </w:rPr>
        <w:t>。敬请投资者留意管理人运用上述流动性风险应对措施的相关风险。</w:t>
      </w:r>
    </w:p>
    <w:p w14:paraId="43561E30">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（五）经营管理风险</w:t>
      </w:r>
    </w:p>
    <w:p w14:paraId="0D9E3598">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在本理财产品运作过程中，投资管理各方受经验、技能、判断力、执行力等综合因素的限制，可能对本理财产品的运作与管理形成一定影响，投资者可能面临本金和收益遭受部分甚至全部损失的风险。</w:t>
      </w:r>
    </w:p>
    <w:p w14:paraId="42C63822">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（六）交易对手风险</w:t>
      </w:r>
    </w:p>
    <w:p w14:paraId="5F83E7E0">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由于交易对手受偿付能力、流动性管理能力以及及时履约意愿等因素影响，导致交易对手不履约，可能影响本理财产品的投资管理，则投资者可能面临本金和收益遭受部分甚至全部损失的风险。</w:t>
      </w:r>
    </w:p>
    <w:p w14:paraId="6216DA63">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（七）操作风险</w:t>
      </w:r>
    </w:p>
    <w:p w14:paraId="5A171400">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产品运作过程中，由于理财产品管理人及理财合作机构因技术系统故障、内部控制存在缺陷或人为因素，导致操作失误或违反操作规程等引起的风险，如内部作业、人员管理、系统操作及事务处理不当或失误等，则投资者可能面临本金和收益遭受部分甚至全部损失的风险。</w:t>
      </w:r>
    </w:p>
    <w:p w14:paraId="6CA1406D">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（八）代销风险（如有）</w:t>
      </w:r>
    </w:p>
    <w:p w14:paraId="0899FD13">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如本理财产品通过代理销售渠道销售，投资者购买理财产品的资金将由销售机构从投资者清算账户扣收并划付产品管理人，产品到期/终止/赎回时理财本金及收益相应款项由产品管理人按理财产品销售文件约定划付至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488279C8">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（九）募集期延长/缩短风险</w:t>
      </w:r>
    </w:p>
    <w:p w14:paraId="792B84FA">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在本理财产品募集期内，国家宏观政策以及市场相关法律法规政策发生变化、产品募集状况未达到/已达到产品说明书约定的成立条件，或其他经理财产品管理人合理判断需延长/缩短募集期的情形，产品管理人有权宣布本理财产品募集期延长/缩短，本理财产品可能延后/提前成立。</w:t>
      </w:r>
    </w:p>
    <w:p w14:paraId="4E9C6286">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（十）产品不成立风险</w:t>
      </w:r>
    </w:p>
    <w:p w14:paraId="7C2B8D1F">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190BD60F">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（十一）提前终止风险</w:t>
      </w:r>
    </w:p>
    <w:p w14:paraId="49E27225">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004A608D">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（十二）延期分配风险</w:t>
      </w:r>
    </w:p>
    <w:p w14:paraId="280A2E01">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5BB95C59">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（十三）信息传递风险</w:t>
      </w:r>
    </w:p>
    <w:p w14:paraId="526FE569">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理财产品管理人将按照理财产品销售文件中约定的信息披露方式、披露途径向投资者披露涉及本理财产品的各类信息和重大事件，投资者应及时查询了解。如投资者未及时查询相关信息或由于不可抗力（包括但不限于政府行为、自然灾害、疫情等）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60D9B60B">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（十四）关联关系及关联交易风险</w:t>
      </w:r>
    </w:p>
    <w:p w14:paraId="7341B4B3">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双方存在关联关系。</w:t>
      </w:r>
    </w:p>
    <w:p w14:paraId="44657D24">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提请投资者充分知悉、关注本理财产品关联关系和关联交易风险，投资者签署本理财产品销售文件即代表投资者认可且同意上述可能发生的关联交易并自愿承担相关风险。</w:t>
      </w:r>
    </w:p>
    <w:p w14:paraId="6BA226F2">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（十五）再投资风险</w:t>
      </w:r>
    </w:p>
    <w:p w14:paraId="5EB72DE9">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由于浙银理财有权根据市场状况和产品余额情况提前终止本理财产品，因市场利率下滑，投资者可能面临本金和收益再投资收益率降低的风险。</w:t>
      </w:r>
    </w:p>
    <w:p w14:paraId="49715501">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（十六）估值风险</w:t>
      </w:r>
    </w:p>
    <w:p w14:paraId="1D4393D7">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3E24ABAE">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w:t>
      </w:r>
      <w:r>
        <w:rPr>
          <w:rFonts w:hint="eastAsia" w:ascii="仿宋_GB2312" w:hAnsi="宋体" w:cs="宋体"/>
          <w:b w:val="0"/>
          <w:color w:val="auto"/>
          <w:kern w:val="0"/>
          <w:szCs w:val="24"/>
          <w:highlight w:val="none"/>
          <w:u w:val="none"/>
          <w:lang w:eastAsia="zh-CN"/>
        </w:rPr>
        <w:t>浮动管理费</w:t>
      </w:r>
      <w:r>
        <w:rPr>
          <w:rFonts w:hint="default" w:ascii="仿宋_GB2312" w:hAnsi="宋体" w:cs="宋体"/>
          <w:b w:val="0"/>
          <w:color w:val="auto"/>
          <w:kern w:val="0"/>
          <w:szCs w:val="24"/>
          <w:highlight w:val="none"/>
          <w:u w:val="none"/>
        </w:rPr>
        <w:t>，当前述资产管理产品计提</w:t>
      </w:r>
      <w:r>
        <w:rPr>
          <w:rFonts w:hint="eastAsia" w:ascii="仿宋_GB2312" w:hAnsi="宋体" w:cs="宋体"/>
          <w:b w:val="0"/>
          <w:color w:val="auto"/>
          <w:kern w:val="0"/>
          <w:szCs w:val="24"/>
          <w:highlight w:val="none"/>
          <w:u w:val="none"/>
          <w:lang w:eastAsia="zh-CN"/>
        </w:rPr>
        <w:t>浮动管理费</w:t>
      </w:r>
      <w:r>
        <w:rPr>
          <w:rFonts w:hint="default" w:ascii="仿宋_GB2312" w:hAnsi="宋体" w:cs="宋体"/>
          <w:b w:val="0"/>
          <w:color w:val="auto"/>
          <w:kern w:val="0"/>
          <w:szCs w:val="24"/>
          <w:highlight w:val="none"/>
          <w:u w:val="none"/>
        </w:rPr>
        <w:t>时，本理财产品的产品份额净值存在下跌风险。</w:t>
      </w:r>
    </w:p>
    <w:p w14:paraId="1B623B98">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（十七）托管及清算风险</w:t>
      </w:r>
    </w:p>
    <w:p w14:paraId="7203597E">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本理财产品存在托管人，若因托管人操作失误或因任何原因未能按约履行托管人职责，或丧失进行托管的能力或法定资格，均可能给本理财产品带来风险。</w:t>
      </w:r>
    </w:p>
    <w:p w14:paraId="547FC4E5">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（十八）税务风险</w:t>
      </w:r>
    </w:p>
    <w:p w14:paraId="31928008">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5EE45F73">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（十九）不同理财产品份额类别存在差异的风险</w:t>
      </w:r>
    </w:p>
    <w:p w14:paraId="7813C379">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管理人有权根据投资者购买理财产品的金额、销售渠道、客户类型等因素，对投资者所持有的理财产品份额设置不同的理财产品份额类别。不同类别的理财产品份额可能在产品销售名称、产品</w:t>
      </w:r>
      <w:r>
        <w:rPr>
          <w:rFonts w:hint="eastAsia" w:ascii="仿宋_GB2312" w:hAnsi="宋体" w:cs="宋体"/>
          <w:b w:val="0"/>
          <w:color w:val="auto"/>
          <w:kern w:val="0"/>
          <w:szCs w:val="24"/>
          <w:highlight w:val="none"/>
          <w:u w:val="none"/>
          <w:lang w:eastAsia="zh-CN"/>
        </w:rPr>
        <w:t>份额</w:t>
      </w:r>
      <w:r>
        <w:rPr>
          <w:rFonts w:hint="default" w:ascii="仿宋_GB2312" w:hAnsi="宋体" w:cs="宋体"/>
          <w:b w:val="0"/>
          <w:color w:val="auto"/>
          <w:kern w:val="0"/>
          <w:szCs w:val="24"/>
          <w:highlight w:val="none"/>
          <w:u w:val="none"/>
        </w:rPr>
        <w:t>代码、销售渠道、销售</w:t>
      </w:r>
      <w:r>
        <w:rPr>
          <w:rFonts w:hint="eastAsia" w:ascii="仿宋_GB2312" w:hAnsi="宋体" w:cs="宋体"/>
          <w:b w:val="0"/>
          <w:color w:val="auto"/>
          <w:kern w:val="0"/>
          <w:szCs w:val="24"/>
          <w:highlight w:val="none"/>
          <w:u w:val="none"/>
          <w:lang w:eastAsia="zh-CN"/>
        </w:rPr>
        <w:t>对象</w:t>
      </w:r>
      <w:r>
        <w:rPr>
          <w:rFonts w:hint="default" w:ascii="仿宋_GB2312" w:hAnsi="宋体" w:cs="宋体"/>
          <w:b w:val="0"/>
          <w:color w:val="auto"/>
          <w:kern w:val="0"/>
          <w:szCs w:val="24"/>
          <w:highlight w:val="none"/>
          <w:u w:val="none"/>
        </w:rPr>
        <w:t>、销售服务费率、托管费率、收费方式、业绩比较基准、起点</w:t>
      </w:r>
      <w:r>
        <w:rPr>
          <w:rFonts w:hint="eastAsia" w:ascii="仿宋_GB2312" w:hAnsi="宋体" w:cs="宋体"/>
          <w:b w:val="0"/>
          <w:color w:val="auto"/>
          <w:kern w:val="0"/>
          <w:szCs w:val="24"/>
          <w:highlight w:val="none"/>
          <w:u w:val="none"/>
          <w:lang w:eastAsia="zh-CN"/>
        </w:rPr>
        <w:t>销售</w:t>
      </w:r>
      <w:r>
        <w:rPr>
          <w:rFonts w:hint="default" w:ascii="仿宋_GB2312" w:hAnsi="宋体" w:cs="宋体"/>
          <w:b w:val="0"/>
          <w:color w:val="auto"/>
          <w:kern w:val="0"/>
          <w:szCs w:val="24"/>
          <w:highlight w:val="none"/>
          <w:u w:val="none"/>
        </w:rPr>
        <w:t>金额及</w:t>
      </w:r>
      <w:r>
        <w:rPr>
          <w:rFonts w:hint="eastAsia" w:ascii="仿宋_GB2312" w:hAnsi="宋体" w:cs="宋体"/>
          <w:b w:val="0"/>
          <w:color w:val="auto"/>
          <w:kern w:val="0"/>
          <w:szCs w:val="24"/>
          <w:highlight w:val="none"/>
          <w:u w:val="none"/>
          <w:lang w:eastAsia="zh-CN"/>
        </w:rPr>
        <w:t>追加</w:t>
      </w:r>
      <w:r>
        <w:rPr>
          <w:rFonts w:hint="default" w:ascii="仿宋_GB2312" w:hAnsi="宋体" w:cs="宋体"/>
          <w:b w:val="0"/>
          <w:color w:val="auto"/>
          <w:kern w:val="0"/>
          <w:szCs w:val="24"/>
          <w:highlight w:val="none"/>
          <w:u w:val="none"/>
        </w:rPr>
        <w:t>递增金额、认/申购上限金额、认/申购和赎回数量限制、持有金额上/下限、单一投资者持有份额占比上限、产品规模上限、产品份额净值的计算结果及信息披露等方面存在差异。</w:t>
      </w:r>
    </w:p>
    <w:p w14:paraId="1EAFA690">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（二十）投资特定风险</w:t>
      </w:r>
    </w:p>
    <w:p w14:paraId="50FE8576">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本理财产品因拟投资市场和资产类别可能面临的特定风险如下：</w:t>
      </w:r>
    </w:p>
    <w:p w14:paraId="1778A2AD">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1.投资于固定收益类资产</w:t>
      </w:r>
      <w:r>
        <w:rPr>
          <w:rFonts w:hint="eastAsia" w:ascii="仿宋_GB2312" w:hAnsi="宋体" w:cs="宋体"/>
          <w:b/>
          <w:bCs/>
          <w:color w:val="auto"/>
          <w:kern w:val="0"/>
          <w:szCs w:val="24"/>
          <w:highlight w:val="none"/>
          <w:u w:val="none"/>
          <w:lang w:eastAsia="zh-CN"/>
        </w:rPr>
        <w:t>（如有）</w:t>
      </w:r>
      <w:r>
        <w:rPr>
          <w:rFonts w:hint="default" w:ascii="仿宋_GB2312" w:hAnsi="宋体" w:cs="宋体"/>
          <w:b/>
          <w:bCs/>
          <w:color w:val="auto"/>
          <w:kern w:val="0"/>
          <w:szCs w:val="24"/>
          <w:highlight w:val="none"/>
          <w:u w:val="none"/>
        </w:rPr>
        <w:t>的可能风险：</w:t>
      </w:r>
    </w:p>
    <w:p w14:paraId="15ED8975">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可转/交换债券收益与对应标的股票股价直接挂钩，债券价格可能受之影响；转股期内，对应标的股票价格可能低于转股价格，若选择转股，产品将承受标的股票价格低于转股价格之间的价差；转股价格向下修正条款触发时，存在发行方不同意修正转股价格的风险；赎回条款可能导致债券提前兑付或转股期缩短而影响投资收益的风险；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14:paraId="39A73AE5">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2.投资于股票等权益类资产（如有）的可能风险：</w:t>
      </w:r>
    </w:p>
    <w:p w14:paraId="4DB65F1A">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w:t>
      </w:r>
    </w:p>
    <w:p w14:paraId="7C955CCD">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w:t>
      </w:r>
    </w:p>
    <w:p w14:paraId="6F8046AC">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3.投资于商品及金融衍生品类资产（如有）的可能风险：</w:t>
      </w:r>
    </w:p>
    <w:p w14:paraId="42ABE429">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基础产品价格波动造成衍生品价格波动，高杠杆和跨期交易可能加剧衍生品价格波动的市场风险；衍生品发行方或交易对手方违约或不履行合约的导致的信用风险；缺乏交易对手导致无法平仓/变现、流动资金不足或无法追加保证金导致被迫平仓造成亏损的风险；因内部程序、人员、系统操作不当或因外部事件导致损失的操作风险；部分衍生品操作相关法律法规的滞后，交易合约在法律范围内无效而无法履约或交易合约订立不当产生的法律风险。由于期货与现货间的价差的波动，影响套期保值或套利效果，使之发生意外损益的基差风险。</w:t>
      </w:r>
    </w:p>
    <w:p w14:paraId="7D493327">
      <w:pPr>
        <w:widowControl/>
        <w:tabs>
          <w:tab w:val="left" w:pos="709"/>
        </w:tabs>
        <w:adjustRightInd w:val="0"/>
        <w:snapToGrid w:val="0"/>
        <w:spacing w:line="360" w:lineRule="auto"/>
        <w:ind w:firstLine="482" w:firstLineChars="200"/>
        <w:rPr>
          <w:rFonts w:hint="default" w:ascii="仿宋_GB2312" w:hAnsi="宋体" w:cs="宋体"/>
          <w:b/>
          <w:bCs/>
          <w:color w:val="auto"/>
          <w:kern w:val="0"/>
          <w:szCs w:val="24"/>
          <w:highlight w:val="none"/>
          <w:u w:val="none"/>
        </w:rPr>
      </w:pPr>
      <w:r>
        <w:rPr>
          <w:rFonts w:hint="default" w:ascii="仿宋_GB2312" w:hAnsi="宋体" w:cs="宋体"/>
          <w:b/>
          <w:bCs/>
          <w:color w:val="auto"/>
          <w:kern w:val="0"/>
          <w:szCs w:val="24"/>
          <w:highlight w:val="none"/>
          <w:u w:val="none"/>
        </w:rPr>
        <w:t>（二十一）其他风险</w:t>
      </w:r>
    </w:p>
    <w:p w14:paraId="088224AA">
      <w:pPr>
        <w:widowControl/>
        <w:tabs>
          <w:tab w:val="left" w:pos="709"/>
        </w:tabs>
        <w:adjustRightInd w:val="0"/>
        <w:snapToGrid w:val="0"/>
        <w:spacing w:line="360" w:lineRule="auto"/>
        <w:ind w:firstLine="480" w:firstLineChars="200"/>
        <w:rPr>
          <w:rFonts w:hint="default" w:ascii="仿宋_GB2312" w:hAnsi="宋体" w:cs="宋体"/>
          <w:b w:val="0"/>
          <w:color w:val="auto"/>
          <w:kern w:val="0"/>
          <w:szCs w:val="24"/>
          <w:highlight w:val="none"/>
          <w:u w:val="none"/>
        </w:rPr>
      </w:pPr>
      <w:r>
        <w:rPr>
          <w:rFonts w:hint="default" w:ascii="仿宋_GB2312" w:hAnsi="宋体" w:cs="宋体"/>
          <w:b w:val="0"/>
          <w:color w:val="auto"/>
          <w:kern w:val="0"/>
          <w:szCs w:val="24"/>
          <w:highlight w:val="none"/>
          <w:u w:val="none"/>
        </w:rPr>
        <w:t>自然灾害、疫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64325924">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r>
        <w:rPr>
          <w:rFonts w:hint="default" w:ascii="仿宋_GB2312" w:hAnsi="宋体" w:cs="宋体"/>
          <w:b w:val="0"/>
          <w:color w:val="auto"/>
          <w:kern w:val="0"/>
          <w:szCs w:val="24"/>
          <w:highlight w:val="none"/>
          <w:u w:val="none"/>
        </w:rPr>
        <w:t>以上所揭示事项仅为列举性质，未能尽述列明投资者投资本理财产品所面临的全部风险和可能导致投资者资产损失的所有因素。投资者应充分认识投资风险，谨慎投资</w:t>
      </w:r>
      <w:r>
        <w:rPr>
          <w:rFonts w:hint="default" w:ascii="仿宋_GB2312" w:hAnsi="宋体" w:eastAsia="仿宋_GB2312" w:cs="宋体"/>
          <w:b w:val="0"/>
          <w:bCs w:val="0"/>
          <w:color w:val="auto"/>
          <w:kern w:val="0"/>
          <w:sz w:val="24"/>
          <w:szCs w:val="24"/>
          <w:highlight w:val="none"/>
          <w:u w:val="none"/>
        </w:rPr>
        <w:t>。</w:t>
      </w:r>
    </w:p>
    <w:p w14:paraId="5413EFBF">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7C64A4FC">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54680B20">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11948848">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62479F63">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59A3F712">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25AE57FE">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0D380AB0">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718827E1">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54400829">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781741EE">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240A8833">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23B46670">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676691A7">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603C6ABC">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3B4C46D9">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2645D3BC">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40933AE2">
      <w:pPr>
        <w:widowControl/>
        <w:tabs>
          <w:tab w:val="left" w:pos="709"/>
        </w:tabs>
        <w:adjustRightInd w:val="0"/>
        <w:snapToGrid w:val="0"/>
        <w:spacing w:line="360" w:lineRule="auto"/>
        <w:ind w:firstLine="480" w:firstLineChars="200"/>
        <w:rPr>
          <w:rFonts w:hint="default" w:ascii="仿宋_GB2312" w:hAnsi="宋体" w:eastAsia="仿宋_GB2312" w:cs="宋体"/>
          <w:b w:val="0"/>
          <w:bCs w:val="0"/>
          <w:color w:val="auto"/>
          <w:kern w:val="0"/>
          <w:sz w:val="24"/>
          <w:szCs w:val="24"/>
          <w:highlight w:val="none"/>
          <w:u w:val="none"/>
        </w:rPr>
      </w:pPr>
    </w:p>
    <w:p w14:paraId="5758B0B6">
      <w:pPr>
        <w:pStyle w:val="2"/>
        <w:rPr>
          <w:color w:val="auto"/>
          <w:highlight w:val="none"/>
        </w:rPr>
      </w:pPr>
      <w:r>
        <w:rPr>
          <w:rFonts w:hint="eastAsia"/>
          <w:color w:val="auto"/>
          <w:highlight w:val="none"/>
          <w:u w:val="none"/>
          <w:lang w:eastAsia="zh-CN"/>
        </w:rPr>
        <w:t>特别提示</w:t>
      </w:r>
    </w:p>
    <w:p w14:paraId="07AE79E9">
      <w:pPr>
        <w:widowControl/>
        <w:tabs>
          <w:tab w:val="left" w:pos="709"/>
        </w:tabs>
        <w:snapToGrid w:val="0"/>
        <w:spacing w:line="360" w:lineRule="auto"/>
        <w:ind w:firstLine="482" w:firstLineChars="200"/>
        <w:rPr>
          <w:rFonts w:ascii="仿宋_GB2312" w:hAnsi="宋体" w:cs="宋体"/>
          <w:b/>
          <w:bCs/>
          <w:color w:val="auto"/>
          <w:kern w:val="0"/>
          <w:szCs w:val="24"/>
          <w:highlight w:val="none"/>
          <w:u w:val="none"/>
        </w:rPr>
      </w:pPr>
      <w:r>
        <w:rPr>
          <w:rFonts w:hint="eastAsia" w:ascii="仿宋_GB2312" w:hAnsi="宋体" w:cs="宋体"/>
          <w:b/>
          <w:bCs/>
          <w:color w:val="auto"/>
          <w:kern w:val="0"/>
          <w:szCs w:val="24"/>
          <w:highlight w:val="none"/>
          <w:u w:val="none"/>
        </w:rPr>
        <w:t>若本理财产品所投资资产到期不能全部偿付导致资产减值甚至本金大幅损失，则浙银理财将以产品管理人名义，代表投资者利益行使诉讼权利或者实施其他法律行为。</w:t>
      </w:r>
    </w:p>
    <w:p w14:paraId="4D892D5A">
      <w:pPr>
        <w:widowControl/>
        <w:tabs>
          <w:tab w:val="left" w:pos="709"/>
        </w:tabs>
        <w:snapToGrid w:val="0"/>
        <w:spacing w:line="360" w:lineRule="auto"/>
        <w:ind w:firstLine="482" w:firstLineChars="200"/>
        <w:rPr>
          <w:rFonts w:ascii="仿宋_GB2312" w:hAnsi="宋体" w:cs="宋体"/>
          <w:b/>
          <w:bCs/>
          <w:color w:val="auto"/>
          <w:kern w:val="0"/>
          <w:szCs w:val="24"/>
          <w:highlight w:val="none"/>
          <w:u w:val="none"/>
        </w:rPr>
      </w:pPr>
      <w:r>
        <w:rPr>
          <w:rFonts w:hint="eastAsia" w:ascii="仿宋_GB2312" w:hAnsi="宋体" w:cs="宋体"/>
          <w:b/>
          <w:bCs/>
          <w:color w:val="auto"/>
          <w:kern w:val="0"/>
          <w:szCs w:val="24"/>
          <w:highlight w:val="none"/>
          <w:u w:val="none"/>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14:paraId="73CB47DF">
      <w:pPr>
        <w:widowControl/>
        <w:tabs>
          <w:tab w:val="left" w:pos="709"/>
        </w:tabs>
        <w:snapToGrid w:val="0"/>
        <w:spacing w:line="360" w:lineRule="auto"/>
        <w:ind w:firstLine="482" w:firstLineChars="200"/>
        <w:rPr>
          <w:rFonts w:ascii="仿宋_GB2312" w:hAnsi="宋体" w:cs="宋体"/>
          <w:b/>
          <w:bCs/>
          <w:color w:val="auto"/>
          <w:kern w:val="0"/>
          <w:szCs w:val="24"/>
          <w:highlight w:val="none"/>
          <w:u w:val="none"/>
        </w:rPr>
      </w:pPr>
      <w:r>
        <w:rPr>
          <w:rFonts w:hint="eastAsia" w:ascii="仿宋_GB2312" w:hAnsi="宋体" w:cs="宋体"/>
          <w:b/>
          <w:bCs/>
          <w:color w:val="auto"/>
          <w:kern w:val="0"/>
          <w:szCs w:val="24"/>
          <w:highlight w:val="none"/>
          <w:u w:val="none"/>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14:paraId="6D89BA75">
      <w:pPr>
        <w:widowControl/>
        <w:tabs>
          <w:tab w:val="left" w:pos="709"/>
        </w:tabs>
        <w:snapToGrid w:val="0"/>
        <w:spacing w:line="360" w:lineRule="auto"/>
        <w:ind w:firstLine="480" w:firstLineChars="200"/>
        <w:rPr>
          <w:rFonts w:ascii="仿宋_GB2312" w:hAnsi="宋体" w:cs="宋体"/>
          <w:b/>
          <w:bCs/>
          <w:color w:val="auto"/>
          <w:kern w:val="0"/>
          <w:szCs w:val="24"/>
          <w:highlight w:val="none"/>
          <w:u w:val="none"/>
        </w:rPr>
      </w:pPr>
      <w:r>
        <w:rPr>
          <w:rFonts w:hint="eastAsia"/>
          <w:color w:val="auto"/>
          <w:highlight w:val="none"/>
          <w:u w:val="none"/>
        </w:rPr>
        <w:t>本产品的转让将依照理财产品销售文件及销售机构的业务政策执行。</w:t>
      </w:r>
    </w:p>
    <w:p w14:paraId="39A6901F">
      <w:pPr>
        <w:tabs>
          <w:tab w:val="left" w:pos="709"/>
        </w:tabs>
        <w:snapToGrid w:val="0"/>
        <w:spacing w:line="360" w:lineRule="auto"/>
        <w:ind w:firstLine="480" w:firstLineChars="200"/>
        <w:rPr>
          <w:color w:val="auto"/>
          <w:highlight w:val="none"/>
          <w:u w:val="none"/>
        </w:rPr>
      </w:pPr>
      <w:r>
        <w:rPr>
          <w:rFonts w:hint="eastAsia" w:ascii="仿宋_GB2312" w:hAnsi="宋体" w:cs="宋体"/>
          <w:bCs/>
          <w:color w:val="auto"/>
          <w:kern w:val="0"/>
          <w:szCs w:val="24"/>
          <w:highlight w:val="none"/>
          <w:u w:val="none"/>
        </w:rPr>
        <w:t>投资者对本理财产品有任何意见或异议，</w:t>
      </w:r>
      <w:r>
        <w:rPr>
          <w:rFonts w:hint="eastAsia" w:ascii="仿宋_GB2312" w:cs="宋体" w:hAnsiTheme="minorEastAsia"/>
          <w:bCs/>
          <w:color w:val="auto"/>
          <w:kern w:val="0"/>
          <w:szCs w:val="32"/>
          <w:highlight w:val="none"/>
          <w:u w:val="none"/>
        </w:rPr>
        <w:t>敬请联系您的销售服务机构，具体联系方式以《产品说明书》等销售文件的披露为准;或反馈至浙银理财，浙银理财服务电话：0571-57192881。</w:t>
      </w:r>
    </w:p>
    <w:p w14:paraId="5FF59FA3">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210E4CA0">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5596B48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14C877BB">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6929F804">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473B4C49">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7F6083A7">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1C264BF6">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73B383B3">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247069E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3D58A78D">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1CE7450C">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43198453">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1272B13E">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51C824EE">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2FB9D9E1">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322004B7">
      <w:pPr>
        <w:widowControl/>
        <w:tabs>
          <w:tab w:val="left" w:pos="709"/>
        </w:tabs>
        <w:snapToGrid w:val="0"/>
        <w:spacing w:line="360" w:lineRule="auto"/>
        <w:ind w:firstLine="480" w:firstLineChars="200"/>
        <w:rPr>
          <w:rFonts w:hint="eastAsia"/>
          <w:color w:val="auto"/>
          <w:highlight w:val="none"/>
          <w:u w:val="none"/>
          <w:lang w:val="en-US" w:eastAsia="zh-CN"/>
        </w:rPr>
      </w:pPr>
      <w:r>
        <w:rPr>
          <w:rFonts w:hint="eastAsia"/>
          <w:color w:val="auto"/>
          <w:highlight w:val="none"/>
          <w:u w:val="none"/>
          <w:lang w:val="en-US" w:eastAsia="zh-CN"/>
        </w:rPr>
        <w:t xml:space="preserve">（本页为签署页，无正文） </w:t>
      </w:r>
    </w:p>
    <w:p w14:paraId="5CB16078">
      <w:pPr>
        <w:widowControl/>
        <w:tabs>
          <w:tab w:val="left" w:pos="709"/>
        </w:tabs>
        <w:snapToGrid w:val="0"/>
        <w:spacing w:line="360" w:lineRule="auto"/>
        <w:ind w:firstLine="480" w:firstLineChars="200"/>
        <w:rPr>
          <w:rFonts w:hint="eastAsia"/>
          <w:color w:val="auto"/>
          <w:highlight w:val="none"/>
          <w:u w:val="none"/>
          <w:lang w:val="en-US" w:eastAsia="zh-CN"/>
        </w:rPr>
      </w:pPr>
      <w:r>
        <w:rPr>
          <w:rFonts w:hint="eastAsia"/>
          <w:color w:val="auto"/>
          <w:highlight w:val="none"/>
          <w:u w:val="none"/>
          <w:lang w:val="en-US" w:eastAsia="zh-CN"/>
        </w:rPr>
        <w:t>投资者（个人客户签名） ：</w:t>
      </w:r>
    </w:p>
    <w:p w14:paraId="69F7876B">
      <w:pPr>
        <w:widowControl/>
        <w:tabs>
          <w:tab w:val="left" w:pos="709"/>
        </w:tabs>
        <w:snapToGrid w:val="0"/>
        <w:spacing w:line="360" w:lineRule="auto"/>
        <w:ind w:firstLine="480" w:firstLineChars="200"/>
        <w:rPr>
          <w:rFonts w:hint="eastAsia"/>
          <w:color w:val="auto"/>
          <w:highlight w:val="none"/>
          <w:u w:val="none"/>
          <w:lang w:val="en-US" w:eastAsia="zh-CN"/>
        </w:rPr>
      </w:pPr>
    </w:p>
    <w:p w14:paraId="71EA601F">
      <w:pPr>
        <w:widowControl/>
        <w:tabs>
          <w:tab w:val="left" w:pos="709"/>
        </w:tabs>
        <w:snapToGrid w:val="0"/>
        <w:spacing w:line="360" w:lineRule="auto"/>
        <w:ind w:firstLine="480" w:firstLineChars="200"/>
        <w:rPr>
          <w:rFonts w:hint="eastAsia"/>
          <w:color w:val="auto"/>
          <w:highlight w:val="none"/>
          <w:u w:val="none"/>
        </w:rPr>
      </w:pPr>
      <w:r>
        <w:rPr>
          <w:rFonts w:hint="eastAsia"/>
          <w:color w:val="auto"/>
          <w:highlight w:val="none"/>
          <w:u w:val="none"/>
          <w:lang w:val="en-US" w:eastAsia="zh-CN"/>
        </w:rPr>
        <w:t>投资者（机构客户盖公章） ：</w:t>
      </w:r>
    </w:p>
    <w:p w14:paraId="09FA1C3C">
      <w:pPr>
        <w:widowControl/>
        <w:tabs>
          <w:tab w:val="left" w:pos="709"/>
        </w:tabs>
        <w:snapToGrid w:val="0"/>
        <w:spacing w:line="360" w:lineRule="auto"/>
        <w:ind w:firstLine="480" w:firstLineChars="200"/>
        <w:rPr>
          <w:rFonts w:hint="eastAsia"/>
          <w:color w:val="auto"/>
          <w:highlight w:val="none"/>
          <w:u w:val="none"/>
        </w:rPr>
      </w:pPr>
      <w:r>
        <w:rPr>
          <w:rFonts w:hint="eastAsia"/>
          <w:color w:val="auto"/>
          <w:highlight w:val="none"/>
          <w:u w:val="none"/>
          <w:lang w:val="en-US" w:eastAsia="zh-CN"/>
        </w:rPr>
        <w:t xml:space="preserve">法定代表人或授权代理人（签名或盖个人名章）： </w:t>
      </w:r>
    </w:p>
    <w:p w14:paraId="76C8DE38">
      <w:pPr>
        <w:widowControl/>
        <w:tabs>
          <w:tab w:val="left" w:pos="709"/>
        </w:tabs>
        <w:snapToGrid w:val="0"/>
        <w:spacing w:line="360" w:lineRule="auto"/>
        <w:ind w:firstLine="480" w:firstLineChars="200"/>
        <w:rPr>
          <w:rFonts w:hint="eastAsia"/>
          <w:color w:val="auto"/>
          <w:highlight w:val="none"/>
          <w:u w:val="none"/>
          <w:lang w:val="en-US" w:eastAsia="zh-CN"/>
        </w:rPr>
      </w:pPr>
    </w:p>
    <w:p w14:paraId="6E28BD83">
      <w:pPr>
        <w:widowControl/>
        <w:tabs>
          <w:tab w:val="left" w:pos="709"/>
        </w:tabs>
        <w:snapToGrid w:val="0"/>
        <w:spacing w:line="360" w:lineRule="auto"/>
        <w:ind w:firstLine="480" w:firstLineChars="200"/>
        <w:rPr>
          <w:rFonts w:hint="eastAsia"/>
          <w:color w:val="auto"/>
          <w:highlight w:val="none"/>
          <w:u w:val="none"/>
        </w:rPr>
      </w:pPr>
      <w:r>
        <w:rPr>
          <w:rFonts w:hint="eastAsia"/>
          <w:color w:val="auto"/>
          <w:highlight w:val="none"/>
          <w:u w:val="none"/>
          <w:lang w:val="en-US" w:eastAsia="zh-CN"/>
        </w:rPr>
        <w:t>签约日期:_______年______月______日</w:t>
      </w:r>
    </w:p>
    <w:p w14:paraId="32AC1042">
      <w:pPr>
        <w:widowControl/>
        <w:tabs>
          <w:tab w:val="left" w:pos="709"/>
        </w:tabs>
        <w:snapToGrid w:val="0"/>
        <w:spacing w:line="360" w:lineRule="auto"/>
        <w:ind w:firstLine="480" w:firstLineChars="200"/>
        <w:rPr>
          <w:rFonts w:ascii="仿宋_GB2312" w:hAnsi="宋体" w:cs="宋体"/>
          <w:bCs/>
          <w:color w:val="auto"/>
          <w:kern w:val="0"/>
          <w:szCs w:val="24"/>
          <w:highlight w:val="none"/>
          <w:u w:val="none"/>
        </w:rPr>
      </w:pPr>
    </w:p>
    <w:p w14:paraId="4896DBFB">
      <w:pPr>
        <w:widowControl/>
        <w:jc w:val="left"/>
        <w:rPr>
          <w:color w:val="auto"/>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Wingdings 2">
    <w:panose1 w:val="05020102010507070707"/>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Microsoft YaHei">
    <w:panose1 w:val="020B0503020204020204"/>
    <w:charset w:val="86"/>
    <w:family w:val="auto"/>
    <w:pitch w:val="default"/>
    <w:sig w:usb0="80000287" w:usb1="280F3C52" w:usb2="00000016" w:usb3="00000000" w:csb0="0004001F" w:csb1="00000000"/>
  </w:font>
  <w:font w:name="Tahoma">
    <w:altName w:val="noto sans thai"/>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noto sans thai">
    <w:panose1 w:val="020B0502040504020204"/>
    <w:charset w:val="00"/>
    <w:family w:val="auto"/>
    <w:pitch w:val="default"/>
    <w:sig w:usb0="81000063" w:usb1="00002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4C083">
    <w:pPr>
      <w:pStyle w:val="1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CEC88">
    <w:pPr>
      <w:pStyle w:val="14"/>
      <w:jc w:val="left"/>
      <w:rPr>
        <w:rFonts w:asciiTheme="majorEastAsia" w:hAnsiTheme="majorEastAsia" w:eastAsiaTheme="majorEastAsia"/>
        <w:b/>
        <w:sz w:val="24"/>
      </w:rPr>
    </w:pPr>
    <w:r>
      <w:rPr>
        <w:rFonts w:hint="eastAsia" w:asciiTheme="majorEastAsia" w:hAnsiTheme="majorEastAsia" w:eastAsiaTheme="majorEastAsia"/>
        <w:b/>
        <w:sz w:val="24"/>
      </w:rPr>
      <w:t>理财非存款</w:t>
    </w:r>
    <w:r>
      <w:rPr>
        <w:rFonts w:asciiTheme="majorEastAsia" w:hAnsiTheme="majorEastAsia" w:eastAsiaTheme="majorEastAsia"/>
        <w:b/>
        <w:sz w:val="24"/>
      </w:rPr>
      <w:t xml:space="preserve"> </w:t>
    </w:r>
    <w:r>
      <w:rPr>
        <w:rFonts w:hint="eastAsia" w:asciiTheme="majorEastAsia" w:hAnsiTheme="majorEastAsia" w:eastAsiaTheme="majorEastAsia"/>
        <w:b/>
        <w:sz w:val="24"/>
      </w:rPr>
      <w:t>产品有风险</w:t>
    </w:r>
    <w:r>
      <w:rPr>
        <w:rFonts w:asciiTheme="majorEastAsia" w:hAnsiTheme="majorEastAsia" w:eastAsiaTheme="majorEastAsia"/>
        <w:b/>
        <w:sz w:val="24"/>
      </w:rPr>
      <w:t xml:space="preserve"> </w:t>
    </w:r>
    <w:r>
      <w:rPr>
        <w:rFonts w:hint="eastAsia" w:asciiTheme="majorEastAsia" w:hAnsiTheme="majorEastAsia" w:eastAsiaTheme="majorEastAsia"/>
        <w:b/>
        <w:sz w:val="24"/>
      </w:rPr>
      <w:t>投资须谨慎</w:t>
    </w:r>
    <w:r>
      <w:rPr>
        <w:rFonts w:asciiTheme="majorEastAsia" w:hAnsiTheme="majorEastAsia" w:eastAsiaTheme="majorEastAsia"/>
        <w:b/>
        <w:sz w:val="24"/>
      </w:rPr>
      <w:t xml:space="preserve">  </w:t>
    </w:r>
    <w:r>
      <w:rPr>
        <w:rFonts w:asciiTheme="majorEastAsia" w:hAnsiTheme="majorEastAsia" w:eastAsiaTheme="majorEastAsia"/>
        <w:b/>
        <w:sz w:val="21"/>
      </w:rPr>
      <w:t xml:space="preserve">                                                </w:t>
    </w:r>
    <w:r>
      <w:rPr>
        <w:rFonts w:hint="eastAsia" w:asciiTheme="majorEastAsia" w:hAnsiTheme="majorEastAsia" w:eastAsiaTheme="majorEastAsia"/>
        <w:b/>
        <w:sz w:val="24"/>
      </w:rPr>
      <w:t>浙银理财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DE153C"/>
    <w:multiLevelType w:val="singleLevel"/>
    <w:tmpl w:val="F7DE153C"/>
    <w:lvl w:ilvl="0" w:tentative="0">
      <w:start w:val="1"/>
      <w:numFmt w:val="decimal"/>
      <w:suff w:val="nothing"/>
      <w:lvlText w:val="（%1）"/>
      <w:lvlJc w:val="left"/>
    </w:lvl>
  </w:abstractNum>
  <w:abstractNum w:abstractNumId="1">
    <w:nsid w:val="72044557"/>
    <w:multiLevelType w:val="singleLevel"/>
    <w:tmpl w:val="72044557"/>
    <w:lvl w:ilvl="0" w:tentative="0">
      <w:start w:val="1"/>
      <w:numFmt w:val="decimal"/>
      <w:lvlText w:val="%1."/>
      <w:lvlJc w:val="left"/>
      <w:pPr>
        <w:tabs>
          <w:tab w:val="left" w:pos="312"/>
        </w:tabs>
      </w:pPr>
    </w:lvl>
  </w:abstractNum>
  <w:abstractNum w:abstractNumId="2">
    <w:nsid w:val="7477F87A"/>
    <w:multiLevelType w:val="multilevel"/>
    <w:tmpl w:val="7477F87A"/>
    <w:lvl w:ilvl="0" w:tentative="0">
      <w:start w:val="1"/>
      <w:numFmt w:val="chineseCounting"/>
      <w:pStyle w:val="2"/>
      <w:suff w:val="nothing"/>
      <w:lvlText w:val="第%1节 "/>
      <w:lvlJc w:val="left"/>
      <w:pPr>
        <w:tabs>
          <w:tab w:val="left" w:pos="0"/>
        </w:tabs>
        <w:ind w:left="0" w:firstLine="0"/>
      </w:pPr>
      <w:rPr>
        <w:rFonts w:hint="eastAsia" w:ascii="宋体" w:hAnsi="宋体" w:eastAsia="黑体" w:cs="宋体"/>
        <w:sz w:val="28"/>
      </w:rPr>
    </w:lvl>
    <w:lvl w:ilvl="1" w:tentative="0">
      <w:start w:val="1"/>
      <w:numFmt w:val="chineseCounting"/>
      <w:pStyle w:val="3"/>
      <w:suff w:val="nothing"/>
      <w:lvlText w:val="（%2）"/>
      <w:lvlJc w:val="left"/>
      <w:pPr>
        <w:tabs>
          <w:tab w:val="left" w:pos="3261"/>
        </w:tabs>
        <w:ind w:left="3261" w:firstLine="0"/>
      </w:pPr>
      <w:rPr>
        <w:rFonts w:hint="eastAsia" w:ascii="宋体" w:hAnsi="宋体" w:eastAsia="仿宋_GB2312" w:cs="宋体"/>
        <w:b/>
        <w:sz w:val="24"/>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3">
    <w:nsid w:val="7CFCF8DE"/>
    <w:multiLevelType w:val="singleLevel"/>
    <w:tmpl w:val="7CFCF8DE"/>
    <w:lvl w:ilvl="0" w:tentative="0">
      <w:start w:val="5"/>
      <w:numFmt w:val="decimal"/>
      <w:suff w:val="nothing"/>
      <w:lvlText w:val="%1）"/>
      <w:lvlJc w:val="left"/>
    </w:lvl>
  </w:abstractNum>
  <w:abstractNum w:abstractNumId="4">
    <w:nsid w:val="7D9B71BF"/>
    <w:multiLevelType w:val="singleLevel"/>
    <w:tmpl w:val="7D9B71BF"/>
    <w:lvl w:ilvl="0" w:tentative="0">
      <w:start w:val="1"/>
      <w:numFmt w:val="decimal"/>
      <w:lvlText w:val="%1."/>
      <w:lvlJc w:val="left"/>
      <w:pPr>
        <w:tabs>
          <w:tab w:val="left" w:pos="312"/>
        </w:tabs>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172A27"/>
    <w:rsid w:val="0000053F"/>
    <w:rsid w:val="00000932"/>
    <w:rsid w:val="00001A8A"/>
    <w:rsid w:val="00002202"/>
    <w:rsid w:val="00003465"/>
    <w:rsid w:val="000034B1"/>
    <w:rsid w:val="00003627"/>
    <w:rsid w:val="00004097"/>
    <w:rsid w:val="000041F2"/>
    <w:rsid w:val="000045D6"/>
    <w:rsid w:val="000051BB"/>
    <w:rsid w:val="00007FF7"/>
    <w:rsid w:val="000118E2"/>
    <w:rsid w:val="0001485C"/>
    <w:rsid w:val="00014973"/>
    <w:rsid w:val="00016F63"/>
    <w:rsid w:val="0001700B"/>
    <w:rsid w:val="00017F8F"/>
    <w:rsid w:val="00021933"/>
    <w:rsid w:val="00021C50"/>
    <w:rsid w:val="00022038"/>
    <w:rsid w:val="000223C4"/>
    <w:rsid w:val="000226E6"/>
    <w:rsid w:val="000233DA"/>
    <w:rsid w:val="00023F5E"/>
    <w:rsid w:val="00024634"/>
    <w:rsid w:val="00025ABD"/>
    <w:rsid w:val="00025FD7"/>
    <w:rsid w:val="00027B90"/>
    <w:rsid w:val="00027C68"/>
    <w:rsid w:val="00030944"/>
    <w:rsid w:val="00030BC9"/>
    <w:rsid w:val="000319BE"/>
    <w:rsid w:val="00031CF8"/>
    <w:rsid w:val="00035C1C"/>
    <w:rsid w:val="0003736A"/>
    <w:rsid w:val="00041252"/>
    <w:rsid w:val="0004142C"/>
    <w:rsid w:val="000415AA"/>
    <w:rsid w:val="00041703"/>
    <w:rsid w:val="000426E6"/>
    <w:rsid w:val="00042BF7"/>
    <w:rsid w:val="000431E5"/>
    <w:rsid w:val="00044093"/>
    <w:rsid w:val="000446BA"/>
    <w:rsid w:val="00044C98"/>
    <w:rsid w:val="000472B3"/>
    <w:rsid w:val="000475D1"/>
    <w:rsid w:val="00047AC5"/>
    <w:rsid w:val="00047E39"/>
    <w:rsid w:val="00050DF7"/>
    <w:rsid w:val="00050ED6"/>
    <w:rsid w:val="00051CBD"/>
    <w:rsid w:val="00051DBD"/>
    <w:rsid w:val="00052D3C"/>
    <w:rsid w:val="00054C78"/>
    <w:rsid w:val="0005535C"/>
    <w:rsid w:val="00056882"/>
    <w:rsid w:val="00056AE1"/>
    <w:rsid w:val="000577A3"/>
    <w:rsid w:val="000618A3"/>
    <w:rsid w:val="00062D7A"/>
    <w:rsid w:val="00063034"/>
    <w:rsid w:val="00063F96"/>
    <w:rsid w:val="00064B7F"/>
    <w:rsid w:val="000652DC"/>
    <w:rsid w:val="00065662"/>
    <w:rsid w:val="00065679"/>
    <w:rsid w:val="00065A4A"/>
    <w:rsid w:val="000678DE"/>
    <w:rsid w:val="00067F68"/>
    <w:rsid w:val="000723FC"/>
    <w:rsid w:val="00073ED7"/>
    <w:rsid w:val="0007490B"/>
    <w:rsid w:val="00074DFA"/>
    <w:rsid w:val="00074F4F"/>
    <w:rsid w:val="000771FB"/>
    <w:rsid w:val="00077B11"/>
    <w:rsid w:val="00083F31"/>
    <w:rsid w:val="00084F65"/>
    <w:rsid w:val="00085066"/>
    <w:rsid w:val="00085E2A"/>
    <w:rsid w:val="000867B9"/>
    <w:rsid w:val="00086827"/>
    <w:rsid w:val="00086894"/>
    <w:rsid w:val="00086A79"/>
    <w:rsid w:val="00086C25"/>
    <w:rsid w:val="000909B2"/>
    <w:rsid w:val="00091111"/>
    <w:rsid w:val="00091483"/>
    <w:rsid w:val="00091670"/>
    <w:rsid w:val="00092597"/>
    <w:rsid w:val="00092682"/>
    <w:rsid w:val="00092B17"/>
    <w:rsid w:val="00093075"/>
    <w:rsid w:val="000947EB"/>
    <w:rsid w:val="00095515"/>
    <w:rsid w:val="00095FF1"/>
    <w:rsid w:val="000961AC"/>
    <w:rsid w:val="0009621A"/>
    <w:rsid w:val="0009704C"/>
    <w:rsid w:val="000970E2"/>
    <w:rsid w:val="00097EC1"/>
    <w:rsid w:val="000A0285"/>
    <w:rsid w:val="000A143B"/>
    <w:rsid w:val="000A3108"/>
    <w:rsid w:val="000A4117"/>
    <w:rsid w:val="000A6501"/>
    <w:rsid w:val="000A7976"/>
    <w:rsid w:val="000B0E53"/>
    <w:rsid w:val="000B182A"/>
    <w:rsid w:val="000B1A0B"/>
    <w:rsid w:val="000B268B"/>
    <w:rsid w:val="000B5885"/>
    <w:rsid w:val="000B7E6D"/>
    <w:rsid w:val="000C0AE7"/>
    <w:rsid w:val="000C0B8A"/>
    <w:rsid w:val="000C0BB5"/>
    <w:rsid w:val="000C0C3F"/>
    <w:rsid w:val="000C13AA"/>
    <w:rsid w:val="000C2BB8"/>
    <w:rsid w:val="000C3ADB"/>
    <w:rsid w:val="000C3D57"/>
    <w:rsid w:val="000C544D"/>
    <w:rsid w:val="000C5757"/>
    <w:rsid w:val="000C7005"/>
    <w:rsid w:val="000D1700"/>
    <w:rsid w:val="000D1AFA"/>
    <w:rsid w:val="000D25F1"/>
    <w:rsid w:val="000D266F"/>
    <w:rsid w:val="000D4325"/>
    <w:rsid w:val="000D4568"/>
    <w:rsid w:val="000D459B"/>
    <w:rsid w:val="000D4A35"/>
    <w:rsid w:val="000D5AC0"/>
    <w:rsid w:val="000D5CF1"/>
    <w:rsid w:val="000D6A79"/>
    <w:rsid w:val="000D7DA1"/>
    <w:rsid w:val="000E0413"/>
    <w:rsid w:val="000E0EDC"/>
    <w:rsid w:val="000E48F0"/>
    <w:rsid w:val="000E523B"/>
    <w:rsid w:val="000E5C59"/>
    <w:rsid w:val="000F0833"/>
    <w:rsid w:val="000F0F9E"/>
    <w:rsid w:val="000F16CF"/>
    <w:rsid w:val="000F2F64"/>
    <w:rsid w:val="000F5A13"/>
    <w:rsid w:val="000F5CEA"/>
    <w:rsid w:val="000F787D"/>
    <w:rsid w:val="001039A6"/>
    <w:rsid w:val="00105009"/>
    <w:rsid w:val="00105425"/>
    <w:rsid w:val="00105AD4"/>
    <w:rsid w:val="001065F8"/>
    <w:rsid w:val="00106768"/>
    <w:rsid w:val="00106861"/>
    <w:rsid w:val="00106AC9"/>
    <w:rsid w:val="0011053C"/>
    <w:rsid w:val="0011090A"/>
    <w:rsid w:val="00110B3B"/>
    <w:rsid w:val="00110BD1"/>
    <w:rsid w:val="0011228C"/>
    <w:rsid w:val="00112554"/>
    <w:rsid w:val="0011279A"/>
    <w:rsid w:val="00112B83"/>
    <w:rsid w:val="001130B6"/>
    <w:rsid w:val="00113B87"/>
    <w:rsid w:val="00113C86"/>
    <w:rsid w:val="00114882"/>
    <w:rsid w:val="0011547C"/>
    <w:rsid w:val="00115EA8"/>
    <w:rsid w:val="0011646A"/>
    <w:rsid w:val="001167B8"/>
    <w:rsid w:val="00117975"/>
    <w:rsid w:val="001179A1"/>
    <w:rsid w:val="00117EE1"/>
    <w:rsid w:val="0012040A"/>
    <w:rsid w:val="001209C2"/>
    <w:rsid w:val="0012182E"/>
    <w:rsid w:val="00122F57"/>
    <w:rsid w:val="00125C6F"/>
    <w:rsid w:val="00126288"/>
    <w:rsid w:val="0012661B"/>
    <w:rsid w:val="00126854"/>
    <w:rsid w:val="001275C1"/>
    <w:rsid w:val="00127AD3"/>
    <w:rsid w:val="00130DAD"/>
    <w:rsid w:val="00131B9D"/>
    <w:rsid w:val="00135510"/>
    <w:rsid w:val="00135B6B"/>
    <w:rsid w:val="00136DD8"/>
    <w:rsid w:val="001404FD"/>
    <w:rsid w:val="00140EDA"/>
    <w:rsid w:val="00141336"/>
    <w:rsid w:val="00144558"/>
    <w:rsid w:val="00145D4F"/>
    <w:rsid w:val="0014607E"/>
    <w:rsid w:val="00146776"/>
    <w:rsid w:val="00152B04"/>
    <w:rsid w:val="00152E4B"/>
    <w:rsid w:val="00152FBB"/>
    <w:rsid w:val="00152FC0"/>
    <w:rsid w:val="00153FF6"/>
    <w:rsid w:val="0015408D"/>
    <w:rsid w:val="001548EB"/>
    <w:rsid w:val="001549FC"/>
    <w:rsid w:val="00156C01"/>
    <w:rsid w:val="00157BB9"/>
    <w:rsid w:val="00160475"/>
    <w:rsid w:val="00160F23"/>
    <w:rsid w:val="001610BE"/>
    <w:rsid w:val="0016160C"/>
    <w:rsid w:val="00163B07"/>
    <w:rsid w:val="00163CF7"/>
    <w:rsid w:val="00163D84"/>
    <w:rsid w:val="0016633B"/>
    <w:rsid w:val="001678B7"/>
    <w:rsid w:val="00167FB3"/>
    <w:rsid w:val="001702EE"/>
    <w:rsid w:val="0017275F"/>
    <w:rsid w:val="00172A27"/>
    <w:rsid w:val="00172C45"/>
    <w:rsid w:val="001733EC"/>
    <w:rsid w:val="00173856"/>
    <w:rsid w:val="00173AA0"/>
    <w:rsid w:val="00173B39"/>
    <w:rsid w:val="00174D15"/>
    <w:rsid w:val="001769BE"/>
    <w:rsid w:val="00176C54"/>
    <w:rsid w:val="00176D33"/>
    <w:rsid w:val="00177102"/>
    <w:rsid w:val="00177C7F"/>
    <w:rsid w:val="00177D7B"/>
    <w:rsid w:val="001802C5"/>
    <w:rsid w:val="00180BC2"/>
    <w:rsid w:val="00180C14"/>
    <w:rsid w:val="00185F91"/>
    <w:rsid w:val="00186EC5"/>
    <w:rsid w:val="00187161"/>
    <w:rsid w:val="001872FB"/>
    <w:rsid w:val="00187904"/>
    <w:rsid w:val="00190EEA"/>
    <w:rsid w:val="00191981"/>
    <w:rsid w:val="0019269F"/>
    <w:rsid w:val="00192C24"/>
    <w:rsid w:val="00193698"/>
    <w:rsid w:val="00193C79"/>
    <w:rsid w:val="0019495D"/>
    <w:rsid w:val="001955D9"/>
    <w:rsid w:val="00195BEB"/>
    <w:rsid w:val="0019607D"/>
    <w:rsid w:val="0019694F"/>
    <w:rsid w:val="00196AD3"/>
    <w:rsid w:val="00196CE2"/>
    <w:rsid w:val="001A00B3"/>
    <w:rsid w:val="001A01A6"/>
    <w:rsid w:val="001A11E7"/>
    <w:rsid w:val="001A1526"/>
    <w:rsid w:val="001A16ED"/>
    <w:rsid w:val="001A1C72"/>
    <w:rsid w:val="001A1CAC"/>
    <w:rsid w:val="001A2E36"/>
    <w:rsid w:val="001A55EB"/>
    <w:rsid w:val="001A5B06"/>
    <w:rsid w:val="001A5E38"/>
    <w:rsid w:val="001A7C40"/>
    <w:rsid w:val="001B0646"/>
    <w:rsid w:val="001B102F"/>
    <w:rsid w:val="001B2C6C"/>
    <w:rsid w:val="001B3142"/>
    <w:rsid w:val="001B6061"/>
    <w:rsid w:val="001B6520"/>
    <w:rsid w:val="001B67B5"/>
    <w:rsid w:val="001B6B5B"/>
    <w:rsid w:val="001C10F3"/>
    <w:rsid w:val="001C1230"/>
    <w:rsid w:val="001C1F3F"/>
    <w:rsid w:val="001C32A4"/>
    <w:rsid w:val="001C37FC"/>
    <w:rsid w:val="001C3EB4"/>
    <w:rsid w:val="001C4EA9"/>
    <w:rsid w:val="001C4EC2"/>
    <w:rsid w:val="001C5022"/>
    <w:rsid w:val="001C5170"/>
    <w:rsid w:val="001C66F0"/>
    <w:rsid w:val="001C6DB0"/>
    <w:rsid w:val="001C7B85"/>
    <w:rsid w:val="001D1B80"/>
    <w:rsid w:val="001D46C6"/>
    <w:rsid w:val="001D4793"/>
    <w:rsid w:val="001D5EDD"/>
    <w:rsid w:val="001D7336"/>
    <w:rsid w:val="001D74E5"/>
    <w:rsid w:val="001E0F2D"/>
    <w:rsid w:val="001E173C"/>
    <w:rsid w:val="001E3331"/>
    <w:rsid w:val="001E514C"/>
    <w:rsid w:val="001E5385"/>
    <w:rsid w:val="001E783F"/>
    <w:rsid w:val="001E7C38"/>
    <w:rsid w:val="001F12BF"/>
    <w:rsid w:val="001F2E18"/>
    <w:rsid w:val="001F2FD1"/>
    <w:rsid w:val="001F4416"/>
    <w:rsid w:val="001F5C58"/>
    <w:rsid w:val="001F6F68"/>
    <w:rsid w:val="001F7BC4"/>
    <w:rsid w:val="0020008F"/>
    <w:rsid w:val="00207ACA"/>
    <w:rsid w:val="00210318"/>
    <w:rsid w:val="00211308"/>
    <w:rsid w:val="002119BB"/>
    <w:rsid w:val="00211FB9"/>
    <w:rsid w:val="002130ED"/>
    <w:rsid w:val="00213153"/>
    <w:rsid w:val="0021453A"/>
    <w:rsid w:val="002162BB"/>
    <w:rsid w:val="00217360"/>
    <w:rsid w:val="002176CB"/>
    <w:rsid w:val="0022078A"/>
    <w:rsid w:val="00224AAA"/>
    <w:rsid w:val="00225F4A"/>
    <w:rsid w:val="00226024"/>
    <w:rsid w:val="002262BE"/>
    <w:rsid w:val="00230EBB"/>
    <w:rsid w:val="00232060"/>
    <w:rsid w:val="002320B1"/>
    <w:rsid w:val="002321FC"/>
    <w:rsid w:val="002324D1"/>
    <w:rsid w:val="00235ACB"/>
    <w:rsid w:val="00236D5F"/>
    <w:rsid w:val="002378B5"/>
    <w:rsid w:val="00242EE6"/>
    <w:rsid w:val="00246671"/>
    <w:rsid w:val="0024745F"/>
    <w:rsid w:val="00247D85"/>
    <w:rsid w:val="00254BEF"/>
    <w:rsid w:val="00255A6E"/>
    <w:rsid w:val="00255B23"/>
    <w:rsid w:val="00255F94"/>
    <w:rsid w:val="00256B46"/>
    <w:rsid w:val="002605A4"/>
    <w:rsid w:val="00260F20"/>
    <w:rsid w:val="00261A46"/>
    <w:rsid w:val="00261E14"/>
    <w:rsid w:val="00263B7F"/>
    <w:rsid w:val="00265C42"/>
    <w:rsid w:val="002660A7"/>
    <w:rsid w:val="00266E35"/>
    <w:rsid w:val="00267D5C"/>
    <w:rsid w:val="00267F40"/>
    <w:rsid w:val="002706E9"/>
    <w:rsid w:val="002719C1"/>
    <w:rsid w:val="00273053"/>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380C"/>
    <w:rsid w:val="002A4B32"/>
    <w:rsid w:val="002A6447"/>
    <w:rsid w:val="002A74E0"/>
    <w:rsid w:val="002B00B0"/>
    <w:rsid w:val="002B04D0"/>
    <w:rsid w:val="002B0F92"/>
    <w:rsid w:val="002B1335"/>
    <w:rsid w:val="002B3503"/>
    <w:rsid w:val="002B36EC"/>
    <w:rsid w:val="002B5D89"/>
    <w:rsid w:val="002B7AEA"/>
    <w:rsid w:val="002B7DD0"/>
    <w:rsid w:val="002C04B5"/>
    <w:rsid w:val="002C079A"/>
    <w:rsid w:val="002C0AB6"/>
    <w:rsid w:val="002C13DB"/>
    <w:rsid w:val="002C13F4"/>
    <w:rsid w:val="002C1E2A"/>
    <w:rsid w:val="002C1E65"/>
    <w:rsid w:val="002C2FD0"/>
    <w:rsid w:val="002C335C"/>
    <w:rsid w:val="002C3421"/>
    <w:rsid w:val="002C3840"/>
    <w:rsid w:val="002C385A"/>
    <w:rsid w:val="002C42C7"/>
    <w:rsid w:val="002C45F0"/>
    <w:rsid w:val="002C4E4B"/>
    <w:rsid w:val="002C69BA"/>
    <w:rsid w:val="002C6D94"/>
    <w:rsid w:val="002C73A8"/>
    <w:rsid w:val="002D2062"/>
    <w:rsid w:val="002D270E"/>
    <w:rsid w:val="002D532C"/>
    <w:rsid w:val="002D5E92"/>
    <w:rsid w:val="002D5F98"/>
    <w:rsid w:val="002D673F"/>
    <w:rsid w:val="002D6CC4"/>
    <w:rsid w:val="002D6F9B"/>
    <w:rsid w:val="002D7BBF"/>
    <w:rsid w:val="002D7FE1"/>
    <w:rsid w:val="002E148E"/>
    <w:rsid w:val="002E17BB"/>
    <w:rsid w:val="002E307F"/>
    <w:rsid w:val="002E32C9"/>
    <w:rsid w:val="002E339F"/>
    <w:rsid w:val="002E3478"/>
    <w:rsid w:val="002E3529"/>
    <w:rsid w:val="002E5508"/>
    <w:rsid w:val="002E7D4F"/>
    <w:rsid w:val="002F1699"/>
    <w:rsid w:val="002F1EFE"/>
    <w:rsid w:val="002F4B15"/>
    <w:rsid w:val="002F5009"/>
    <w:rsid w:val="002F5429"/>
    <w:rsid w:val="002F6931"/>
    <w:rsid w:val="00300304"/>
    <w:rsid w:val="00300570"/>
    <w:rsid w:val="00301DD6"/>
    <w:rsid w:val="003020F9"/>
    <w:rsid w:val="003027F2"/>
    <w:rsid w:val="003028F5"/>
    <w:rsid w:val="00302A5A"/>
    <w:rsid w:val="0030318D"/>
    <w:rsid w:val="00303B03"/>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79C0"/>
    <w:rsid w:val="00327D48"/>
    <w:rsid w:val="00330F34"/>
    <w:rsid w:val="00331073"/>
    <w:rsid w:val="00331843"/>
    <w:rsid w:val="00331B00"/>
    <w:rsid w:val="003322BB"/>
    <w:rsid w:val="00332356"/>
    <w:rsid w:val="00332446"/>
    <w:rsid w:val="0033279B"/>
    <w:rsid w:val="003332F9"/>
    <w:rsid w:val="0033378B"/>
    <w:rsid w:val="00335775"/>
    <w:rsid w:val="00335BD4"/>
    <w:rsid w:val="00340534"/>
    <w:rsid w:val="003406AD"/>
    <w:rsid w:val="003429E1"/>
    <w:rsid w:val="00343E82"/>
    <w:rsid w:val="00344DB9"/>
    <w:rsid w:val="00344E82"/>
    <w:rsid w:val="003479A5"/>
    <w:rsid w:val="003518AC"/>
    <w:rsid w:val="003534C4"/>
    <w:rsid w:val="00353511"/>
    <w:rsid w:val="003543B2"/>
    <w:rsid w:val="00354D22"/>
    <w:rsid w:val="00356E19"/>
    <w:rsid w:val="003609CF"/>
    <w:rsid w:val="003615F1"/>
    <w:rsid w:val="00361860"/>
    <w:rsid w:val="0036282C"/>
    <w:rsid w:val="003628A6"/>
    <w:rsid w:val="003630CD"/>
    <w:rsid w:val="00363EE4"/>
    <w:rsid w:val="003655A6"/>
    <w:rsid w:val="00365B7C"/>
    <w:rsid w:val="00367309"/>
    <w:rsid w:val="003676CF"/>
    <w:rsid w:val="003700A7"/>
    <w:rsid w:val="00372FA0"/>
    <w:rsid w:val="00373084"/>
    <w:rsid w:val="003760C1"/>
    <w:rsid w:val="00376D65"/>
    <w:rsid w:val="003775A7"/>
    <w:rsid w:val="00377CE4"/>
    <w:rsid w:val="0038002E"/>
    <w:rsid w:val="00380AA2"/>
    <w:rsid w:val="00380C66"/>
    <w:rsid w:val="00380D37"/>
    <w:rsid w:val="00380DAC"/>
    <w:rsid w:val="003814FD"/>
    <w:rsid w:val="00382958"/>
    <w:rsid w:val="00383E8C"/>
    <w:rsid w:val="00385820"/>
    <w:rsid w:val="00385999"/>
    <w:rsid w:val="00386AEF"/>
    <w:rsid w:val="00387FCE"/>
    <w:rsid w:val="00390125"/>
    <w:rsid w:val="00391CF3"/>
    <w:rsid w:val="003937A7"/>
    <w:rsid w:val="0039389A"/>
    <w:rsid w:val="0039417D"/>
    <w:rsid w:val="0039470A"/>
    <w:rsid w:val="00394A9E"/>
    <w:rsid w:val="00395309"/>
    <w:rsid w:val="00396279"/>
    <w:rsid w:val="003970C8"/>
    <w:rsid w:val="0039790C"/>
    <w:rsid w:val="003A0D55"/>
    <w:rsid w:val="003A1FE3"/>
    <w:rsid w:val="003A2869"/>
    <w:rsid w:val="003A3F7B"/>
    <w:rsid w:val="003A4B5F"/>
    <w:rsid w:val="003A4DD1"/>
    <w:rsid w:val="003A6785"/>
    <w:rsid w:val="003B1094"/>
    <w:rsid w:val="003B16C6"/>
    <w:rsid w:val="003B26E5"/>
    <w:rsid w:val="003B2941"/>
    <w:rsid w:val="003B415B"/>
    <w:rsid w:val="003B5387"/>
    <w:rsid w:val="003B6479"/>
    <w:rsid w:val="003C1C3C"/>
    <w:rsid w:val="003C4936"/>
    <w:rsid w:val="003C4C27"/>
    <w:rsid w:val="003C5605"/>
    <w:rsid w:val="003C7B02"/>
    <w:rsid w:val="003C7D88"/>
    <w:rsid w:val="003D0160"/>
    <w:rsid w:val="003D044A"/>
    <w:rsid w:val="003D2047"/>
    <w:rsid w:val="003D25AF"/>
    <w:rsid w:val="003D29AA"/>
    <w:rsid w:val="003D3ADD"/>
    <w:rsid w:val="003D536C"/>
    <w:rsid w:val="003D553D"/>
    <w:rsid w:val="003D6BBB"/>
    <w:rsid w:val="003D7174"/>
    <w:rsid w:val="003D74D5"/>
    <w:rsid w:val="003E052A"/>
    <w:rsid w:val="003E13D5"/>
    <w:rsid w:val="003E1D2F"/>
    <w:rsid w:val="003E3DB6"/>
    <w:rsid w:val="003E47E9"/>
    <w:rsid w:val="003E5409"/>
    <w:rsid w:val="003E6DBA"/>
    <w:rsid w:val="003E6FFF"/>
    <w:rsid w:val="003F25E5"/>
    <w:rsid w:val="003F3D8B"/>
    <w:rsid w:val="003F458B"/>
    <w:rsid w:val="003F4756"/>
    <w:rsid w:val="003F5B09"/>
    <w:rsid w:val="003F6BB6"/>
    <w:rsid w:val="003F7BED"/>
    <w:rsid w:val="00400D10"/>
    <w:rsid w:val="004013DB"/>
    <w:rsid w:val="00401E6A"/>
    <w:rsid w:val="004022A7"/>
    <w:rsid w:val="0040365B"/>
    <w:rsid w:val="00404D59"/>
    <w:rsid w:val="00405EAF"/>
    <w:rsid w:val="00410808"/>
    <w:rsid w:val="00410E79"/>
    <w:rsid w:val="0041112D"/>
    <w:rsid w:val="004113DE"/>
    <w:rsid w:val="00413918"/>
    <w:rsid w:val="00413F18"/>
    <w:rsid w:val="004140E4"/>
    <w:rsid w:val="00414597"/>
    <w:rsid w:val="00414615"/>
    <w:rsid w:val="0041510C"/>
    <w:rsid w:val="0041551B"/>
    <w:rsid w:val="0041635B"/>
    <w:rsid w:val="0041719C"/>
    <w:rsid w:val="004207DD"/>
    <w:rsid w:val="00420FE2"/>
    <w:rsid w:val="004213D5"/>
    <w:rsid w:val="004217A0"/>
    <w:rsid w:val="00421893"/>
    <w:rsid w:val="004222B5"/>
    <w:rsid w:val="00424C27"/>
    <w:rsid w:val="00426039"/>
    <w:rsid w:val="00427BEE"/>
    <w:rsid w:val="00432363"/>
    <w:rsid w:val="00432B38"/>
    <w:rsid w:val="004331B5"/>
    <w:rsid w:val="00433BC9"/>
    <w:rsid w:val="00435876"/>
    <w:rsid w:val="00435B0E"/>
    <w:rsid w:val="00435F9E"/>
    <w:rsid w:val="0043627D"/>
    <w:rsid w:val="0043759C"/>
    <w:rsid w:val="00437ED4"/>
    <w:rsid w:val="004409E5"/>
    <w:rsid w:val="004414F3"/>
    <w:rsid w:val="00441549"/>
    <w:rsid w:val="00441B08"/>
    <w:rsid w:val="00443043"/>
    <w:rsid w:val="0044399E"/>
    <w:rsid w:val="00445CC3"/>
    <w:rsid w:val="00445CF9"/>
    <w:rsid w:val="00447DF2"/>
    <w:rsid w:val="00447EF2"/>
    <w:rsid w:val="0045009E"/>
    <w:rsid w:val="00451441"/>
    <w:rsid w:val="00452C24"/>
    <w:rsid w:val="00452F99"/>
    <w:rsid w:val="00453BC9"/>
    <w:rsid w:val="00455144"/>
    <w:rsid w:val="004551FA"/>
    <w:rsid w:val="0046064A"/>
    <w:rsid w:val="00463E9A"/>
    <w:rsid w:val="00464A5B"/>
    <w:rsid w:val="004653FD"/>
    <w:rsid w:val="00465C76"/>
    <w:rsid w:val="0046608D"/>
    <w:rsid w:val="00466ACB"/>
    <w:rsid w:val="00466BB4"/>
    <w:rsid w:val="0046731C"/>
    <w:rsid w:val="00467E0D"/>
    <w:rsid w:val="004700EF"/>
    <w:rsid w:val="00472709"/>
    <w:rsid w:val="0047373A"/>
    <w:rsid w:val="00473B12"/>
    <w:rsid w:val="00473C06"/>
    <w:rsid w:val="0047550A"/>
    <w:rsid w:val="00475653"/>
    <w:rsid w:val="00475CD3"/>
    <w:rsid w:val="00475FB6"/>
    <w:rsid w:val="004820E4"/>
    <w:rsid w:val="004826C9"/>
    <w:rsid w:val="004828B5"/>
    <w:rsid w:val="00482ED2"/>
    <w:rsid w:val="00486836"/>
    <w:rsid w:val="00486973"/>
    <w:rsid w:val="00487146"/>
    <w:rsid w:val="00487C60"/>
    <w:rsid w:val="00487DE2"/>
    <w:rsid w:val="0049072D"/>
    <w:rsid w:val="00491586"/>
    <w:rsid w:val="00492688"/>
    <w:rsid w:val="00492A5F"/>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5A53"/>
    <w:rsid w:val="004A76CA"/>
    <w:rsid w:val="004A76D1"/>
    <w:rsid w:val="004B1D0B"/>
    <w:rsid w:val="004B28EC"/>
    <w:rsid w:val="004B2ADC"/>
    <w:rsid w:val="004B3070"/>
    <w:rsid w:val="004B3917"/>
    <w:rsid w:val="004B39AE"/>
    <w:rsid w:val="004B3A52"/>
    <w:rsid w:val="004B40A6"/>
    <w:rsid w:val="004B5AAD"/>
    <w:rsid w:val="004B6346"/>
    <w:rsid w:val="004B6CBB"/>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2BD3"/>
    <w:rsid w:val="004D36DC"/>
    <w:rsid w:val="004D3813"/>
    <w:rsid w:val="004D3F28"/>
    <w:rsid w:val="004D464F"/>
    <w:rsid w:val="004D46DF"/>
    <w:rsid w:val="004D4B9D"/>
    <w:rsid w:val="004D5251"/>
    <w:rsid w:val="004D5BAD"/>
    <w:rsid w:val="004D624D"/>
    <w:rsid w:val="004D64A2"/>
    <w:rsid w:val="004D6C05"/>
    <w:rsid w:val="004D6D96"/>
    <w:rsid w:val="004E0BAD"/>
    <w:rsid w:val="004E0D29"/>
    <w:rsid w:val="004E15FE"/>
    <w:rsid w:val="004E1765"/>
    <w:rsid w:val="004E1E0A"/>
    <w:rsid w:val="004E2F68"/>
    <w:rsid w:val="004E2FAF"/>
    <w:rsid w:val="004E4284"/>
    <w:rsid w:val="004E4D1C"/>
    <w:rsid w:val="004E5174"/>
    <w:rsid w:val="004E56D2"/>
    <w:rsid w:val="004E5CEF"/>
    <w:rsid w:val="004E65E6"/>
    <w:rsid w:val="004E6DF1"/>
    <w:rsid w:val="004F0A1D"/>
    <w:rsid w:val="004F13BB"/>
    <w:rsid w:val="004F1A66"/>
    <w:rsid w:val="004F1F49"/>
    <w:rsid w:val="004F25DC"/>
    <w:rsid w:val="004F32D0"/>
    <w:rsid w:val="004F6289"/>
    <w:rsid w:val="004F74D0"/>
    <w:rsid w:val="005022FD"/>
    <w:rsid w:val="0050300D"/>
    <w:rsid w:val="005040A2"/>
    <w:rsid w:val="00506466"/>
    <w:rsid w:val="00506860"/>
    <w:rsid w:val="005074C9"/>
    <w:rsid w:val="00507676"/>
    <w:rsid w:val="005077E3"/>
    <w:rsid w:val="00510731"/>
    <w:rsid w:val="005131A7"/>
    <w:rsid w:val="00513C12"/>
    <w:rsid w:val="00513CA2"/>
    <w:rsid w:val="00515D90"/>
    <w:rsid w:val="00516F9B"/>
    <w:rsid w:val="00521D41"/>
    <w:rsid w:val="00523C62"/>
    <w:rsid w:val="00523CB3"/>
    <w:rsid w:val="005268A1"/>
    <w:rsid w:val="00526923"/>
    <w:rsid w:val="00530676"/>
    <w:rsid w:val="00531899"/>
    <w:rsid w:val="00531B3C"/>
    <w:rsid w:val="00532404"/>
    <w:rsid w:val="00532EB7"/>
    <w:rsid w:val="00533F9B"/>
    <w:rsid w:val="00534884"/>
    <w:rsid w:val="00534B79"/>
    <w:rsid w:val="00535313"/>
    <w:rsid w:val="005357FD"/>
    <w:rsid w:val="00535893"/>
    <w:rsid w:val="00535E89"/>
    <w:rsid w:val="005363EA"/>
    <w:rsid w:val="0053679C"/>
    <w:rsid w:val="00536AEA"/>
    <w:rsid w:val="0054069F"/>
    <w:rsid w:val="0054118E"/>
    <w:rsid w:val="005447A4"/>
    <w:rsid w:val="00544AB9"/>
    <w:rsid w:val="00545202"/>
    <w:rsid w:val="00545569"/>
    <w:rsid w:val="00550703"/>
    <w:rsid w:val="00550A39"/>
    <w:rsid w:val="005513A8"/>
    <w:rsid w:val="005516CF"/>
    <w:rsid w:val="00551E0B"/>
    <w:rsid w:val="00551F45"/>
    <w:rsid w:val="005530D6"/>
    <w:rsid w:val="00553A11"/>
    <w:rsid w:val="00553B19"/>
    <w:rsid w:val="00554D55"/>
    <w:rsid w:val="005554F6"/>
    <w:rsid w:val="00555544"/>
    <w:rsid w:val="005576BE"/>
    <w:rsid w:val="00560382"/>
    <w:rsid w:val="00560D52"/>
    <w:rsid w:val="00561732"/>
    <w:rsid w:val="0056216B"/>
    <w:rsid w:val="00563B60"/>
    <w:rsid w:val="0056412C"/>
    <w:rsid w:val="00564586"/>
    <w:rsid w:val="00565900"/>
    <w:rsid w:val="00566B0E"/>
    <w:rsid w:val="00566EC8"/>
    <w:rsid w:val="00567177"/>
    <w:rsid w:val="0057192F"/>
    <w:rsid w:val="005727E7"/>
    <w:rsid w:val="00572F4C"/>
    <w:rsid w:val="00573830"/>
    <w:rsid w:val="00573976"/>
    <w:rsid w:val="0057441B"/>
    <w:rsid w:val="005746B5"/>
    <w:rsid w:val="00575D88"/>
    <w:rsid w:val="005766B6"/>
    <w:rsid w:val="00577C4A"/>
    <w:rsid w:val="00580024"/>
    <w:rsid w:val="005811FD"/>
    <w:rsid w:val="005832FC"/>
    <w:rsid w:val="005853C2"/>
    <w:rsid w:val="0058707A"/>
    <w:rsid w:val="0059004B"/>
    <w:rsid w:val="0059012D"/>
    <w:rsid w:val="00590385"/>
    <w:rsid w:val="0059095A"/>
    <w:rsid w:val="00590CFC"/>
    <w:rsid w:val="00591D34"/>
    <w:rsid w:val="00591F2E"/>
    <w:rsid w:val="00592C45"/>
    <w:rsid w:val="00593130"/>
    <w:rsid w:val="00593242"/>
    <w:rsid w:val="00593678"/>
    <w:rsid w:val="00596CAD"/>
    <w:rsid w:val="00597FB9"/>
    <w:rsid w:val="005A4D37"/>
    <w:rsid w:val="005A5B40"/>
    <w:rsid w:val="005B09DE"/>
    <w:rsid w:val="005B0E41"/>
    <w:rsid w:val="005B4BAF"/>
    <w:rsid w:val="005B52B4"/>
    <w:rsid w:val="005B62B0"/>
    <w:rsid w:val="005B6582"/>
    <w:rsid w:val="005C04B6"/>
    <w:rsid w:val="005C0D39"/>
    <w:rsid w:val="005C1E01"/>
    <w:rsid w:val="005C36D0"/>
    <w:rsid w:val="005C4F2C"/>
    <w:rsid w:val="005C4FBB"/>
    <w:rsid w:val="005C73EE"/>
    <w:rsid w:val="005D000A"/>
    <w:rsid w:val="005D38E8"/>
    <w:rsid w:val="005D3B4B"/>
    <w:rsid w:val="005D527E"/>
    <w:rsid w:val="005D5879"/>
    <w:rsid w:val="005E0C53"/>
    <w:rsid w:val="005E13AE"/>
    <w:rsid w:val="005E13D0"/>
    <w:rsid w:val="005E54A2"/>
    <w:rsid w:val="005E6939"/>
    <w:rsid w:val="005E6E5A"/>
    <w:rsid w:val="005E7EEC"/>
    <w:rsid w:val="005F0197"/>
    <w:rsid w:val="005F0F9C"/>
    <w:rsid w:val="005F117E"/>
    <w:rsid w:val="005F1C5F"/>
    <w:rsid w:val="005F1EB4"/>
    <w:rsid w:val="005F25B8"/>
    <w:rsid w:val="005F283D"/>
    <w:rsid w:val="005F2989"/>
    <w:rsid w:val="005F31FD"/>
    <w:rsid w:val="005F35EC"/>
    <w:rsid w:val="005F5D0D"/>
    <w:rsid w:val="005F601F"/>
    <w:rsid w:val="005F680E"/>
    <w:rsid w:val="005F695F"/>
    <w:rsid w:val="005F746F"/>
    <w:rsid w:val="006004A1"/>
    <w:rsid w:val="00600CCA"/>
    <w:rsid w:val="006024DB"/>
    <w:rsid w:val="00606051"/>
    <w:rsid w:val="006104EA"/>
    <w:rsid w:val="0061066D"/>
    <w:rsid w:val="00611EDD"/>
    <w:rsid w:val="006121F9"/>
    <w:rsid w:val="00615CD4"/>
    <w:rsid w:val="006176CF"/>
    <w:rsid w:val="00622BCB"/>
    <w:rsid w:val="0062379D"/>
    <w:rsid w:val="00623B22"/>
    <w:rsid w:val="00624EF3"/>
    <w:rsid w:val="006250E2"/>
    <w:rsid w:val="00625314"/>
    <w:rsid w:val="00626834"/>
    <w:rsid w:val="00626D43"/>
    <w:rsid w:val="00627585"/>
    <w:rsid w:val="0063187E"/>
    <w:rsid w:val="00632622"/>
    <w:rsid w:val="00632BAF"/>
    <w:rsid w:val="006343E2"/>
    <w:rsid w:val="006346E6"/>
    <w:rsid w:val="00634867"/>
    <w:rsid w:val="006353C8"/>
    <w:rsid w:val="00635BE4"/>
    <w:rsid w:val="0063672C"/>
    <w:rsid w:val="00637CAB"/>
    <w:rsid w:val="006405F7"/>
    <w:rsid w:val="00642649"/>
    <w:rsid w:val="00643BC6"/>
    <w:rsid w:val="006441C5"/>
    <w:rsid w:val="00646CD3"/>
    <w:rsid w:val="0065016D"/>
    <w:rsid w:val="00651772"/>
    <w:rsid w:val="00652792"/>
    <w:rsid w:val="00652EDA"/>
    <w:rsid w:val="00654682"/>
    <w:rsid w:val="006564A9"/>
    <w:rsid w:val="00656E74"/>
    <w:rsid w:val="00664450"/>
    <w:rsid w:val="0066461D"/>
    <w:rsid w:val="00665015"/>
    <w:rsid w:val="00667D18"/>
    <w:rsid w:val="00670587"/>
    <w:rsid w:val="00670E0A"/>
    <w:rsid w:val="00670E9E"/>
    <w:rsid w:val="00670F2E"/>
    <w:rsid w:val="00671522"/>
    <w:rsid w:val="00671D29"/>
    <w:rsid w:val="00673213"/>
    <w:rsid w:val="006734F3"/>
    <w:rsid w:val="00673DC3"/>
    <w:rsid w:val="00674CE6"/>
    <w:rsid w:val="00675B9C"/>
    <w:rsid w:val="00676922"/>
    <w:rsid w:val="006804E5"/>
    <w:rsid w:val="00680775"/>
    <w:rsid w:val="0068132D"/>
    <w:rsid w:val="00682B91"/>
    <w:rsid w:val="00683C03"/>
    <w:rsid w:val="00683CB6"/>
    <w:rsid w:val="006864EF"/>
    <w:rsid w:val="00686BAD"/>
    <w:rsid w:val="006877DF"/>
    <w:rsid w:val="00687E8B"/>
    <w:rsid w:val="00690084"/>
    <w:rsid w:val="006901A1"/>
    <w:rsid w:val="0069043B"/>
    <w:rsid w:val="00690812"/>
    <w:rsid w:val="006912E4"/>
    <w:rsid w:val="00692507"/>
    <w:rsid w:val="00692A6E"/>
    <w:rsid w:val="0069533C"/>
    <w:rsid w:val="00695B34"/>
    <w:rsid w:val="00695F1B"/>
    <w:rsid w:val="0069739D"/>
    <w:rsid w:val="00697ECF"/>
    <w:rsid w:val="006A227A"/>
    <w:rsid w:val="006A2683"/>
    <w:rsid w:val="006A406A"/>
    <w:rsid w:val="006A4877"/>
    <w:rsid w:val="006A685B"/>
    <w:rsid w:val="006A7E23"/>
    <w:rsid w:val="006B1607"/>
    <w:rsid w:val="006B1816"/>
    <w:rsid w:val="006B223D"/>
    <w:rsid w:val="006B2A9A"/>
    <w:rsid w:val="006B30F9"/>
    <w:rsid w:val="006B3E55"/>
    <w:rsid w:val="006B3EA1"/>
    <w:rsid w:val="006B3F74"/>
    <w:rsid w:val="006B40C4"/>
    <w:rsid w:val="006B4170"/>
    <w:rsid w:val="006B6099"/>
    <w:rsid w:val="006B75A2"/>
    <w:rsid w:val="006B7BBF"/>
    <w:rsid w:val="006C23F9"/>
    <w:rsid w:val="006C2492"/>
    <w:rsid w:val="006C281B"/>
    <w:rsid w:val="006C2B12"/>
    <w:rsid w:val="006C388F"/>
    <w:rsid w:val="006C395A"/>
    <w:rsid w:val="006C5137"/>
    <w:rsid w:val="006C589C"/>
    <w:rsid w:val="006C6DFF"/>
    <w:rsid w:val="006C6EBB"/>
    <w:rsid w:val="006D09EF"/>
    <w:rsid w:val="006D1915"/>
    <w:rsid w:val="006D2E73"/>
    <w:rsid w:val="006D36B5"/>
    <w:rsid w:val="006D4807"/>
    <w:rsid w:val="006D4986"/>
    <w:rsid w:val="006D5358"/>
    <w:rsid w:val="006D7A60"/>
    <w:rsid w:val="006D7CA5"/>
    <w:rsid w:val="006D7ECE"/>
    <w:rsid w:val="006E067F"/>
    <w:rsid w:val="006E0E80"/>
    <w:rsid w:val="006E0EDE"/>
    <w:rsid w:val="006E18DA"/>
    <w:rsid w:val="006E4AFF"/>
    <w:rsid w:val="006E5B58"/>
    <w:rsid w:val="006E5F63"/>
    <w:rsid w:val="006E640A"/>
    <w:rsid w:val="006E6E46"/>
    <w:rsid w:val="006E75C2"/>
    <w:rsid w:val="006E77FD"/>
    <w:rsid w:val="006F14A7"/>
    <w:rsid w:val="006F2787"/>
    <w:rsid w:val="006F65CC"/>
    <w:rsid w:val="006F6B49"/>
    <w:rsid w:val="006F7E0C"/>
    <w:rsid w:val="00700494"/>
    <w:rsid w:val="007012B1"/>
    <w:rsid w:val="007024B6"/>
    <w:rsid w:val="00703F01"/>
    <w:rsid w:val="00704749"/>
    <w:rsid w:val="00705724"/>
    <w:rsid w:val="00706045"/>
    <w:rsid w:val="00706188"/>
    <w:rsid w:val="007062E4"/>
    <w:rsid w:val="00706428"/>
    <w:rsid w:val="007068C8"/>
    <w:rsid w:val="00710BD0"/>
    <w:rsid w:val="0071225B"/>
    <w:rsid w:val="00712701"/>
    <w:rsid w:val="00715AC3"/>
    <w:rsid w:val="00715D36"/>
    <w:rsid w:val="00715EBC"/>
    <w:rsid w:val="007168F4"/>
    <w:rsid w:val="00716AC2"/>
    <w:rsid w:val="00716AC5"/>
    <w:rsid w:val="00722898"/>
    <w:rsid w:val="007243EE"/>
    <w:rsid w:val="00725399"/>
    <w:rsid w:val="007254D6"/>
    <w:rsid w:val="00725B40"/>
    <w:rsid w:val="00727034"/>
    <w:rsid w:val="007303C1"/>
    <w:rsid w:val="0073109C"/>
    <w:rsid w:val="00732876"/>
    <w:rsid w:val="00734DBC"/>
    <w:rsid w:val="007360AA"/>
    <w:rsid w:val="00736EFD"/>
    <w:rsid w:val="00737A50"/>
    <w:rsid w:val="00737CD3"/>
    <w:rsid w:val="00740755"/>
    <w:rsid w:val="00740C91"/>
    <w:rsid w:val="007418DD"/>
    <w:rsid w:val="00744D7D"/>
    <w:rsid w:val="007453C4"/>
    <w:rsid w:val="00745A6C"/>
    <w:rsid w:val="00745C19"/>
    <w:rsid w:val="0074611F"/>
    <w:rsid w:val="00752A8F"/>
    <w:rsid w:val="007530C7"/>
    <w:rsid w:val="007534CC"/>
    <w:rsid w:val="0075391A"/>
    <w:rsid w:val="00753E0C"/>
    <w:rsid w:val="0075552F"/>
    <w:rsid w:val="00756E7C"/>
    <w:rsid w:val="00757752"/>
    <w:rsid w:val="00764BC5"/>
    <w:rsid w:val="00765223"/>
    <w:rsid w:val="00765326"/>
    <w:rsid w:val="00767384"/>
    <w:rsid w:val="00767D3F"/>
    <w:rsid w:val="007705C7"/>
    <w:rsid w:val="00771BB8"/>
    <w:rsid w:val="00772B55"/>
    <w:rsid w:val="00774E6E"/>
    <w:rsid w:val="00775EBF"/>
    <w:rsid w:val="0077758F"/>
    <w:rsid w:val="0078207D"/>
    <w:rsid w:val="007858FC"/>
    <w:rsid w:val="00786141"/>
    <w:rsid w:val="00787B4B"/>
    <w:rsid w:val="00787B81"/>
    <w:rsid w:val="0079005A"/>
    <w:rsid w:val="007916F1"/>
    <w:rsid w:val="00793048"/>
    <w:rsid w:val="00793A7F"/>
    <w:rsid w:val="007944AC"/>
    <w:rsid w:val="0079544C"/>
    <w:rsid w:val="00795D11"/>
    <w:rsid w:val="00796D55"/>
    <w:rsid w:val="00797BB7"/>
    <w:rsid w:val="007A1943"/>
    <w:rsid w:val="007A4EE3"/>
    <w:rsid w:val="007A631C"/>
    <w:rsid w:val="007A7B56"/>
    <w:rsid w:val="007B2CAB"/>
    <w:rsid w:val="007B32B5"/>
    <w:rsid w:val="007B4EA3"/>
    <w:rsid w:val="007B4EAC"/>
    <w:rsid w:val="007B5A3B"/>
    <w:rsid w:val="007B7AA0"/>
    <w:rsid w:val="007C03B6"/>
    <w:rsid w:val="007C0CE0"/>
    <w:rsid w:val="007C0F8F"/>
    <w:rsid w:val="007C24D8"/>
    <w:rsid w:val="007C27FB"/>
    <w:rsid w:val="007C2B78"/>
    <w:rsid w:val="007C2C1B"/>
    <w:rsid w:val="007C31CE"/>
    <w:rsid w:val="007C3A46"/>
    <w:rsid w:val="007C4218"/>
    <w:rsid w:val="007C6174"/>
    <w:rsid w:val="007C6226"/>
    <w:rsid w:val="007C6F6A"/>
    <w:rsid w:val="007C70B0"/>
    <w:rsid w:val="007D04FE"/>
    <w:rsid w:val="007D3170"/>
    <w:rsid w:val="007D32EC"/>
    <w:rsid w:val="007D4061"/>
    <w:rsid w:val="007D4F47"/>
    <w:rsid w:val="007D52D6"/>
    <w:rsid w:val="007D632C"/>
    <w:rsid w:val="007D7A46"/>
    <w:rsid w:val="007E074F"/>
    <w:rsid w:val="007E0AAD"/>
    <w:rsid w:val="007E0E56"/>
    <w:rsid w:val="007E1E00"/>
    <w:rsid w:val="007E58C1"/>
    <w:rsid w:val="007E61E7"/>
    <w:rsid w:val="007E6A77"/>
    <w:rsid w:val="007E6F4F"/>
    <w:rsid w:val="007E7597"/>
    <w:rsid w:val="007E778F"/>
    <w:rsid w:val="007F0337"/>
    <w:rsid w:val="007F2341"/>
    <w:rsid w:val="007F2F05"/>
    <w:rsid w:val="007F5024"/>
    <w:rsid w:val="007F551B"/>
    <w:rsid w:val="007F757A"/>
    <w:rsid w:val="007F75E7"/>
    <w:rsid w:val="007F7DFB"/>
    <w:rsid w:val="008003DD"/>
    <w:rsid w:val="00801407"/>
    <w:rsid w:val="008018F3"/>
    <w:rsid w:val="00801E2E"/>
    <w:rsid w:val="008035BF"/>
    <w:rsid w:val="008043A4"/>
    <w:rsid w:val="008051C6"/>
    <w:rsid w:val="0080552D"/>
    <w:rsid w:val="0080560D"/>
    <w:rsid w:val="00810364"/>
    <w:rsid w:val="00810897"/>
    <w:rsid w:val="00810E7C"/>
    <w:rsid w:val="00811A25"/>
    <w:rsid w:val="00811FB1"/>
    <w:rsid w:val="0081204D"/>
    <w:rsid w:val="00812A08"/>
    <w:rsid w:val="00814111"/>
    <w:rsid w:val="008146C0"/>
    <w:rsid w:val="008157D1"/>
    <w:rsid w:val="00815C84"/>
    <w:rsid w:val="00815EDF"/>
    <w:rsid w:val="0081619F"/>
    <w:rsid w:val="00816C84"/>
    <w:rsid w:val="00820DF9"/>
    <w:rsid w:val="008210B2"/>
    <w:rsid w:val="00821AB9"/>
    <w:rsid w:val="008230E0"/>
    <w:rsid w:val="0082325D"/>
    <w:rsid w:val="00823EA0"/>
    <w:rsid w:val="00825419"/>
    <w:rsid w:val="00827804"/>
    <w:rsid w:val="00827BF3"/>
    <w:rsid w:val="00827D4F"/>
    <w:rsid w:val="00831B3A"/>
    <w:rsid w:val="00831B84"/>
    <w:rsid w:val="00832D11"/>
    <w:rsid w:val="00834018"/>
    <w:rsid w:val="00834F72"/>
    <w:rsid w:val="00835298"/>
    <w:rsid w:val="008374C4"/>
    <w:rsid w:val="00837897"/>
    <w:rsid w:val="008379F4"/>
    <w:rsid w:val="0084006D"/>
    <w:rsid w:val="00840C37"/>
    <w:rsid w:val="00840D21"/>
    <w:rsid w:val="0084293B"/>
    <w:rsid w:val="008450B1"/>
    <w:rsid w:val="008456F0"/>
    <w:rsid w:val="0084627B"/>
    <w:rsid w:val="008466A3"/>
    <w:rsid w:val="00847162"/>
    <w:rsid w:val="008517B6"/>
    <w:rsid w:val="00852F36"/>
    <w:rsid w:val="0085382E"/>
    <w:rsid w:val="00853A87"/>
    <w:rsid w:val="00853C6D"/>
    <w:rsid w:val="00853EE2"/>
    <w:rsid w:val="00853F86"/>
    <w:rsid w:val="008559BC"/>
    <w:rsid w:val="00855CDA"/>
    <w:rsid w:val="008578C4"/>
    <w:rsid w:val="00857BC5"/>
    <w:rsid w:val="00857EE0"/>
    <w:rsid w:val="00857FD5"/>
    <w:rsid w:val="00862474"/>
    <w:rsid w:val="0086254D"/>
    <w:rsid w:val="00863012"/>
    <w:rsid w:val="00864C00"/>
    <w:rsid w:val="008678EB"/>
    <w:rsid w:val="00870354"/>
    <w:rsid w:val="008708E5"/>
    <w:rsid w:val="00871456"/>
    <w:rsid w:val="00872725"/>
    <w:rsid w:val="00872A24"/>
    <w:rsid w:val="0087495B"/>
    <w:rsid w:val="00874D45"/>
    <w:rsid w:val="00875D4C"/>
    <w:rsid w:val="00875DA5"/>
    <w:rsid w:val="008764E2"/>
    <w:rsid w:val="00881F3E"/>
    <w:rsid w:val="00883404"/>
    <w:rsid w:val="00883531"/>
    <w:rsid w:val="00883BCD"/>
    <w:rsid w:val="0088424F"/>
    <w:rsid w:val="00886F6A"/>
    <w:rsid w:val="008901A5"/>
    <w:rsid w:val="008915DB"/>
    <w:rsid w:val="008916F5"/>
    <w:rsid w:val="00892F1A"/>
    <w:rsid w:val="00895EE3"/>
    <w:rsid w:val="00895EEE"/>
    <w:rsid w:val="008967EF"/>
    <w:rsid w:val="008979B1"/>
    <w:rsid w:val="008A1783"/>
    <w:rsid w:val="008A1FC5"/>
    <w:rsid w:val="008A2B7A"/>
    <w:rsid w:val="008A30F7"/>
    <w:rsid w:val="008A5CB9"/>
    <w:rsid w:val="008A6C7A"/>
    <w:rsid w:val="008A7AF2"/>
    <w:rsid w:val="008B3D5D"/>
    <w:rsid w:val="008B4756"/>
    <w:rsid w:val="008B67A0"/>
    <w:rsid w:val="008B67FD"/>
    <w:rsid w:val="008C1A01"/>
    <w:rsid w:val="008C3F16"/>
    <w:rsid w:val="008C42FA"/>
    <w:rsid w:val="008C7AEA"/>
    <w:rsid w:val="008D1C34"/>
    <w:rsid w:val="008D1E4A"/>
    <w:rsid w:val="008D3D51"/>
    <w:rsid w:val="008D4D80"/>
    <w:rsid w:val="008D5A25"/>
    <w:rsid w:val="008D6D30"/>
    <w:rsid w:val="008D6D48"/>
    <w:rsid w:val="008E02D8"/>
    <w:rsid w:val="008E0447"/>
    <w:rsid w:val="008E0712"/>
    <w:rsid w:val="008E2A3A"/>
    <w:rsid w:val="008E2BB6"/>
    <w:rsid w:val="008E55C8"/>
    <w:rsid w:val="008E5D22"/>
    <w:rsid w:val="008E726B"/>
    <w:rsid w:val="008E774D"/>
    <w:rsid w:val="008F30F6"/>
    <w:rsid w:val="008F41FD"/>
    <w:rsid w:val="008F5475"/>
    <w:rsid w:val="008F768A"/>
    <w:rsid w:val="008F7D16"/>
    <w:rsid w:val="008F7EA3"/>
    <w:rsid w:val="009013FE"/>
    <w:rsid w:val="009016B0"/>
    <w:rsid w:val="00901C90"/>
    <w:rsid w:val="00902E40"/>
    <w:rsid w:val="00902F23"/>
    <w:rsid w:val="00902F98"/>
    <w:rsid w:val="0090469C"/>
    <w:rsid w:val="00905705"/>
    <w:rsid w:val="009061B2"/>
    <w:rsid w:val="00906E11"/>
    <w:rsid w:val="009079CB"/>
    <w:rsid w:val="009109DB"/>
    <w:rsid w:val="00910E59"/>
    <w:rsid w:val="00911D45"/>
    <w:rsid w:val="009123C9"/>
    <w:rsid w:val="00914163"/>
    <w:rsid w:val="00916000"/>
    <w:rsid w:val="00916CCD"/>
    <w:rsid w:val="009170A7"/>
    <w:rsid w:val="009179FC"/>
    <w:rsid w:val="0092027E"/>
    <w:rsid w:val="009208F7"/>
    <w:rsid w:val="00923D69"/>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2A82"/>
    <w:rsid w:val="009634F8"/>
    <w:rsid w:val="0096381D"/>
    <w:rsid w:val="00963DC8"/>
    <w:rsid w:val="0096455A"/>
    <w:rsid w:val="00967109"/>
    <w:rsid w:val="00967166"/>
    <w:rsid w:val="00967421"/>
    <w:rsid w:val="00967858"/>
    <w:rsid w:val="00967F41"/>
    <w:rsid w:val="00970B57"/>
    <w:rsid w:val="00970C74"/>
    <w:rsid w:val="00972A41"/>
    <w:rsid w:val="00972D28"/>
    <w:rsid w:val="00974CB9"/>
    <w:rsid w:val="00974F7D"/>
    <w:rsid w:val="0097519E"/>
    <w:rsid w:val="009753AA"/>
    <w:rsid w:val="00976875"/>
    <w:rsid w:val="00977051"/>
    <w:rsid w:val="00980323"/>
    <w:rsid w:val="0098109C"/>
    <w:rsid w:val="0098181A"/>
    <w:rsid w:val="009820DB"/>
    <w:rsid w:val="00983256"/>
    <w:rsid w:val="00983E39"/>
    <w:rsid w:val="00986426"/>
    <w:rsid w:val="00986CA7"/>
    <w:rsid w:val="00990065"/>
    <w:rsid w:val="009917C5"/>
    <w:rsid w:val="00992D2F"/>
    <w:rsid w:val="0099497D"/>
    <w:rsid w:val="009950E8"/>
    <w:rsid w:val="0099675C"/>
    <w:rsid w:val="00996F99"/>
    <w:rsid w:val="009977A9"/>
    <w:rsid w:val="00997A19"/>
    <w:rsid w:val="009A017C"/>
    <w:rsid w:val="009A0A65"/>
    <w:rsid w:val="009A0A82"/>
    <w:rsid w:val="009A12E9"/>
    <w:rsid w:val="009A23F5"/>
    <w:rsid w:val="009A3DA5"/>
    <w:rsid w:val="009A5092"/>
    <w:rsid w:val="009A5821"/>
    <w:rsid w:val="009A5C78"/>
    <w:rsid w:val="009A6849"/>
    <w:rsid w:val="009B018F"/>
    <w:rsid w:val="009B0E43"/>
    <w:rsid w:val="009B1C8E"/>
    <w:rsid w:val="009B2DA0"/>
    <w:rsid w:val="009B2F31"/>
    <w:rsid w:val="009B30C6"/>
    <w:rsid w:val="009B3E60"/>
    <w:rsid w:val="009B40A3"/>
    <w:rsid w:val="009B5FA8"/>
    <w:rsid w:val="009B6459"/>
    <w:rsid w:val="009B655F"/>
    <w:rsid w:val="009B6914"/>
    <w:rsid w:val="009C0CF4"/>
    <w:rsid w:val="009C2327"/>
    <w:rsid w:val="009C2999"/>
    <w:rsid w:val="009C3060"/>
    <w:rsid w:val="009C3A27"/>
    <w:rsid w:val="009C4F85"/>
    <w:rsid w:val="009C64D9"/>
    <w:rsid w:val="009D09F2"/>
    <w:rsid w:val="009D3383"/>
    <w:rsid w:val="009D6870"/>
    <w:rsid w:val="009D78CF"/>
    <w:rsid w:val="009E0EA2"/>
    <w:rsid w:val="009E22BC"/>
    <w:rsid w:val="009E3F57"/>
    <w:rsid w:val="009E4470"/>
    <w:rsid w:val="009E5BB4"/>
    <w:rsid w:val="009E5F00"/>
    <w:rsid w:val="009E655B"/>
    <w:rsid w:val="009E6B69"/>
    <w:rsid w:val="009E75FF"/>
    <w:rsid w:val="009E7C0A"/>
    <w:rsid w:val="009E7C46"/>
    <w:rsid w:val="009F047F"/>
    <w:rsid w:val="009F04B1"/>
    <w:rsid w:val="009F0F91"/>
    <w:rsid w:val="009F29CB"/>
    <w:rsid w:val="009F30DD"/>
    <w:rsid w:val="009F3122"/>
    <w:rsid w:val="009F3B8D"/>
    <w:rsid w:val="009F46F0"/>
    <w:rsid w:val="009F4D80"/>
    <w:rsid w:val="009F53E2"/>
    <w:rsid w:val="009F5DC6"/>
    <w:rsid w:val="009F7A1C"/>
    <w:rsid w:val="009F7B2B"/>
    <w:rsid w:val="00A02005"/>
    <w:rsid w:val="00A030C7"/>
    <w:rsid w:val="00A03241"/>
    <w:rsid w:val="00A04871"/>
    <w:rsid w:val="00A0594E"/>
    <w:rsid w:val="00A06620"/>
    <w:rsid w:val="00A06F97"/>
    <w:rsid w:val="00A10FFA"/>
    <w:rsid w:val="00A11069"/>
    <w:rsid w:val="00A11103"/>
    <w:rsid w:val="00A11826"/>
    <w:rsid w:val="00A13969"/>
    <w:rsid w:val="00A14965"/>
    <w:rsid w:val="00A14B76"/>
    <w:rsid w:val="00A16954"/>
    <w:rsid w:val="00A16956"/>
    <w:rsid w:val="00A16B29"/>
    <w:rsid w:val="00A211F8"/>
    <w:rsid w:val="00A21616"/>
    <w:rsid w:val="00A234A2"/>
    <w:rsid w:val="00A2502B"/>
    <w:rsid w:val="00A25D5B"/>
    <w:rsid w:val="00A263AE"/>
    <w:rsid w:val="00A267E1"/>
    <w:rsid w:val="00A30288"/>
    <w:rsid w:val="00A313A6"/>
    <w:rsid w:val="00A33183"/>
    <w:rsid w:val="00A33892"/>
    <w:rsid w:val="00A3647E"/>
    <w:rsid w:val="00A37521"/>
    <w:rsid w:val="00A4052D"/>
    <w:rsid w:val="00A417E5"/>
    <w:rsid w:val="00A42393"/>
    <w:rsid w:val="00A42C4C"/>
    <w:rsid w:val="00A433BD"/>
    <w:rsid w:val="00A4356F"/>
    <w:rsid w:val="00A43974"/>
    <w:rsid w:val="00A45CE0"/>
    <w:rsid w:val="00A45F88"/>
    <w:rsid w:val="00A460A4"/>
    <w:rsid w:val="00A479AC"/>
    <w:rsid w:val="00A47B9F"/>
    <w:rsid w:val="00A47C04"/>
    <w:rsid w:val="00A50235"/>
    <w:rsid w:val="00A50987"/>
    <w:rsid w:val="00A53312"/>
    <w:rsid w:val="00A54CC6"/>
    <w:rsid w:val="00A54F2B"/>
    <w:rsid w:val="00A57532"/>
    <w:rsid w:val="00A57819"/>
    <w:rsid w:val="00A57D4F"/>
    <w:rsid w:val="00A57FC4"/>
    <w:rsid w:val="00A613BE"/>
    <w:rsid w:val="00A61565"/>
    <w:rsid w:val="00A624FD"/>
    <w:rsid w:val="00A62B46"/>
    <w:rsid w:val="00A63007"/>
    <w:rsid w:val="00A6331F"/>
    <w:rsid w:val="00A640CD"/>
    <w:rsid w:val="00A64F13"/>
    <w:rsid w:val="00A65A0A"/>
    <w:rsid w:val="00A65BC2"/>
    <w:rsid w:val="00A667BA"/>
    <w:rsid w:val="00A66960"/>
    <w:rsid w:val="00A66D7B"/>
    <w:rsid w:val="00A67B30"/>
    <w:rsid w:val="00A67FFA"/>
    <w:rsid w:val="00A71235"/>
    <w:rsid w:val="00A7182E"/>
    <w:rsid w:val="00A7219C"/>
    <w:rsid w:val="00A7220A"/>
    <w:rsid w:val="00A7395D"/>
    <w:rsid w:val="00A740F7"/>
    <w:rsid w:val="00A74233"/>
    <w:rsid w:val="00A7471A"/>
    <w:rsid w:val="00A74B87"/>
    <w:rsid w:val="00A74C55"/>
    <w:rsid w:val="00A74F18"/>
    <w:rsid w:val="00A769D4"/>
    <w:rsid w:val="00A777E4"/>
    <w:rsid w:val="00A77C73"/>
    <w:rsid w:val="00A819A7"/>
    <w:rsid w:val="00A8273D"/>
    <w:rsid w:val="00A82A58"/>
    <w:rsid w:val="00A833AE"/>
    <w:rsid w:val="00A855C4"/>
    <w:rsid w:val="00A870C5"/>
    <w:rsid w:val="00A87640"/>
    <w:rsid w:val="00A87AC9"/>
    <w:rsid w:val="00A90126"/>
    <w:rsid w:val="00A90A62"/>
    <w:rsid w:val="00A91601"/>
    <w:rsid w:val="00A929EB"/>
    <w:rsid w:val="00A93D2E"/>
    <w:rsid w:val="00A947EE"/>
    <w:rsid w:val="00A948D5"/>
    <w:rsid w:val="00A96493"/>
    <w:rsid w:val="00A97EE9"/>
    <w:rsid w:val="00A97F22"/>
    <w:rsid w:val="00AA0753"/>
    <w:rsid w:val="00AA2B66"/>
    <w:rsid w:val="00AA34A8"/>
    <w:rsid w:val="00AA4D93"/>
    <w:rsid w:val="00AA5095"/>
    <w:rsid w:val="00AA5A29"/>
    <w:rsid w:val="00AA60A3"/>
    <w:rsid w:val="00AA6534"/>
    <w:rsid w:val="00AB1014"/>
    <w:rsid w:val="00AB2BAC"/>
    <w:rsid w:val="00AC03E0"/>
    <w:rsid w:val="00AC06B4"/>
    <w:rsid w:val="00AC2DAE"/>
    <w:rsid w:val="00AC35B6"/>
    <w:rsid w:val="00AC3FF0"/>
    <w:rsid w:val="00AC64FE"/>
    <w:rsid w:val="00AC69F4"/>
    <w:rsid w:val="00AC7B20"/>
    <w:rsid w:val="00AC7C1D"/>
    <w:rsid w:val="00AD0448"/>
    <w:rsid w:val="00AD095A"/>
    <w:rsid w:val="00AD3E82"/>
    <w:rsid w:val="00AD4ABF"/>
    <w:rsid w:val="00AD4AFD"/>
    <w:rsid w:val="00AD6159"/>
    <w:rsid w:val="00AD65B2"/>
    <w:rsid w:val="00AD679A"/>
    <w:rsid w:val="00AE147D"/>
    <w:rsid w:val="00AE206F"/>
    <w:rsid w:val="00AE2718"/>
    <w:rsid w:val="00AE4343"/>
    <w:rsid w:val="00AE592C"/>
    <w:rsid w:val="00AE6209"/>
    <w:rsid w:val="00AE6417"/>
    <w:rsid w:val="00AE7F6D"/>
    <w:rsid w:val="00AF081A"/>
    <w:rsid w:val="00AF22D8"/>
    <w:rsid w:val="00AF60BA"/>
    <w:rsid w:val="00B00DEF"/>
    <w:rsid w:val="00B01B6C"/>
    <w:rsid w:val="00B02ADD"/>
    <w:rsid w:val="00B031C7"/>
    <w:rsid w:val="00B039C7"/>
    <w:rsid w:val="00B05199"/>
    <w:rsid w:val="00B0595E"/>
    <w:rsid w:val="00B06B79"/>
    <w:rsid w:val="00B075AA"/>
    <w:rsid w:val="00B149D9"/>
    <w:rsid w:val="00B15AA4"/>
    <w:rsid w:val="00B169A8"/>
    <w:rsid w:val="00B17383"/>
    <w:rsid w:val="00B2032C"/>
    <w:rsid w:val="00B2426E"/>
    <w:rsid w:val="00B24B9D"/>
    <w:rsid w:val="00B24DC0"/>
    <w:rsid w:val="00B24F0F"/>
    <w:rsid w:val="00B26DE5"/>
    <w:rsid w:val="00B277E4"/>
    <w:rsid w:val="00B27F5E"/>
    <w:rsid w:val="00B305F3"/>
    <w:rsid w:val="00B34C7F"/>
    <w:rsid w:val="00B3547A"/>
    <w:rsid w:val="00B3708A"/>
    <w:rsid w:val="00B377AF"/>
    <w:rsid w:val="00B40E6D"/>
    <w:rsid w:val="00B43F28"/>
    <w:rsid w:val="00B43F56"/>
    <w:rsid w:val="00B46CD3"/>
    <w:rsid w:val="00B47591"/>
    <w:rsid w:val="00B476C7"/>
    <w:rsid w:val="00B5056C"/>
    <w:rsid w:val="00B507B4"/>
    <w:rsid w:val="00B50829"/>
    <w:rsid w:val="00B508AF"/>
    <w:rsid w:val="00B5118E"/>
    <w:rsid w:val="00B53D41"/>
    <w:rsid w:val="00B542BA"/>
    <w:rsid w:val="00B54BAF"/>
    <w:rsid w:val="00B5601A"/>
    <w:rsid w:val="00B56E0A"/>
    <w:rsid w:val="00B57B21"/>
    <w:rsid w:val="00B57D17"/>
    <w:rsid w:val="00B602C4"/>
    <w:rsid w:val="00B61760"/>
    <w:rsid w:val="00B6295F"/>
    <w:rsid w:val="00B62E1D"/>
    <w:rsid w:val="00B62F35"/>
    <w:rsid w:val="00B6354A"/>
    <w:rsid w:val="00B64AAA"/>
    <w:rsid w:val="00B650DB"/>
    <w:rsid w:val="00B65829"/>
    <w:rsid w:val="00B65F22"/>
    <w:rsid w:val="00B65FC3"/>
    <w:rsid w:val="00B664C0"/>
    <w:rsid w:val="00B665D2"/>
    <w:rsid w:val="00B71D51"/>
    <w:rsid w:val="00B72B8B"/>
    <w:rsid w:val="00B736DD"/>
    <w:rsid w:val="00B73F7F"/>
    <w:rsid w:val="00B73FC9"/>
    <w:rsid w:val="00B74033"/>
    <w:rsid w:val="00B74338"/>
    <w:rsid w:val="00B7491A"/>
    <w:rsid w:val="00B7635B"/>
    <w:rsid w:val="00B767A7"/>
    <w:rsid w:val="00B775D5"/>
    <w:rsid w:val="00B811FB"/>
    <w:rsid w:val="00B831C0"/>
    <w:rsid w:val="00B847A8"/>
    <w:rsid w:val="00B84CD0"/>
    <w:rsid w:val="00B858A7"/>
    <w:rsid w:val="00B85EDE"/>
    <w:rsid w:val="00B8681D"/>
    <w:rsid w:val="00B86C21"/>
    <w:rsid w:val="00B8717E"/>
    <w:rsid w:val="00B87360"/>
    <w:rsid w:val="00B9043F"/>
    <w:rsid w:val="00B9277B"/>
    <w:rsid w:val="00B9576D"/>
    <w:rsid w:val="00B9619E"/>
    <w:rsid w:val="00BA0569"/>
    <w:rsid w:val="00BA0849"/>
    <w:rsid w:val="00BA2630"/>
    <w:rsid w:val="00BA32C7"/>
    <w:rsid w:val="00BA3D33"/>
    <w:rsid w:val="00BA43DD"/>
    <w:rsid w:val="00BA5799"/>
    <w:rsid w:val="00BA6361"/>
    <w:rsid w:val="00BA7114"/>
    <w:rsid w:val="00BA72EA"/>
    <w:rsid w:val="00BA7B1E"/>
    <w:rsid w:val="00BB0EE3"/>
    <w:rsid w:val="00BB1CB9"/>
    <w:rsid w:val="00BB53EE"/>
    <w:rsid w:val="00BB6814"/>
    <w:rsid w:val="00BB682B"/>
    <w:rsid w:val="00BB6E63"/>
    <w:rsid w:val="00BB71F8"/>
    <w:rsid w:val="00BB7362"/>
    <w:rsid w:val="00BB75E2"/>
    <w:rsid w:val="00BB7A93"/>
    <w:rsid w:val="00BB7BDA"/>
    <w:rsid w:val="00BC0ED8"/>
    <w:rsid w:val="00BC2356"/>
    <w:rsid w:val="00BC259B"/>
    <w:rsid w:val="00BC338F"/>
    <w:rsid w:val="00BC44ED"/>
    <w:rsid w:val="00BC5329"/>
    <w:rsid w:val="00BC5CC6"/>
    <w:rsid w:val="00BC6CC5"/>
    <w:rsid w:val="00BC6F92"/>
    <w:rsid w:val="00BC7943"/>
    <w:rsid w:val="00BC7AD0"/>
    <w:rsid w:val="00BD003F"/>
    <w:rsid w:val="00BD107F"/>
    <w:rsid w:val="00BD1141"/>
    <w:rsid w:val="00BD1504"/>
    <w:rsid w:val="00BD6D6E"/>
    <w:rsid w:val="00BD7574"/>
    <w:rsid w:val="00BE0DE5"/>
    <w:rsid w:val="00BE1B1A"/>
    <w:rsid w:val="00BE3181"/>
    <w:rsid w:val="00BE39BF"/>
    <w:rsid w:val="00BE4749"/>
    <w:rsid w:val="00BE7842"/>
    <w:rsid w:val="00BE7E95"/>
    <w:rsid w:val="00BF0B41"/>
    <w:rsid w:val="00BF1086"/>
    <w:rsid w:val="00BF18EE"/>
    <w:rsid w:val="00BF2AF5"/>
    <w:rsid w:val="00BF3DDC"/>
    <w:rsid w:val="00BF4B57"/>
    <w:rsid w:val="00BF7164"/>
    <w:rsid w:val="00C00B92"/>
    <w:rsid w:val="00C022EB"/>
    <w:rsid w:val="00C024F9"/>
    <w:rsid w:val="00C03104"/>
    <w:rsid w:val="00C0365E"/>
    <w:rsid w:val="00C03F12"/>
    <w:rsid w:val="00C0420A"/>
    <w:rsid w:val="00C04766"/>
    <w:rsid w:val="00C05816"/>
    <w:rsid w:val="00C05BB0"/>
    <w:rsid w:val="00C05C6E"/>
    <w:rsid w:val="00C06057"/>
    <w:rsid w:val="00C0607A"/>
    <w:rsid w:val="00C07454"/>
    <w:rsid w:val="00C0760A"/>
    <w:rsid w:val="00C1114C"/>
    <w:rsid w:val="00C116DD"/>
    <w:rsid w:val="00C11948"/>
    <w:rsid w:val="00C1198B"/>
    <w:rsid w:val="00C1205C"/>
    <w:rsid w:val="00C12B7F"/>
    <w:rsid w:val="00C14AAD"/>
    <w:rsid w:val="00C150C6"/>
    <w:rsid w:val="00C1529C"/>
    <w:rsid w:val="00C15E22"/>
    <w:rsid w:val="00C15EED"/>
    <w:rsid w:val="00C16703"/>
    <w:rsid w:val="00C1673F"/>
    <w:rsid w:val="00C17D0F"/>
    <w:rsid w:val="00C20C4F"/>
    <w:rsid w:val="00C20E80"/>
    <w:rsid w:val="00C24499"/>
    <w:rsid w:val="00C244F6"/>
    <w:rsid w:val="00C25751"/>
    <w:rsid w:val="00C25DB2"/>
    <w:rsid w:val="00C26084"/>
    <w:rsid w:val="00C2697F"/>
    <w:rsid w:val="00C27911"/>
    <w:rsid w:val="00C27C9A"/>
    <w:rsid w:val="00C27D6C"/>
    <w:rsid w:val="00C316A2"/>
    <w:rsid w:val="00C31D33"/>
    <w:rsid w:val="00C321B9"/>
    <w:rsid w:val="00C331B7"/>
    <w:rsid w:val="00C3339E"/>
    <w:rsid w:val="00C34DF6"/>
    <w:rsid w:val="00C34EC1"/>
    <w:rsid w:val="00C366C8"/>
    <w:rsid w:val="00C36E3A"/>
    <w:rsid w:val="00C37589"/>
    <w:rsid w:val="00C37ADB"/>
    <w:rsid w:val="00C42889"/>
    <w:rsid w:val="00C43811"/>
    <w:rsid w:val="00C43CCC"/>
    <w:rsid w:val="00C44785"/>
    <w:rsid w:val="00C45496"/>
    <w:rsid w:val="00C47693"/>
    <w:rsid w:val="00C47EBC"/>
    <w:rsid w:val="00C50EC9"/>
    <w:rsid w:val="00C51C7F"/>
    <w:rsid w:val="00C53277"/>
    <w:rsid w:val="00C552CE"/>
    <w:rsid w:val="00C5611B"/>
    <w:rsid w:val="00C563A0"/>
    <w:rsid w:val="00C56A08"/>
    <w:rsid w:val="00C57840"/>
    <w:rsid w:val="00C579BB"/>
    <w:rsid w:val="00C6272C"/>
    <w:rsid w:val="00C63048"/>
    <w:rsid w:val="00C6320C"/>
    <w:rsid w:val="00C65574"/>
    <w:rsid w:val="00C75BE0"/>
    <w:rsid w:val="00C77166"/>
    <w:rsid w:val="00C772D5"/>
    <w:rsid w:val="00C80A22"/>
    <w:rsid w:val="00C84950"/>
    <w:rsid w:val="00C84E66"/>
    <w:rsid w:val="00C85644"/>
    <w:rsid w:val="00C86904"/>
    <w:rsid w:val="00C86946"/>
    <w:rsid w:val="00C87AEC"/>
    <w:rsid w:val="00C87E60"/>
    <w:rsid w:val="00C900E7"/>
    <w:rsid w:val="00C902AF"/>
    <w:rsid w:val="00C939E9"/>
    <w:rsid w:val="00C958B1"/>
    <w:rsid w:val="00C96D04"/>
    <w:rsid w:val="00C96F28"/>
    <w:rsid w:val="00C97A59"/>
    <w:rsid w:val="00CA08B7"/>
    <w:rsid w:val="00CA0DDE"/>
    <w:rsid w:val="00CA2420"/>
    <w:rsid w:val="00CA33DD"/>
    <w:rsid w:val="00CA5A2F"/>
    <w:rsid w:val="00CA5DE2"/>
    <w:rsid w:val="00CB0BB1"/>
    <w:rsid w:val="00CB121D"/>
    <w:rsid w:val="00CB1349"/>
    <w:rsid w:val="00CB1AB5"/>
    <w:rsid w:val="00CB3E7A"/>
    <w:rsid w:val="00CB4FC3"/>
    <w:rsid w:val="00CB57DE"/>
    <w:rsid w:val="00CB5B15"/>
    <w:rsid w:val="00CB6487"/>
    <w:rsid w:val="00CB6848"/>
    <w:rsid w:val="00CB6A87"/>
    <w:rsid w:val="00CB72A8"/>
    <w:rsid w:val="00CC0244"/>
    <w:rsid w:val="00CC0EE6"/>
    <w:rsid w:val="00CC14C2"/>
    <w:rsid w:val="00CC157E"/>
    <w:rsid w:val="00CC2036"/>
    <w:rsid w:val="00CC2697"/>
    <w:rsid w:val="00CC2A33"/>
    <w:rsid w:val="00CC32E3"/>
    <w:rsid w:val="00CC5C9E"/>
    <w:rsid w:val="00CC6C8F"/>
    <w:rsid w:val="00CC73FC"/>
    <w:rsid w:val="00CC796B"/>
    <w:rsid w:val="00CD0291"/>
    <w:rsid w:val="00CD5A43"/>
    <w:rsid w:val="00CD5C33"/>
    <w:rsid w:val="00CD79F5"/>
    <w:rsid w:val="00CE0307"/>
    <w:rsid w:val="00CE1704"/>
    <w:rsid w:val="00CE3547"/>
    <w:rsid w:val="00CE39C0"/>
    <w:rsid w:val="00CE3A43"/>
    <w:rsid w:val="00CE414A"/>
    <w:rsid w:val="00CE62F6"/>
    <w:rsid w:val="00CE66DB"/>
    <w:rsid w:val="00CE6A83"/>
    <w:rsid w:val="00CE6E09"/>
    <w:rsid w:val="00CE739D"/>
    <w:rsid w:val="00CF142D"/>
    <w:rsid w:val="00CF3024"/>
    <w:rsid w:val="00CF332A"/>
    <w:rsid w:val="00CF39CA"/>
    <w:rsid w:val="00CF4394"/>
    <w:rsid w:val="00CF5C70"/>
    <w:rsid w:val="00CF68D9"/>
    <w:rsid w:val="00D034AE"/>
    <w:rsid w:val="00D05235"/>
    <w:rsid w:val="00D05287"/>
    <w:rsid w:val="00D05E61"/>
    <w:rsid w:val="00D10226"/>
    <w:rsid w:val="00D10946"/>
    <w:rsid w:val="00D10A62"/>
    <w:rsid w:val="00D11E88"/>
    <w:rsid w:val="00D1258A"/>
    <w:rsid w:val="00D127E8"/>
    <w:rsid w:val="00D12DCB"/>
    <w:rsid w:val="00D14388"/>
    <w:rsid w:val="00D14836"/>
    <w:rsid w:val="00D14D0E"/>
    <w:rsid w:val="00D16605"/>
    <w:rsid w:val="00D22C77"/>
    <w:rsid w:val="00D22CC5"/>
    <w:rsid w:val="00D2479F"/>
    <w:rsid w:val="00D26F16"/>
    <w:rsid w:val="00D27B4E"/>
    <w:rsid w:val="00D27CAB"/>
    <w:rsid w:val="00D31120"/>
    <w:rsid w:val="00D312B6"/>
    <w:rsid w:val="00D32836"/>
    <w:rsid w:val="00D33EE3"/>
    <w:rsid w:val="00D34540"/>
    <w:rsid w:val="00D35C91"/>
    <w:rsid w:val="00D35E07"/>
    <w:rsid w:val="00D37CB2"/>
    <w:rsid w:val="00D40A69"/>
    <w:rsid w:val="00D40F6B"/>
    <w:rsid w:val="00D41AE8"/>
    <w:rsid w:val="00D42376"/>
    <w:rsid w:val="00D42901"/>
    <w:rsid w:val="00D42E2D"/>
    <w:rsid w:val="00D46F29"/>
    <w:rsid w:val="00D47ACE"/>
    <w:rsid w:val="00D51846"/>
    <w:rsid w:val="00D51D29"/>
    <w:rsid w:val="00D52030"/>
    <w:rsid w:val="00D526FA"/>
    <w:rsid w:val="00D527E5"/>
    <w:rsid w:val="00D53AAA"/>
    <w:rsid w:val="00D53B00"/>
    <w:rsid w:val="00D55ED6"/>
    <w:rsid w:val="00D56625"/>
    <w:rsid w:val="00D60C21"/>
    <w:rsid w:val="00D621F9"/>
    <w:rsid w:val="00D62DBB"/>
    <w:rsid w:val="00D63782"/>
    <w:rsid w:val="00D64171"/>
    <w:rsid w:val="00D64637"/>
    <w:rsid w:val="00D650C4"/>
    <w:rsid w:val="00D65769"/>
    <w:rsid w:val="00D65A7D"/>
    <w:rsid w:val="00D66F7D"/>
    <w:rsid w:val="00D6754B"/>
    <w:rsid w:val="00D67D00"/>
    <w:rsid w:val="00D67D5B"/>
    <w:rsid w:val="00D7089D"/>
    <w:rsid w:val="00D70D81"/>
    <w:rsid w:val="00D7362D"/>
    <w:rsid w:val="00D74895"/>
    <w:rsid w:val="00D76480"/>
    <w:rsid w:val="00D77000"/>
    <w:rsid w:val="00D814FA"/>
    <w:rsid w:val="00D82355"/>
    <w:rsid w:val="00D82A18"/>
    <w:rsid w:val="00D83F67"/>
    <w:rsid w:val="00D845D3"/>
    <w:rsid w:val="00D84DA3"/>
    <w:rsid w:val="00D8717A"/>
    <w:rsid w:val="00D87270"/>
    <w:rsid w:val="00D8741C"/>
    <w:rsid w:val="00D876CC"/>
    <w:rsid w:val="00D87EAC"/>
    <w:rsid w:val="00D94209"/>
    <w:rsid w:val="00D94505"/>
    <w:rsid w:val="00D9498D"/>
    <w:rsid w:val="00D94BC3"/>
    <w:rsid w:val="00D94D9D"/>
    <w:rsid w:val="00D973C4"/>
    <w:rsid w:val="00D97D3A"/>
    <w:rsid w:val="00DA08F0"/>
    <w:rsid w:val="00DA23FA"/>
    <w:rsid w:val="00DA2B6E"/>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431"/>
    <w:rsid w:val="00DC5BB1"/>
    <w:rsid w:val="00DC5E9C"/>
    <w:rsid w:val="00DC605C"/>
    <w:rsid w:val="00DC683F"/>
    <w:rsid w:val="00DD10CB"/>
    <w:rsid w:val="00DD1BDA"/>
    <w:rsid w:val="00DD1C37"/>
    <w:rsid w:val="00DD2B09"/>
    <w:rsid w:val="00DD38E2"/>
    <w:rsid w:val="00DD5169"/>
    <w:rsid w:val="00DD66EC"/>
    <w:rsid w:val="00DD696F"/>
    <w:rsid w:val="00DD7AA7"/>
    <w:rsid w:val="00DE042F"/>
    <w:rsid w:val="00DE06C5"/>
    <w:rsid w:val="00DE2B90"/>
    <w:rsid w:val="00DE2CA7"/>
    <w:rsid w:val="00DE41FF"/>
    <w:rsid w:val="00DE45CE"/>
    <w:rsid w:val="00DE5A42"/>
    <w:rsid w:val="00DF0F94"/>
    <w:rsid w:val="00DF111F"/>
    <w:rsid w:val="00DF1439"/>
    <w:rsid w:val="00DF57AF"/>
    <w:rsid w:val="00DF59D8"/>
    <w:rsid w:val="00DF5BA4"/>
    <w:rsid w:val="00DF6832"/>
    <w:rsid w:val="00E01859"/>
    <w:rsid w:val="00E01961"/>
    <w:rsid w:val="00E01D23"/>
    <w:rsid w:val="00E03A8F"/>
    <w:rsid w:val="00E049B5"/>
    <w:rsid w:val="00E051CF"/>
    <w:rsid w:val="00E05D91"/>
    <w:rsid w:val="00E05DD3"/>
    <w:rsid w:val="00E06D6B"/>
    <w:rsid w:val="00E10288"/>
    <w:rsid w:val="00E1071D"/>
    <w:rsid w:val="00E10875"/>
    <w:rsid w:val="00E10956"/>
    <w:rsid w:val="00E13621"/>
    <w:rsid w:val="00E13DD1"/>
    <w:rsid w:val="00E13F5F"/>
    <w:rsid w:val="00E14226"/>
    <w:rsid w:val="00E1498C"/>
    <w:rsid w:val="00E155BE"/>
    <w:rsid w:val="00E162E4"/>
    <w:rsid w:val="00E164A5"/>
    <w:rsid w:val="00E167E1"/>
    <w:rsid w:val="00E17416"/>
    <w:rsid w:val="00E215D9"/>
    <w:rsid w:val="00E219EC"/>
    <w:rsid w:val="00E22766"/>
    <w:rsid w:val="00E22E09"/>
    <w:rsid w:val="00E265AB"/>
    <w:rsid w:val="00E30256"/>
    <w:rsid w:val="00E30824"/>
    <w:rsid w:val="00E34026"/>
    <w:rsid w:val="00E345E4"/>
    <w:rsid w:val="00E36346"/>
    <w:rsid w:val="00E36F6A"/>
    <w:rsid w:val="00E375A2"/>
    <w:rsid w:val="00E37A18"/>
    <w:rsid w:val="00E37DFC"/>
    <w:rsid w:val="00E4168D"/>
    <w:rsid w:val="00E422F3"/>
    <w:rsid w:val="00E42311"/>
    <w:rsid w:val="00E43D03"/>
    <w:rsid w:val="00E4526C"/>
    <w:rsid w:val="00E477AB"/>
    <w:rsid w:val="00E47842"/>
    <w:rsid w:val="00E47A36"/>
    <w:rsid w:val="00E47BBF"/>
    <w:rsid w:val="00E505D4"/>
    <w:rsid w:val="00E53168"/>
    <w:rsid w:val="00E5358A"/>
    <w:rsid w:val="00E54C37"/>
    <w:rsid w:val="00E54E59"/>
    <w:rsid w:val="00E55676"/>
    <w:rsid w:val="00E55A06"/>
    <w:rsid w:val="00E561C9"/>
    <w:rsid w:val="00E562A4"/>
    <w:rsid w:val="00E57CE9"/>
    <w:rsid w:val="00E57D66"/>
    <w:rsid w:val="00E62538"/>
    <w:rsid w:val="00E62637"/>
    <w:rsid w:val="00E6272C"/>
    <w:rsid w:val="00E62EC1"/>
    <w:rsid w:val="00E663EE"/>
    <w:rsid w:val="00E669B8"/>
    <w:rsid w:val="00E67B8C"/>
    <w:rsid w:val="00E715A6"/>
    <w:rsid w:val="00E73840"/>
    <w:rsid w:val="00E7430C"/>
    <w:rsid w:val="00E74402"/>
    <w:rsid w:val="00E74FA1"/>
    <w:rsid w:val="00E76002"/>
    <w:rsid w:val="00E77F86"/>
    <w:rsid w:val="00E817AE"/>
    <w:rsid w:val="00E81EF6"/>
    <w:rsid w:val="00E821C2"/>
    <w:rsid w:val="00E84CE4"/>
    <w:rsid w:val="00E85229"/>
    <w:rsid w:val="00E8674A"/>
    <w:rsid w:val="00E8711A"/>
    <w:rsid w:val="00E8774E"/>
    <w:rsid w:val="00E90B34"/>
    <w:rsid w:val="00E9145D"/>
    <w:rsid w:val="00E91E75"/>
    <w:rsid w:val="00E92971"/>
    <w:rsid w:val="00E94CDD"/>
    <w:rsid w:val="00E95633"/>
    <w:rsid w:val="00E96579"/>
    <w:rsid w:val="00E96D59"/>
    <w:rsid w:val="00E970A2"/>
    <w:rsid w:val="00E973A1"/>
    <w:rsid w:val="00EA09E3"/>
    <w:rsid w:val="00EA1B23"/>
    <w:rsid w:val="00EA5471"/>
    <w:rsid w:val="00EA558F"/>
    <w:rsid w:val="00EA5F66"/>
    <w:rsid w:val="00EA6822"/>
    <w:rsid w:val="00EA6A3E"/>
    <w:rsid w:val="00EA6CBD"/>
    <w:rsid w:val="00EB10FB"/>
    <w:rsid w:val="00EB67E6"/>
    <w:rsid w:val="00EC1071"/>
    <w:rsid w:val="00EC13DE"/>
    <w:rsid w:val="00EC159A"/>
    <w:rsid w:val="00EC3D5D"/>
    <w:rsid w:val="00EC3FFB"/>
    <w:rsid w:val="00EC4B66"/>
    <w:rsid w:val="00EC5499"/>
    <w:rsid w:val="00EC6649"/>
    <w:rsid w:val="00EC7775"/>
    <w:rsid w:val="00EC7B7B"/>
    <w:rsid w:val="00ED0671"/>
    <w:rsid w:val="00ED08C5"/>
    <w:rsid w:val="00ED0CC2"/>
    <w:rsid w:val="00ED25D2"/>
    <w:rsid w:val="00ED410C"/>
    <w:rsid w:val="00ED5783"/>
    <w:rsid w:val="00ED5BA2"/>
    <w:rsid w:val="00EE162F"/>
    <w:rsid w:val="00EE34ED"/>
    <w:rsid w:val="00EE4F79"/>
    <w:rsid w:val="00EE5AEC"/>
    <w:rsid w:val="00EE6527"/>
    <w:rsid w:val="00EE7435"/>
    <w:rsid w:val="00EE758A"/>
    <w:rsid w:val="00EF0C44"/>
    <w:rsid w:val="00EF1914"/>
    <w:rsid w:val="00EF3016"/>
    <w:rsid w:val="00EF3AE7"/>
    <w:rsid w:val="00EF5E02"/>
    <w:rsid w:val="00EF5FDF"/>
    <w:rsid w:val="00F002C0"/>
    <w:rsid w:val="00F01A57"/>
    <w:rsid w:val="00F02A03"/>
    <w:rsid w:val="00F0384B"/>
    <w:rsid w:val="00F0593F"/>
    <w:rsid w:val="00F06226"/>
    <w:rsid w:val="00F06C4F"/>
    <w:rsid w:val="00F07C33"/>
    <w:rsid w:val="00F108D7"/>
    <w:rsid w:val="00F128A8"/>
    <w:rsid w:val="00F12C38"/>
    <w:rsid w:val="00F13F48"/>
    <w:rsid w:val="00F15931"/>
    <w:rsid w:val="00F16471"/>
    <w:rsid w:val="00F2121A"/>
    <w:rsid w:val="00F218F0"/>
    <w:rsid w:val="00F21CB2"/>
    <w:rsid w:val="00F22C43"/>
    <w:rsid w:val="00F22D78"/>
    <w:rsid w:val="00F22EEF"/>
    <w:rsid w:val="00F2393F"/>
    <w:rsid w:val="00F246BE"/>
    <w:rsid w:val="00F254D9"/>
    <w:rsid w:val="00F25924"/>
    <w:rsid w:val="00F27D83"/>
    <w:rsid w:val="00F31357"/>
    <w:rsid w:val="00F320E6"/>
    <w:rsid w:val="00F32CF5"/>
    <w:rsid w:val="00F3318E"/>
    <w:rsid w:val="00F34202"/>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475AD"/>
    <w:rsid w:val="00F50405"/>
    <w:rsid w:val="00F5051E"/>
    <w:rsid w:val="00F51B92"/>
    <w:rsid w:val="00F51FEB"/>
    <w:rsid w:val="00F53808"/>
    <w:rsid w:val="00F5523A"/>
    <w:rsid w:val="00F555BC"/>
    <w:rsid w:val="00F562B2"/>
    <w:rsid w:val="00F56F3A"/>
    <w:rsid w:val="00F570F0"/>
    <w:rsid w:val="00F60419"/>
    <w:rsid w:val="00F6146A"/>
    <w:rsid w:val="00F61FBB"/>
    <w:rsid w:val="00F630D9"/>
    <w:rsid w:val="00F64208"/>
    <w:rsid w:val="00F656C5"/>
    <w:rsid w:val="00F6724E"/>
    <w:rsid w:val="00F67279"/>
    <w:rsid w:val="00F71476"/>
    <w:rsid w:val="00F72896"/>
    <w:rsid w:val="00F73717"/>
    <w:rsid w:val="00F7423E"/>
    <w:rsid w:val="00F74382"/>
    <w:rsid w:val="00F75D16"/>
    <w:rsid w:val="00F77863"/>
    <w:rsid w:val="00F807C0"/>
    <w:rsid w:val="00F81DDC"/>
    <w:rsid w:val="00F82929"/>
    <w:rsid w:val="00F82BEB"/>
    <w:rsid w:val="00F837A9"/>
    <w:rsid w:val="00F849F8"/>
    <w:rsid w:val="00F85B36"/>
    <w:rsid w:val="00F86E40"/>
    <w:rsid w:val="00F87159"/>
    <w:rsid w:val="00F90397"/>
    <w:rsid w:val="00F90C6B"/>
    <w:rsid w:val="00F90D3C"/>
    <w:rsid w:val="00F91CF2"/>
    <w:rsid w:val="00F91E80"/>
    <w:rsid w:val="00F93991"/>
    <w:rsid w:val="00FA0565"/>
    <w:rsid w:val="00FA417C"/>
    <w:rsid w:val="00FA42D3"/>
    <w:rsid w:val="00FA516B"/>
    <w:rsid w:val="00FA565B"/>
    <w:rsid w:val="00FA58B5"/>
    <w:rsid w:val="00FA744C"/>
    <w:rsid w:val="00FB3A1A"/>
    <w:rsid w:val="00FB412B"/>
    <w:rsid w:val="00FB4B81"/>
    <w:rsid w:val="00FB4F6E"/>
    <w:rsid w:val="00FB60E5"/>
    <w:rsid w:val="00FB61D0"/>
    <w:rsid w:val="00FB67FE"/>
    <w:rsid w:val="00FB7CB2"/>
    <w:rsid w:val="00FB7DFE"/>
    <w:rsid w:val="00FC01FC"/>
    <w:rsid w:val="00FC036A"/>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73C"/>
    <w:rsid w:val="00FE3A6E"/>
    <w:rsid w:val="00FE3C5C"/>
    <w:rsid w:val="00FE43AC"/>
    <w:rsid w:val="00FE6278"/>
    <w:rsid w:val="00FE716B"/>
    <w:rsid w:val="00FE781D"/>
    <w:rsid w:val="00FE782E"/>
    <w:rsid w:val="00FF0212"/>
    <w:rsid w:val="00FF076E"/>
    <w:rsid w:val="00FF43C3"/>
    <w:rsid w:val="00FF4634"/>
    <w:rsid w:val="00FF6279"/>
    <w:rsid w:val="01714809"/>
    <w:rsid w:val="01B34E22"/>
    <w:rsid w:val="01CD1825"/>
    <w:rsid w:val="01E461EC"/>
    <w:rsid w:val="01E74ACC"/>
    <w:rsid w:val="01F176F8"/>
    <w:rsid w:val="02085A2F"/>
    <w:rsid w:val="02A52C3A"/>
    <w:rsid w:val="02C37C16"/>
    <w:rsid w:val="04477A12"/>
    <w:rsid w:val="04731B5B"/>
    <w:rsid w:val="048135F1"/>
    <w:rsid w:val="048900BC"/>
    <w:rsid w:val="04BBC419"/>
    <w:rsid w:val="04D0496F"/>
    <w:rsid w:val="04D5203D"/>
    <w:rsid w:val="04D63DFE"/>
    <w:rsid w:val="059D5867"/>
    <w:rsid w:val="05D168F6"/>
    <w:rsid w:val="062724A6"/>
    <w:rsid w:val="063365AC"/>
    <w:rsid w:val="064C13E1"/>
    <w:rsid w:val="07571860"/>
    <w:rsid w:val="07832762"/>
    <w:rsid w:val="079D43F6"/>
    <w:rsid w:val="082E74B1"/>
    <w:rsid w:val="088E3F19"/>
    <w:rsid w:val="09675E55"/>
    <w:rsid w:val="09A9751C"/>
    <w:rsid w:val="0A411361"/>
    <w:rsid w:val="0A954B61"/>
    <w:rsid w:val="0AE601D3"/>
    <w:rsid w:val="0B04020E"/>
    <w:rsid w:val="0D341471"/>
    <w:rsid w:val="0D422A7D"/>
    <w:rsid w:val="0D9531B4"/>
    <w:rsid w:val="0DB65634"/>
    <w:rsid w:val="0EC15643"/>
    <w:rsid w:val="0EEF229D"/>
    <w:rsid w:val="0F5B6686"/>
    <w:rsid w:val="0F8A4296"/>
    <w:rsid w:val="0FDD1292"/>
    <w:rsid w:val="0FF96E56"/>
    <w:rsid w:val="0FFF0B47"/>
    <w:rsid w:val="102F69A3"/>
    <w:rsid w:val="10595C32"/>
    <w:rsid w:val="10AA5342"/>
    <w:rsid w:val="10C33B0F"/>
    <w:rsid w:val="10F03177"/>
    <w:rsid w:val="10FB257E"/>
    <w:rsid w:val="11310FBB"/>
    <w:rsid w:val="118E0AC0"/>
    <w:rsid w:val="11AE585A"/>
    <w:rsid w:val="11C36205"/>
    <w:rsid w:val="11F84C47"/>
    <w:rsid w:val="12320CAD"/>
    <w:rsid w:val="12437AFC"/>
    <w:rsid w:val="12523281"/>
    <w:rsid w:val="130C5054"/>
    <w:rsid w:val="14011A1D"/>
    <w:rsid w:val="140E5DE0"/>
    <w:rsid w:val="141F6347"/>
    <w:rsid w:val="147045F0"/>
    <w:rsid w:val="14A53D07"/>
    <w:rsid w:val="14B60DBE"/>
    <w:rsid w:val="150A6991"/>
    <w:rsid w:val="150C4D2B"/>
    <w:rsid w:val="153E3968"/>
    <w:rsid w:val="16F61981"/>
    <w:rsid w:val="17BA4E9E"/>
    <w:rsid w:val="17EF7AD2"/>
    <w:rsid w:val="17FA7E65"/>
    <w:rsid w:val="18427458"/>
    <w:rsid w:val="184E2D57"/>
    <w:rsid w:val="197F1B0E"/>
    <w:rsid w:val="198D5B01"/>
    <w:rsid w:val="19983291"/>
    <w:rsid w:val="19A63761"/>
    <w:rsid w:val="19A91329"/>
    <w:rsid w:val="19C9339C"/>
    <w:rsid w:val="19C95A5B"/>
    <w:rsid w:val="1A2B77F4"/>
    <w:rsid w:val="1A350E98"/>
    <w:rsid w:val="1A4C6DBB"/>
    <w:rsid w:val="1A5C0DCD"/>
    <w:rsid w:val="1A5D706A"/>
    <w:rsid w:val="1AAD10BF"/>
    <w:rsid w:val="1AAE3D5A"/>
    <w:rsid w:val="1B1464DA"/>
    <w:rsid w:val="1B9F38C9"/>
    <w:rsid w:val="1BBF5978"/>
    <w:rsid w:val="1BCC1F28"/>
    <w:rsid w:val="1BE5091B"/>
    <w:rsid w:val="1C864BDA"/>
    <w:rsid w:val="1C941E1E"/>
    <w:rsid w:val="1C9B4951"/>
    <w:rsid w:val="1CF55E97"/>
    <w:rsid w:val="1D4756AB"/>
    <w:rsid w:val="1D4D020A"/>
    <w:rsid w:val="1D9FCCFB"/>
    <w:rsid w:val="1DC7AF6F"/>
    <w:rsid w:val="1DEA6A1F"/>
    <w:rsid w:val="1E933BB9"/>
    <w:rsid w:val="1EAC654C"/>
    <w:rsid w:val="1EE16DEA"/>
    <w:rsid w:val="1F3D01E5"/>
    <w:rsid w:val="1F6116EF"/>
    <w:rsid w:val="1F7EC493"/>
    <w:rsid w:val="1F983263"/>
    <w:rsid w:val="1F9D5C31"/>
    <w:rsid w:val="1F9FB89F"/>
    <w:rsid w:val="1FAB1A41"/>
    <w:rsid w:val="1FF45F6F"/>
    <w:rsid w:val="1FFB03D5"/>
    <w:rsid w:val="1FFFA28B"/>
    <w:rsid w:val="202A2EDB"/>
    <w:rsid w:val="203F2777"/>
    <w:rsid w:val="20421655"/>
    <w:rsid w:val="20633C30"/>
    <w:rsid w:val="21535467"/>
    <w:rsid w:val="2193733E"/>
    <w:rsid w:val="21BB1DAB"/>
    <w:rsid w:val="21F37F51"/>
    <w:rsid w:val="221C0FE2"/>
    <w:rsid w:val="2227090F"/>
    <w:rsid w:val="22B5691D"/>
    <w:rsid w:val="22DA750F"/>
    <w:rsid w:val="22DB5B2F"/>
    <w:rsid w:val="2311076F"/>
    <w:rsid w:val="23CE130B"/>
    <w:rsid w:val="243E1982"/>
    <w:rsid w:val="25A77F4A"/>
    <w:rsid w:val="25C603D0"/>
    <w:rsid w:val="25E77FB2"/>
    <w:rsid w:val="26082272"/>
    <w:rsid w:val="26771534"/>
    <w:rsid w:val="26AA5F44"/>
    <w:rsid w:val="26AF0AB7"/>
    <w:rsid w:val="26F04483"/>
    <w:rsid w:val="2870455C"/>
    <w:rsid w:val="28706AC5"/>
    <w:rsid w:val="28B0474F"/>
    <w:rsid w:val="28C06F89"/>
    <w:rsid w:val="28FD0FCB"/>
    <w:rsid w:val="291678C1"/>
    <w:rsid w:val="293F7E11"/>
    <w:rsid w:val="29A0656A"/>
    <w:rsid w:val="2A0F0C91"/>
    <w:rsid w:val="2AEC7FE2"/>
    <w:rsid w:val="2AFE4323"/>
    <w:rsid w:val="2B05199B"/>
    <w:rsid w:val="2BAA7930"/>
    <w:rsid w:val="2C940BB2"/>
    <w:rsid w:val="2CDD5986"/>
    <w:rsid w:val="2D1D5A88"/>
    <w:rsid w:val="2D316120"/>
    <w:rsid w:val="2D8E6BA2"/>
    <w:rsid w:val="2E3C43E6"/>
    <w:rsid w:val="2E70277E"/>
    <w:rsid w:val="2E705A47"/>
    <w:rsid w:val="2FEE0701"/>
    <w:rsid w:val="3014442E"/>
    <w:rsid w:val="3062519A"/>
    <w:rsid w:val="306F7D8F"/>
    <w:rsid w:val="30977539"/>
    <w:rsid w:val="310B4584"/>
    <w:rsid w:val="31693F42"/>
    <w:rsid w:val="31796C3F"/>
    <w:rsid w:val="319770C5"/>
    <w:rsid w:val="31A124F9"/>
    <w:rsid w:val="31CA58BC"/>
    <w:rsid w:val="31D077C5"/>
    <w:rsid w:val="31D37AED"/>
    <w:rsid w:val="31FC55F3"/>
    <w:rsid w:val="32676D4E"/>
    <w:rsid w:val="32BA5880"/>
    <w:rsid w:val="32D45CEA"/>
    <w:rsid w:val="33591224"/>
    <w:rsid w:val="33704C79"/>
    <w:rsid w:val="33EB1D17"/>
    <w:rsid w:val="3448001A"/>
    <w:rsid w:val="346936A8"/>
    <w:rsid w:val="34C639DE"/>
    <w:rsid w:val="34C75A4A"/>
    <w:rsid w:val="34E10969"/>
    <w:rsid w:val="34EC3BCC"/>
    <w:rsid w:val="355FF4CF"/>
    <w:rsid w:val="35697251"/>
    <w:rsid w:val="35923A74"/>
    <w:rsid w:val="36490DA2"/>
    <w:rsid w:val="365E5683"/>
    <w:rsid w:val="368F4C53"/>
    <w:rsid w:val="36A37DB9"/>
    <w:rsid w:val="36FF6F53"/>
    <w:rsid w:val="375F3DDC"/>
    <w:rsid w:val="376D0C98"/>
    <w:rsid w:val="37710351"/>
    <w:rsid w:val="37D8C0DD"/>
    <w:rsid w:val="38031C25"/>
    <w:rsid w:val="38320438"/>
    <w:rsid w:val="38D330D8"/>
    <w:rsid w:val="39141265"/>
    <w:rsid w:val="39157E9B"/>
    <w:rsid w:val="39271051"/>
    <w:rsid w:val="397523E2"/>
    <w:rsid w:val="39CF6FE3"/>
    <w:rsid w:val="3A12314E"/>
    <w:rsid w:val="3A410243"/>
    <w:rsid w:val="3A7F4945"/>
    <w:rsid w:val="3AA73640"/>
    <w:rsid w:val="3B1D62B3"/>
    <w:rsid w:val="3B54011B"/>
    <w:rsid w:val="3B9F0570"/>
    <w:rsid w:val="3BCC45B7"/>
    <w:rsid w:val="3C154723"/>
    <w:rsid w:val="3CF25BD7"/>
    <w:rsid w:val="3D2516CA"/>
    <w:rsid w:val="3D723258"/>
    <w:rsid w:val="3DC5127A"/>
    <w:rsid w:val="3DFF1EDF"/>
    <w:rsid w:val="3DFFBD2F"/>
    <w:rsid w:val="3E180CC1"/>
    <w:rsid w:val="3EE020AB"/>
    <w:rsid w:val="3F1B3DD8"/>
    <w:rsid w:val="3F4555EE"/>
    <w:rsid w:val="3F59624C"/>
    <w:rsid w:val="3FA3C27F"/>
    <w:rsid w:val="3FDD2552"/>
    <w:rsid w:val="3FEA37B6"/>
    <w:rsid w:val="3FFF07D0"/>
    <w:rsid w:val="400E0FA4"/>
    <w:rsid w:val="409277B7"/>
    <w:rsid w:val="40F869A3"/>
    <w:rsid w:val="416403A8"/>
    <w:rsid w:val="41A23A7A"/>
    <w:rsid w:val="424029A2"/>
    <w:rsid w:val="42592B22"/>
    <w:rsid w:val="42791B7A"/>
    <w:rsid w:val="42B04BFC"/>
    <w:rsid w:val="43182221"/>
    <w:rsid w:val="43635059"/>
    <w:rsid w:val="438B475E"/>
    <w:rsid w:val="43B17DC4"/>
    <w:rsid w:val="44143AA3"/>
    <w:rsid w:val="449C3A47"/>
    <w:rsid w:val="44B76C5C"/>
    <w:rsid w:val="44BE3F5B"/>
    <w:rsid w:val="44D51CBF"/>
    <w:rsid w:val="44F3200D"/>
    <w:rsid w:val="455D3889"/>
    <w:rsid w:val="459F41C9"/>
    <w:rsid w:val="46217C1A"/>
    <w:rsid w:val="46300235"/>
    <w:rsid w:val="465E7A7F"/>
    <w:rsid w:val="46F6477A"/>
    <w:rsid w:val="471B0005"/>
    <w:rsid w:val="472D60AA"/>
    <w:rsid w:val="477F11E4"/>
    <w:rsid w:val="478A6475"/>
    <w:rsid w:val="478FAA1F"/>
    <w:rsid w:val="47940C61"/>
    <w:rsid w:val="48103286"/>
    <w:rsid w:val="481903DC"/>
    <w:rsid w:val="483E3549"/>
    <w:rsid w:val="489010DC"/>
    <w:rsid w:val="4898656F"/>
    <w:rsid w:val="48EC70FB"/>
    <w:rsid w:val="4910358D"/>
    <w:rsid w:val="492C219C"/>
    <w:rsid w:val="49D44AE5"/>
    <w:rsid w:val="49DE41BE"/>
    <w:rsid w:val="4A1A0DA4"/>
    <w:rsid w:val="4A1B1C83"/>
    <w:rsid w:val="4A1D4FBC"/>
    <w:rsid w:val="4A3E110C"/>
    <w:rsid w:val="4AFD3FE5"/>
    <w:rsid w:val="4B075C92"/>
    <w:rsid w:val="4BC1751C"/>
    <w:rsid w:val="4BE43E1D"/>
    <w:rsid w:val="4BFE643B"/>
    <w:rsid w:val="4C124E20"/>
    <w:rsid w:val="4CC308E1"/>
    <w:rsid w:val="4CFD3CE8"/>
    <w:rsid w:val="4DE12CEB"/>
    <w:rsid w:val="4DEF444E"/>
    <w:rsid w:val="4E3D697F"/>
    <w:rsid w:val="4EFA3BA1"/>
    <w:rsid w:val="4FFD30BF"/>
    <w:rsid w:val="50285660"/>
    <w:rsid w:val="50406436"/>
    <w:rsid w:val="504F169B"/>
    <w:rsid w:val="507022B3"/>
    <w:rsid w:val="509D2355"/>
    <w:rsid w:val="50BE26EA"/>
    <w:rsid w:val="51415D3D"/>
    <w:rsid w:val="51FE0EC5"/>
    <w:rsid w:val="52A22389"/>
    <w:rsid w:val="52DC0984"/>
    <w:rsid w:val="5306650F"/>
    <w:rsid w:val="53514ABF"/>
    <w:rsid w:val="53690FF8"/>
    <w:rsid w:val="53932FAA"/>
    <w:rsid w:val="53BC416F"/>
    <w:rsid w:val="53C14D36"/>
    <w:rsid w:val="53E915AA"/>
    <w:rsid w:val="541054C6"/>
    <w:rsid w:val="541F7680"/>
    <w:rsid w:val="545D78A2"/>
    <w:rsid w:val="546B37FC"/>
    <w:rsid w:val="5477043D"/>
    <w:rsid w:val="54AB2BD0"/>
    <w:rsid w:val="54C607BF"/>
    <w:rsid w:val="54D2AC24"/>
    <w:rsid w:val="54F1676A"/>
    <w:rsid w:val="555C551E"/>
    <w:rsid w:val="55B318A1"/>
    <w:rsid w:val="567809C3"/>
    <w:rsid w:val="56CF0F2B"/>
    <w:rsid w:val="56E70802"/>
    <w:rsid w:val="56FE36F5"/>
    <w:rsid w:val="573838A6"/>
    <w:rsid w:val="574C257C"/>
    <w:rsid w:val="57CC546B"/>
    <w:rsid w:val="57DE0CFA"/>
    <w:rsid w:val="57EBFA50"/>
    <w:rsid w:val="5879605B"/>
    <w:rsid w:val="58E47B6E"/>
    <w:rsid w:val="590B76B5"/>
    <w:rsid w:val="592B0841"/>
    <w:rsid w:val="595B6AA6"/>
    <w:rsid w:val="59CE2DE5"/>
    <w:rsid w:val="5A5468C1"/>
    <w:rsid w:val="5AB9477F"/>
    <w:rsid w:val="5B300DD1"/>
    <w:rsid w:val="5B7612E6"/>
    <w:rsid w:val="5B7D38BC"/>
    <w:rsid w:val="5BFB2DB5"/>
    <w:rsid w:val="5CAE1C65"/>
    <w:rsid w:val="5CD146BD"/>
    <w:rsid w:val="5CFEE265"/>
    <w:rsid w:val="5D382BEB"/>
    <w:rsid w:val="5D3C274B"/>
    <w:rsid w:val="5D3E5728"/>
    <w:rsid w:val="5D71002C"/>
    <w:rsid w:val="5D752101"/>
    <w:rsid w:val="5DDA6229"/>
    <w:rsid w:val="5DF4376F"/>
    <w:rsid w:val="5E1F4055"/>
    <w:rsid w:val="5E5C65A1"/>
    <w:rsid w:val="5EA84E60"/>
    <w:rsid w:val="5EBF04F0"/>
    <w:rsid w:val="5ED66A25"/>
    <w:rsid w:val="5EF9DDEE"/>
    <w:rsid w:val="5EFB81A2"/>
    <w:rsid w:val="5F4D0329"/>
    <w:rsid w:val="5F583CD7"/>
    <w:rsid w:val="5F6176ED"/>
    <w:rsid w:val="5F6FE460"/>
    <w:rsid w:val="5F7F5E9C"/>
    <w:rsid w:val="5FA7A488"/>
    <w:rsid w:val="5FB273FD"/>
    <w:rsid w:val="5FFBB4EA"/>
    <w:rsid w:val="60325507"/>
    <w:rsid w:val="6050574A"/>
    <w:rsid w:val="607D515C"/>
    <w:rsid w:val="607E67DA"/>
    <w:rsid w:val="610779A8"/>
    <w:rsid w:val="614B38A4"/>
    <w:rsid w:val="614C3178"/>
    <w:rsid w:val="621511D8"/>
    <w:rsid w:val="621653BA"/>
    <w:rsid w:val="624F75D6"/>
    <w:rsid w:val="62F5139A"/>
    <w:rsid w:val="63BF1C96"/>
    <w:rsid w:val="6416752C"/>
    <w:rsid w:val="64387269"/>
    <w:rsid w:val="654D7EE0"/>
    <w:rsid w:val="655459F9"/>
    <w:rsid w:val="658156F8"/>
    <w:rsid w:val="6586009D"/>
    <w:rsid w:val="66EE873C"/>
    <w:rsid w:val="67054DA9"/>
    <w:rsid w:val="671D4CBB"/>
    <w:rsid w:val="67FF49E7"/>
    <w:rsid w:val="68F75C8D"/>
    <w:rsid w:val="691F3187"/>
    <w:rsid w:val="695B13B0"/>
    <w:rsid w:val="69A9503A"/>
    <w:rsid w:val="6A487CC5"/>
    <w:rsid w:val="6AA11FFE"/>
    <w:rsid w:val="6AA7500C"/>
    <w:rsid w:val="6BC00783"/>
    <w:rsid w:val="6BC51D04"/>
    <w:rsid w:val="6C40561F"/>
    <w:rsid w:val="6C573C4E"/>
    <w:rsid w:val="6D04082D"/>
    <w:rsid w:val="6D267BD4"/>
    <w:rsid w:val="6D4938B6"/>
    <w:rsid w:val="6D9EFDBC"/>
    <w:rsid w:val="6E054C0E"/>
    <w:rsid w:val="6E391AF1"/>
    <w:rsid w:val="6E3A2388"/>
    <w:rsid w:val="6E67888A"/>
    <w:rsid w:val="6EDD5168"/>
    <w:rsid w:val="6F260569"/>
    <w:rsid w:val="6F3A193D"/>
    <w:rsid w:val="6FDF47CC"/>
    <w:rsid w:val="6FED26DA"/>
    <w:rsid w:val="6FEE9984"/>
    <w:rsid w:val="6FFD8DC3"/>
    <w:rsid w:val="70075990"/>
    <w:rsid w:val="701C35F1"/>
    <w:rsid w:val="705E24F7"/>
    <w:rsid w:val="70666977"/>
    <w:rsid w:val="70CF44A8"/>
    <w:rsid w:val="70DD6002"/>
    <w:rsid w:val="70E84159"/>
    <w:rsid w:val="70EE366D"/>
    <w:rsid w:val="71081C54"/>
    <w:rsid w:val="714317DD"/>
    <w:rsid w:val="71530A68"/>
    <w:rsid w:val="71A212BE"/>
    <w:rsid w:val="71A24435"/>
    <w:rsid w:val="71BFB426"/>
    <w:rsid w:val="727F296F"/>
    <w:rsid w:val="72AE2191"/>
    <w:rsid w:val="73910128"/>
    <w:rsid w:val="73AD5A9C"/>
    <w:rsid w:val="73F7ACC7"/>
    <w:rsid w:val="744503BC"/>
    <w:rsid w:val="749434A7"/>
    <w:rsid w:val="74C000F3"/>
    <w:rsid w:val="74D6127F"/>
    <w:rsid w:val="74FF8FF9"/>
    <w:rsid w:val="755F161D"/>
    <w:rsid w:val="75966E65"/>
    <w:rsid w:val="75982A7C"/>
    <w:rsid w:val="75BE4EBA"/>
    <w:rsid w:val="766B53D9"/>
    <w:rsid w:val="7690441B"/>
    <w:rsid w:val="76EB4352"/>
    <w:rsid w:val="76EDCBE0"/>
    <w:rsid w:val="7750136A"/>
    <w:rsid w:val="777619C6"/>
    <w:rsid w:val="7777B81D"/>
    <w:rsid w:val="77962542"/>
    <w:rsid w:val="77BBD96A"/>
    <w:rsid w:val="77CFF833"/>
    <w:rsid w:val="77E71047"/>
    <w:rsid w:val="77EE9186"/>
    <w:rsid w:val="77F30BA8"/>
    <w:rsid w:val="77FBF412"/>
    <w:rsid w:val="77FFCE18"/>
    <w:rsid w:val="7800416F"/>
    <w:rsid w:val="78557619"/>
    <w:rsid w:val="787466AD"/>
    <w:rsid w:val="78925C5D"/>
    <w:rsid w:val="792A555B"/>
    <w:rsid w:val="79532E9E"/>
    <w:rsid w:val="797B578E"/>
    <w:rsid w:val="79E1494E"/>
    <w:rsid w:val="7A835A05"/>
    <w:rsid w:val="7ADF7AAB"/>
    <w:rsid w:val="7AF83E4D"/>
    <w:rsid w:val="7AFD02D5"/>
    <w:rsid w:val="7B6A0636"/>
    <w:rsid w:val="7BC455B8"/>
    <w:rsid w:val="7BDEE38B"/>
    <w:rsid w:val="7BE5FC08"/>
    <w:rsid w:val="7BFF297D"/>
    <w:rsid w:val="7CE36209"/>
    <w:rsid w:val="7CEC6F27"/>
    <w:rsid w:val="7CFE012B"/>
    <w:rsid w:val="7D502CDB"/>
    <w:rsid w:val="7DBF479C"/>
    <w:rsid w:val="7DD60D82"/>
    <w:rsid w:val="7DDD18C6"/>
    <w:rsid w:val="7DEE6D1B"/>
    <w:rsid w:val="7DFDDBC4"/>
    <w:rsid w:val="7E014DE9"/>
    <w:rsid w:val="7E196995"/>
    <w:rsid w:val="7E230E82"/>
    <w:rsid w:val="7E7F8C97"/>
    <w:rsid w:val="7E7FD36B"/>
    <w:rsid w:val="7ED17EA2"/>
    <w:rsid w:val="7ED58475"/>
    <w:rsid w:val="7EFD62B8"/>
    <w:rsid w:val="7F0CA3CE"/>
    <w:rsid w:val="7F0E20EC"/>
    <w:rsid w:val="7F51026F"/>
    <w:rsid w:val="7F5654C8"/>
    <w:rsid w:val="7F5B9581"/>
    <w:rsid w:val="7F6549F4"/>
    <w:rsid w:val="7F77A5D8"/>
    <w:rsid w:val="7FDB8F05"/>
    <w:rsid w:val="7FEFBC99"/>
    <w:rsid w:val="7FFD9FAF"/>
    <w:rsid w:val="7FFE5E09"/>
    <w:rsid w:val="7FFE892A"/>
    <w:rsid w:val="7FFF803A"/>
    <w:rsid w:val="7FFF841D"/>
    <w:rsid w:val="8EFAD4BF"/>
    <w:rsid w:val="8FDB4CF9"/>
    <w:rsid w:val="9BB7082D"/>
    <w:rsid w:val="9D5BE961"/>
    <w:rsid w:val="9DBFCA8F"/>
    <w:rsid w:val="9EDC7D49"/>
    <w:rsid w:val="9FBDAE9C"/>
    <w:rsid w:val="9FF5E0DC"/>
    <w:rsid w:val="AED5F786"/>
    <w:rsid w:val="AF760A73"/>
    <w:rsid w:val="B3DFA318"/>
    <w:rsid w:val="B3FEFA28"/>
    <w:rsid w:val="B51FAD69"/>
    <w:rsid w:val="B6DF6006"/>
    <w:rsid w:val="B7FDFBE5"/>
    <w:rsid w:val="BBBDBBB3"/>
    <w:rsid w:val="BBBF1A01"/>
    <w:rsid w:val="BBFF1C2D"/>
    <w:rsid w:val="BEA379B5"/>
    <w:rsid w:val="BEDB0728"/>
    <w:rsid w:val="BF3B620C"/>
    <w:rsid w:val="BFCE3A28"/>
    <w:rsid w:val="BFFF52B5"/>
    <w:rsid w:val="CCF612BE"/>
    <w:rsid w:val="CDDF0744"/>
    <w:rsid w:val="CDE59F2B"/>
    <w:rsid w:val="CEF70D46"/>
    <w:rsid w:val="D3BE3014"/>
    <w:rsid w:val="D67E4E34"/>
    <w:rsid w:val="D7D7C824"/>
    <w:rsid w:val="DAFAA7D6"/>
    <w:rsid w:val="DD716AE0"/>
    <w:rsid w:val="DDED3C76"/>
    <w:rsid w:val="DEFF2A70"/>
    <w:rsid w:val="DFEDF399"/>
    <w:rsid w:val="E9CFF150"/>
    <w:rsid w:val="EABE35E2"/>
    <w:rsid w:val="EB4784AA"/>
    <w:rsid w:val="EB6F1F0D"/>
    <w:rsid w:val="EB7FE653"/>
    <w:rsid w:val="EBB36D3A"/>
    <w:rsid w:val="EBBB36E8"/>
    <w:rsid w:val="EEC6AA9C"/>
    <w:rsid w:val="EEF819D4"/>
    <w:rsid w:val="EF6DF45C"/>
    <w:rsid w:val="EFF45F39"/>
    <w:rsid w:val="EFFFBCBD"/>
    <w:rsid w:val="F1F7B839"/>
    <w:rsid w:val="F1FE635F"/>
    <w:rsid w:val="F37EA570"/>
    <w:rsid w:val="F3D64C83"/>
    <w:rsid w:val="F4FBDF9C"/>
    <w:rsid w:val="F6DFCB9D"/>
    <w:rsid w:val="F6F605E9"/>
    <w:rsid w:val="F6F9B95D"/>
    <w:rsid w:val="F7F74C53"/>
    <w:rsid w:val="F7F87B5C"/>
    <w:rsid w:val="F9FCAB9F"/>
    <w:rsid w:val="FAF8FD60"/>
    <w:rsid w:val="FBADFC6A"/>
    <w:rsid w:val="FBBF640E"/>
    <w:rsid w:val="FCFF8C13"/>
    <w:rsid w:val="FD3D6124"/>
    <w:rsid w:val="FDCA0760"/>
    <w:rsid w:val="FDE96D59"/>
    <w:rsid w:val="FDEE1D1A"/>
    <w:rsid w:val="FE1D22BB"/>
    <w:rsid w:val="FED74C57"/>
    <w:rsid w:val="FEF5D975"/>
    <w:rsid w:val="FEFB1982"/>
    <w:rsid w:val="FEFD0C4D"/>
    <w:rsid w:val="FEFEE7E8"/>
    <w:rsid w:val="FEFF1620"/>
    <w:rsid w:val="FEFF71F6"/>
    <w:rsid w:val="FF2BA964"/>
    <w:rsid w:val="FFB771BD"/>
    <w:rsid w:val="FFBF570E"/>
    <w:rsid w:val="FFBF96D0"/>
    <w:rsid w:val="FFC3FAAB"/>
    <w:rsid w:val="FFCB1C23"/>
    <w:rsid w:val="FFCEF536"/>
    <w:rsid w:val="FFDB51D8"/>
    <w:rsid w:val="FFEC5CE9"/>
    <w:rsid w:val="FFEF02DC"/>
    <w:rsid w:val="FFF5B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24"/>
      <w:szCs w:val="22"/>
      <w:lang w:val="en-US" w:eastAsia="zh-CN" w:bidi="ar-SA"/>
    </w:rPr>
  </w:style>
  <w:style w:type="paragraph" w:styleId="2">
    <w:name w:val="heading 1"/>
    <w:basedOn w:val="1"/>
    <w:next w:val="1"/>
    <w:link w:val="29"/>
    <w:qFormat/>
    <w:uiPriority w:val="0"/>
    <w:pPr>
      <w:keepNext/>
      <w:keepLines/>
      <w:numPr>
        <w:ilvl w:val="0"/>
        <w:numId w:val="1"/>
      </w:numPr>
      <w:spacing w:line="360" w:lineRule="auto"/>
      <w:jc w:val="center"/>
      <w:outlineLvl w:val="0"/>
    </w:pPr>
    <w:rPr>
      <w:rFonts w:eastAsia="黑体"/>
      <w:kern w:val="44"/>
      <w:sz w:val="28"/>
    </w:rPr>
  </w:style>
  <w:style w:type="paragraph" w:styleId="3">
    <w:name w:val="heading 2"/>
    <w:basedOn w:val="1"/>
    <w:next w:val="1"/>
    <w:link w:val="28"/>
    <w:unhideWhenUsed/>
    <w:qFormat/>
    <w:uiPriority w:val="0"/>
    <w:pPr>
      <w:keepNext/>
      <w:keepLines/>
      <w:numPr>
        <w:ilvl w:val="1"/>
        <w:numId w:val="1"/>
      </w:numPr>
      <w:tabs>
        <w:tab w:val="left" w:pos="1134"/>
        <w:tab w:val="clear" w:pos="3261"/>
      </w:tabs>
      <w:spacing w:line="360" w:lineRule="auto"/>
      <w:ind w:left="0" w:firstLine="720" w:firstLineChars="200"/>
      <w:jc w:val="left"/>
      <w:outlineLvl w:val="1"/>
    </w:pPr>
    <w:rPr>
      <w:rFonts w:ascii="Arial" w:hAnsi="Arial"/>
      <w:b/>
    </w:rPr>
  </w:style>
  <w:style w:type="paragraph" w:styleId="4">
    <w:name w:val="heading 3"/>
    <w:basedOn w:val="1"/>
    <w:next w:val="1"/>
    <w:link w:val="30"/>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qFormat/>
    <w:uiPriority w:val="99"/>
    <w:pPr>
      <w:jc w:val="left"/>
    </w:pPr>
    <w:rPr>
      <w:rFonts w:ascii="Calibri" w:hAnsi="Calibri" w:eastAsia="宋体" w:cs="Times New Roman"/>
    </w:rPr>
  </w:style>
  <w:style w:type="paragraph" w:styleId="12">
    <w:name w:val="Balloon Text"/>
    <w:basedOn w:val="1"/>
    <w:link w:val="22"/>
    <w:semiHidden/>
    <w:unhideWhenUsed/>
    <w:qFormat/>
    <w:uiPriority w:val="0"/>
    <w:rPr>
      <w:sz w:val="18"/>
      <w:szCs w:val="18"/>
    </w:rPr>
  </w:style>
  <w:style w:type="paragraph" w:styleId="13">
    <w:name w:val="footer"/>
    <w:basedOn w:val="1"/>
    <w:qFormat/>
    <w:uiPriority w:val="0"/>
    <w:pPr>
      <w:tabs>
        <w:tab w:val="center" w:pos="4153"/>
        <w:tab w:val="right" w:pos="8306"/>
      </w:tabs>
      <w:snapToGrid w:val="0"/>
      <w:jc w:val="left"/>
    </w:pPr>
    <w:rPr>
      <w:kern w:val="0"/>
      <w:sz w:val="18"/>
      <w:szCs w:val="18"/>
    </w:rPr>
  </w:style>
  <w:style w:type="paragraph" w:styleId="14">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7"/>
    <w:semiHidden/>
    <w:unhideWhenUsed/>
    <w:qFormat/>
    <w:uiPriority w:val="0"/>
    <w:rPr>
      <w:rFonts w:asciiTheme="minorHAnsi" w:hAnsiTheme="minorHAnsi" w:eastAsiaTheme="minorEastAsia" w:cstheme="minorBidi"/>
      <w:b/>
      <w:bCs/>
    </w:rPr>
  </w:style>
  <w:style w:type="table" w:styleId="17">
    <w:name w:val="Table Grid"/>
    <w:basedOn w:val="16"/>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annotation reference"/>
    <w:basedOn w:val="18"/>
    <w:qFormat/>
    <w:uiPriority w:val="0"/>
    <w:rPr>
      <w:sz w:val="21"/>
      <w:szCs w:val="21"/>
    </w:rPr>
  </w:style>
  <w:style w:type="character" w:customStyle="1" w:styleId="21">
    <w:name w:val="页眉 字符"/>
    <w:basedOn w:val="18"/>
    <w:link w:val="14"/>
    <w:qFormat/>
    <w:uiPriority w:val="0"/>
    <w:rPr>
      <w:kern w:val="2"/>
      <w:sz w:val="18"/>
      <w:szCs w:val="18"/>
    </w:rPr>
  </w:style>
  <w:style w:type="character" w:customStyle="1" w:styleId="22">
    <w:name w:val="批注框文本 字符"/>
    <w:basedOn w:val="18"/>
    <w:link w:val="12"/>
    <w:semiHidden/>
    <w:qFormat/>
    <w:uiPriority w:val="0"/>
    <w:rPr>
      <w:kern w:val="2"/>
      <w:sz w:val="18"/>
      <w:szCs w:val="18"/>
    </w:rPr>
  </w:style>
  <w:style w:type="paragraph" w:styleId="23">
    <w:name w:val="List Paragraph"/>
    <w:basedOn w:val="1"/>
    <w:unhideWhenUsed/>
    <w:qFormat/>
    <w:uiPriority w:val="99"/>
    <w:pPr>
      <w:ind w:firstLine="420" w:firstLineChars="200"/>
    </w:pPr>
  </w:style>
  <w:style w:type="character" w:customStyle="1" w:styleId="24">
    <w:name w:val="批注文字 字符"/>
    <w:basedOn w:val="18"/>
    <w:link w:val="11"/>
    <w:qFormat/>
    <w:uiPriority w:val="99"/>
    <w:rPr>
      <w:rFonts w:ascii="Calibri" w:hAnsi="Calibri" w:eastAsia="宋体" w:cs="Times New Roman"/>
      <w:kern w:val="2"/>
      <w:sz w:val="21"/>
      <w:szCs w:val="22"/>
    </w:rPr>
  </w:style>
  <w:style w:type="character" w:customStyle="1" w:styleId="25">
    <w:name w:val="fontstyle01"/>
    <w:basedOn w:val="18"/>
    <w:qFormat/>
    <w:uiPriority w:val="0"/>
    <w:rPr>
      <w:rFonts w:hint="eastAsia" w:ascii="黑体" w:hAnsi="黑体" w:eastAsia="黑体"/>
      <w:color w:val="000000"/>
      <w:sz w:val="18"/>
      <w:szCs w:val="18"/>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主题 字符"/>
    <w:basedOn w:val="24"/>
    <w:link w:val="15"/>
    <w:semiHidden/>
    <w:qFormat/>
    <w:uiPriority w:val="0"/>
    <w:rPr>
      <w:rFonts w:asciiTheme="minorHAnsi" w:hAnsiTheme="minorHAnsi" w:eastAsiaTheme="minorEastAsia" w:cstheme="minorBidi"/>
      <w:b/>
      <w:bCs/>
      <w:kern w:val="2"/>
      <w:sz w:val="21"/>
      <w:szCs w:val="22"/>
    </w:rPr>
  </w:style>
  <w:style w:type="character" w:customStyle="1" w:styleId="28">
    <w:name w:val="标题 2 字符"/>
    <w:link w:val="3"/>
    <w:qFormat/>
    <w:uiPriority w:val="0"/>
    <w:rPr>
      <w:rFonts w:ascii="Arial" w:hAnsi="Arial" w:eastAsia="仿宋_GB2312"/>
      <w:b/>
    </w:rPr>
  </w:style>
  <w:style w:type="character" w:customStyle="1" w:styleId="29">
    <w:name w:val="标题 1 字符"/>
    <w:link w:val="2"/>
    <w:qFormat/>
    <w:uiPriority w:val="0"/>
    <w:rPr>
      <w:rFonts w:eastAsia="黑体" w:asciiTheme="minorHAnsi" w:hAnsiTheme="minorHAnsi"/>
      <w:kern w:val="44"/>
      <w:sz w:val="28"/>
    </w:rPr>
  </w:style>
  <w:style w:type="character" w:customStyle="1" w:styleId="30">
    <w:name w:val="标题 3 字符"/>
    <w:link w:val="4"/>
    <w:qFormat/>
    <w:uiPriority w:val="0"/>
    <w:rPr>
      <w:b/>
      <w:sz w:val="32"/>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修订2"/>
    <w:hidden/>
    <w:semiHidden/>
    <w:qFormat/>
    <w:uiPriority w:val="99"/>
    <w:rPr>
      <w:rFonts w:eastAsia="仿宋_GB2312" w:asciiTheme="minorHAnsi" w:hAnsiTheme="minorHAnsi" w:cstheme="minorBidi"/>
      <w:kern w:val="2"/>
      <w:sz w:val="24"/>
      <w:szCs w:val="22"/>
      <w:lang w:val="en-US" w:eastAsia="zh-CN" w:bidi="ar-SA"/>
    </w:rPr>
  </w:style>
  <w:style w:type="paragraph" w:customStyle="1" w:styleId="33">
    <w:name w:val="p"/>
    <w:basedOn w:val="1"/>
    <w:qFormat/>
    <w:uiPriority w:val="0"/>
    <w:pPr>
      <w:spacing w:line="390" w:lineRule="atLeast"/>
      <w:ind w:firstLine="420"/>
    </w:pPr>
  </w:style>
  <w:style w:type="paragraph" w:customStyle="1" w:styleId="34">
    <w:name w:val="修订3"/>
    <w:hidden/>
    <w:unhideWhenUsed/>
    <w:qFormat/>
    <w:uiPriority w:val="99"/>
    <w:rPr>
      <w:rFonts w:eastAsia="仿宋_GB2312"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28686</Words>
  <Characters>29355</Characters>
  <Lines>187</Lines>
  <Paragraphs>52</Paragraphs>
  <TotalTime>0</TotalTime>
  <ScaleCrop>false</ScaleCrop>
  <LinksUpToDate>false</LinksUpToDate>
  <CharactersWithSpaces>29395</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2025-08-02T07:13:00Z</dcterms:created>
  <dc:creator>czbank</dc:creator>
  <cp:lastModifiedBy>C73A</cp:lastModifiedBy>
  <cp:lastPrinted>2024-09-21T07:45:00Z</cp:lastPrinted>
  <dcterms:modified xsi:type="dcterms:W3CDTF">2026-08-24T23:06:29Z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19BADE72FF014E76B4BC3AC8E833478A</vt:lpwstr>
  </property>
  <property fmtid="{D5CDD505-2E9C-101B-9397-08002B2CF9AE}" pid="4" name="KSOTemplateDocerSaveRecord">
    <vt:lpwstr>eyJoZGlkIjoiYWNhOTE4NDNjODhjYzgxMjRkZjJkNjAwYTFhNjQxOWQiLCJ1c2VySWQiOiIzNDYyMDcwMDIifQ==</vt:lpwstr>
  </property>
</Properties>
</file>