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val="0"/>
        <w:keepLines w:val="0"/>
        <w:pageBreakBefore w:val="0"/>
        <w:widowControl/>
        <w:kinsoku/>
        <w:wordWrap/>
        <w:overflowPunct/>
        <w:topLinePunct w:val="0"/>
        <w:autoSpaceDE/>
        <w:autoSpaceDN/>
        <w:bidi w:val="0"/>
        <w:adjustRightInd/>
        <w:snapToGrid/>
        <w:spacing w:before="0" w:beforeLines="50" w:beforeAutospacing="0" w:after="0" w:afterLines="5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苏银理财恒源1年定开17期</w:t>
      </w:r>
      <w:r>
        <w:rPr>
          <w:rFonts w:hint="eastAsia" w:ascii="楷体" w:hAnsi="楷体" w:eastAsia="楷体"/>
          <w:b/>
          <w:color w:val="auto"/>
          <w:sz w:val="28"/>
          <w:szCs w:val="28"/>
          <w:highlight w:val="none"/>
        </w:rPr>
        <w:t>”理财产品风险揭示书</w:t>
      </w:r>
    </w:p>
    <w:p>
      <w:pPr>
        <w:keepNext w:val="0"/>
        <w:keepLines w:val="0"/>
        <w:pageBreakBefore w:val="0"/>
        <w:widowControl w:val="0"/>
        <w:kinsoku/>
        <w:wordWrap/>
        <w:overflowPunct/>
        <w:topLinePunct w:val="0"/>
        <w:autoSpaceDE/>
        <w:autoSpaceDN/>
        <w:bidi w:val="0"/>
        <w:adjustRightInd/>
        <w:snapToGrid/>
        <w:spacing w:after="0" w:afterLines="50" w:line="240" w:lineRule="auto"/>
        <w:jc w:val="center"/>
        <w:textAlignment w:val="auto"/>
        <w:rPr>
          <w:rFonts w:hint="eastAsia" w:ascii="楷体" w:hAnsi="楷体" w:eastAsia="楷体" w:cs="宋体"/>
          <w:b/>
          <w:color w:val="auto"/>
          <w:sz w:val="28"/>
          <w:szCs w:val="28"/>
          <w:highlight w:val="none"/>
        </w:rPr>
      </w:pPr>
      <w:r>
        <w:rPr>
          <w:rFonts w:hint="eastAsia" w:ascii="楷体" w:hAnsi="楷体" w:eastAsia="楷体" w:cs="宋体"/>
          <w:b/>
          <w:color w:val="auto"/>
          <w:sz w:val="28"/>
          <w:szCs w:val="28"/>
          <w:highlight w:val="none"/>
        </w:rPr>
        <w:t>理财非存款、产品有风险、投资须谨慎</w:t>
      </w:r>
    </w:p>
    <w:p>
      <w:pPr>
        <w:pStyle w:val="23"/>
        <w:keepNext w:val="0"/>
        <w:keepLines w:val="0"/>
        <w:pageBreakBefore w:val="0"/>
        <w:bidi w:val="0"/>
        <w:spacing w:before="0" w:beforeAutospacing="0" w:after="0" w:afterAutospacing="0" w:line="310" w:lineRule="exact"/>
        <w:jc w:val="both"/>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尊敬的投资者：</w:t>
      </w:r>
    </w:p>
    <w:p>
      <w:pPr>
        <w:pStyle w:val="23"/>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由于理财资金在管理运用过程中可能面临多种风险因素，根据</w:t>
      </w:r>
      <w:r>
        <w:rPr>
          <w:rFonts w:hint="eastAsia" w:ascii="楷体" w:hAnsi="楷体" w:eastAsia="楷体" w:cs="Times New Roman"/>
          <w:sz w:val="21"/>
          <w:szCs w:val="21"/>
          <w:highlight w:val="none"/>
          <w:lang w:val="en-US" w:eastAsia="zh-CN"/>
        </w:rPr>
        <w:t>国家金融监督管理总局（以下简称“金融监管总局”）</w:t>
      </w:r>
      <w:r>
        <w:rPr>
          <w:rFonts w:hint="eastAsia" w:ascii="楷体" w:hAnsi="楷体" w:eastAsia="楷体" w:cs="Times New Roman"/>
          <w:color w:val="auto"/>
          <w:sz w:val="21"/>
          <w:szCs w:val="21"/>
          <w:highlight w:val="none"/>
        </w:rPr>
        <w:t>相关监管规定，苏银理财有限责任公司（以下简称“苏银理财”</w:t>
      </w:r>
      <w:r>
        <w:rPr>
          <w:rFonts w:hint="eastAsia" w:ascii="楷体" w:hAnsi="楷体" w:eastAsia="楷体" w:cs="Times New Roman"/>
          <w:color w:val="auto"/>
          <w:sz w:val="21"/>
          <w:szCs w:val="21"/>
          <w:highlight w:val="none"/>
          <w:lang w:val="en-US" w:eastAsia="zh-CN"/>
        </w:rPr>
        <w:t>或“管理人”</w:t>
      </w:r>
      <w:r>
        <w:rPr>
          <w:rFonts w:hint="eastAsia" w:ascii="楷体" w:hAnsi="楷体" w:eastAsia="楷体" w:cs="Times New Roman"/>
          <w:color w:val="auto"/>
          <w:sz w:val="21"/>
          <w:szCs w:val="21"/>
          <w:highlight w:val="none"/>
        </w:rPr>
        <w:t>）作为本理财产品的产品管理人郑重提示您：在您选择购买理财产品前，请仔细阅读本理财产品</w:t>
      </w:r>
      <w:r>
        <w:rPr>
          <w:rFonts w:hint="eastAsia" w:ascii="楷体" w:hAnsi="楷体" w:eastAsia="楷体" w:cs="Times New Roman"/>
          <w:color w:val="auto"/>
          <w:sz w:val="21"/>
          <w:szCs w:val="21"/>
          <w:highlight w:val="none"/>
          <w:lang w:val="en-US" w:eastAsia="zh-CN"/>
        </w:rPr>
        <w:t>完整销售文件</w:t>
      </w:r>
      <w:r>
        <w:rPr>
          <w:rFonts w:hint="eastAsia" w:ascii="楷体" w:hAnsi="楷体" w:eastAsia="楷体" w:cs="Times New Roman"/>
          <w:color w:val="auto"/>
          <w:sz w:val="21"/>
          <w:szCs w:val="21"/>
          <w:highlight w:val="none"/>
        </w:rPr>
        <w:t>（包括《风险揭示书》、《理财产品说明书》、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val="en-US" w:eastAsia="zh-CN"/>
        </w:rPr>
        <w:t>理财</w:t>
      </w:r>
      <w:r>
        <w:rPr>
          <w:rFonts w:hint="eastAsia" w:ascii="楷体" w:hAnsi="楷体" w:eastAsia="楷体" w:cs="Times New Roman"/>
          <w:color w:val="auto"/>
          <w:sz w:val="21"/>
          <w:szCs w:val="21"/>
          <w:highlight w:val="none"/>
        </w:rPr>
        <w:t>产品投资协议书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《投资者权益须知》</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理财产品（代理）销售协议书</w:t>
      </w:r>
      <w:r>
        <w:rPr>
          <w:rFonts w:hint="eastAsia" w:ascii="楷体" w:hAnsi="楷体" w:eastAsia="楷体" w:cs="Times New Roman"/>
          <w:color w:val="auto"/>
          <w:sz w:val="21"/>
          <w:szCs w:val="21"/>
          <w:highlight w:val="none"/>
        </w:rPr>
        <w:t>》），了解理财产品具体情况；在您购买理财产品后，请关注本理财产品的信息披露，及时获取相关信息。</w:t>
      </w:r>
    </w:p>
    <w:p>
      <w:pPr>
        <w:pStyle w:val="23"/>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苏银理财作为本理财产品管理人承诺以诚实信用、勤勉尽责的原则管理和运用理财产品资产，</w:t>
      </w:r>
      <w:r>
        <w:rPr>
          <w:rFonts w:hint="eastAsia" w:ascii="楷体" w:hAnsi="楷体" w:eastAsia="楷体" w:cs="Times New Roman"/>
          <w:b/>
          <w:color w:val="auto"/>
          <w:sz w:val="21"/>
          <w:szCs w:val="21"/>
          <w:highlight w:val="none"/>
          <w:u w:val="single"/>
        </w:rPr>
        <w:t>但不保证理财产品一定盈利，也不保证最低收益，极端情况下有可能会损失部分甚至全部本金。</w:t>
      </w:r>
      <w:r>
        <w:rPr>
          <w:rFonts w:hint="eastAsia" w:ascii="楷体" w:hAnsi="楷体" w:eastAsia="楷体" w:cs="Times New Roman"/>
          <w:color w:val="auto"/>
          <w:sz w:val="21"/>
          <w:szCs w:val="21"/>
          <w:highlight w:val="none"/>
        </w:rPr>
        <w:t>本风险揭示书旨在揭示本理财产品可能面临的各种风险，请您务必充分认识以下风险。</w:t>
      </w:r>
    </w:p>
    <w:p>
      <w:pPr>
        <w:keepNext w:val="0"/>
        <w:keepLines w:val="0"/>
        <w:pageBreakBefore w:val="0"/>
        <w:numPr>
          <w:ilvl w:val="0"/>
          <w:numId w:val="0"/>
        </w:numPr>
        <w:tabs>
          <w:tab w:val="left" w:pos="1134"/>
        </w:tabs>
        <w:bidi w:val="0"/>
        <w:spacing w:line="310" w:lineRule="exact"/>
        <w:ind w:left="482" w:leftChars="0"/>
        <w:rPr>
          <w:rFonts w:hint="eastAsia" w:ascii="楷体" w:hAnsi="楷体" w:eastAsia="楷体"/>
          <w:b/>
          <w:color w:val="auto"/>
          <w:sz w:val="24"/>
          <w:szCs w:val="24"/>
          <w:highlight w:val="none"/>
        </w:rPr>
      </w:pPr>
      <w:r>
        <w:rPr>
          <w:rFonts w:hint="eastAsia" w:ascii="楷体" w:hAnsi="楷体" w:eastAsia="楷体"/>
          <w:b/>
          <w:color w:val="auto"/>
          <w:sz w:val="24"/>
          <w:szCs w:val="24"/>
          <w:highlight w:val="none"/>
          <w:lang w:val="en-US" w:eastAsia="zh-CN"/>
        </w:rPr>
        <w:t>一、</w:t>
      </w:r>
      <w:r>
        <w:rPr>
          <w:rFonts w:hint="eastAsia" w:ascii="楷体" w:hAnsi="楷体" w:eastAsia="楷体"/>
          <w:b/>
          <w:color w:val="auto"/>
          <w:sz w:val="24"/>
          <w:szCs w:val="24"/>
          <w:highlight w:val="none"/>
        </w:rPr>
        <w:t>风险揭示</w:t>
      </w:r>
    </w:p>
    <w:p>
      <w:pPr>
        <w:pStyle w:val="23"/>
        <w:keepNext w:val="0"/>
        <w:keepLines w:val="0"/>
        <w:pageBreakBefore w:val="0"/>
        <w:bidi w:val="0"/>
        <w:spacing w:before="0" w:beforeAutospacing="0" w:after="0" w:afterAutospacing="0" w:line="310" w:lineRule="exact"/>
        <w:ind w:firstLine="420"/>
        <w:jc w:val="both"/>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一）</w:t>
      </w: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二）</w:t>
      </w: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三）</w:t>
      </w: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四）</w:t>
      </w: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五）</w:t>
      </w: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六）</w:t>
      </w: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bCs/>
          <w:color w:val="auto"/>
          <w:sz w:val="21"/>
          <w:szCs w:val="21"/>
          <w:highlight w:val="none"/>
          <w:lang w:val="en-US" w:eastAsia="zh-CN"/>
        </w:rPr>
        <w:t>（七）理财产品不成立风险：</w:t>
      </w:r>
      <w:r>
        <w:rPr>
          <w:rFonts w:hint="eastAsia" w:ascii="楷体" w:hAnsi="楷体" w:eastAsia="楷体"/>
          <w:color w:val="auto"/>
          <w:sz w:val="21"/>
          <w:szCs w:val="21"/>
          <w:highlight w:val="none"/>
          <w:lang w:val="en-US" w:eastAsia="zh-CN"/>
        </w:rPr>
        <w:t>募集期届满时，</w:t>
      </w:r>
      <w:r>
        <w:rPr>
          <w:rFonts w:hint="eastAsia" w:ascii="楷体" w:hAnsi="楷体" w:eastAsia="楷体" w:cs="楷体"/>
          <w:color w:val="auto"/>
          <w:spacing w:val="-2"/>
          <w:sz w:val="21"/>
          <w:szCs w:val="21"/>
          <w:highlight w:val="none"/>
        </w:rPr>
        <w:t>若产品认购规模未达到最低发行规模，或新的法律、法规或监管政策导致本产品无法合法合规运行，或出现其他导致影响产品成立</w:t>
      </w:r>
      <w:r>
        <w:rPr>
          <w:rFonts w:hint="eastAsia" w:ascii="楷体" w:hAnsi="楷体" w:eastAsia="楷体" w:cs="楷体"/>
          <w:color w:val="auto"/>
          <w:spacing w:val="-2"/>
          <w:sz w:val="21"/>
          <w:szCs w:val="21"/>
          <w:highlight w:val="none"/>
          <w:lang w:val="en-US" w:eastAsia="zh-CN"/>
        </w:rPr>
        <w:t>的</w:t>
      </w:r>
      <w:r>
        <w:rPr>
          <w:rFonts w:hint="eastAsia" w:ascii="楷体" w:hAnsi="楷体" w:eastAsia="楷体" w:cs="楷体"/>
          <w:color w:val="auto"/>
          <w:spacing w:val="-2"/>
          <w:sz w:val="21"/>
          <w:szCs w:val="21"/>
          <w:highlight w:val="none"/>
        </w:rPr>
        <w:t>不可抗力因素，</w:t>
      </w:r>
      <w:r>
        <w:rPr>
          <w:rFonts w:hint="eastAsia" w:ascii="楷体" w:hAnsi="楷体" w:eastAsia="楷体"/>
          <w:color w:val="auto"/>
          <w:sz w:val="21"/>
          <w:szCs w:val="21"/>
          <w:highlight w:val="none"/>
          <w:lang w:val="en-US" w:eastAsia="zh-CN"/>
        </w:rPr>
        <w:t>经管理人谨慎合理判断难以按照本理财产品说明书的规定向投资者提供本理财服务的，管理人有权宣布（或通过销售机构通知）理财产品不成立且不承担任何违约责任，投资者将面临再投资风险。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八）</w:t>
      </w: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九）</w:t>
      </w: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w:t>
      </w: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sz w:val="21"/>
          <w:szCs w:val="21"/>
          <w:highlight w:val="none"/>
        </w:rPr>
      </w:pP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十一）</w:t>
      </w: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十二）</w:t>
      </w:r>
      <w:r>
        <w:rPr>
          <w:rFonts w:hint="eastAsia" w:ascii="楷体" w:hAnsi="楷体" w:eastAsia="楷体"/>
          <w:b/>
          <w:color w:val="auto"/>
          <w:sz w:val="21"/>
          <w:szCs w:val="21"/>
          <w:highlight w:val="none"/>
        </w:rPr>
        <w:t>不可抗力</w:t>
      </w:r>
      <w:r>
        <w:rPr>
          <w:rFonts w:hint="eastAsia" w:ascii="楷体" w:hAnsi="楷体" w:eastAsia="楷体"/>
          <w:b/>
          <w:color w:val="auto"/>
          <w:sz w:val="21"/>
          <w:szCs w:val="21"/>
          <w:highlight w:val="none"/>
          <w:lang w:val="en-US" w:eastAsia="zh-CN"/>
        </w:rPr>
        <w:t>及意外事件</w:t>
      </w:r>
      <w:r>
        <w:rPr>
          <w:rFonts w:hint="eastAsia" w:ascii="楷体" w:hAnsi="楷体" w:eastAsia="楷体"/>
          <w:b/>
          <w:color w:val="auto"/>
          <w:sz w:val="21"/>
          <w:szCs w:val="21"/>
          <w:highlight w:val="none"/>
        </w:rPr>
        <w:t>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lang w:eastAsia="zh-CN"/>
        </w:rPr>
        <w:t>（</w:t>
      </w:r>
      <w:r>
        <w:rPr>
          <w:rFonts w:hint="eastAsia" w:ascii="楷体" w:hAnsi="楷体" w:eastAsia="楷体" w:cs="Times New Roman"/>
          <w:b/>
          <w:bCs/>
          <w:color w:val="auto"/>
          <w:sz w:val="21"/>
          <w:szCs w:val="21"/>
          <w:highlight w:val="none"/>
          <w:lang w:val="en-US" w:eastAsia="zh-CN"/>
        </w:rPr>
        <w:t>十三）</w:t>
      </w: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b w:val="0"/>
          <w:bCs w:val="0"/>
          <w:color w:val="auto"/>
          <w:sz w:val="21"/>
          <w:szCs w:val="21"/>
          <w:highlight w:val="none"/>
          <w:lang w:val="en-US" w:eastAsia="zh-CN"/>
        </w:rPr>
        <w:t>在运作过程中，可能涉及管理人的关联方担任销售机构、托管机构或投资顾问等，届时苏银理财与关联方之间</w:t>
      </w:r>
      <w:r>
        <w:rPr>
          <w:rFonts w:hint="eastAsia" w:ascii="楷体" w:hAnsi="楷体" w:eastAsia="楷体" w:cs="Times New Roman"/>
          <w:b w:val="0"/>
          <w:bCs w:val="0"/>
          <w:color w:val="auto"/>
          <w:sz w:val="21"/>
          <w:szCs w:val="21"/>
          <w:highlight w:val="none"/>
        </w:rPr>
        <w:t>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r>
        <w:rPr>
          <w:rFonts w:hint="eastAsia" w:ascii="楷体" w:hAnsi="楷体" w:eastAsia="楷体" w:cs="楷体"/>
          <w:b/>
          <w:bCs/>
          <w:color w:val="auto"/>
          <w:sz w:val="21"/>
          <w:szCs w:val="21"/>
          <w:highlight w:val="none"/>
          <w:u w:val="single"/>
          <w:lang w:val="en-US" w:eastAsia="zh-CN"/>
        </w:rPr>
        <w:t>管理人在此特别披露：销售机构江苏苏州农村商业银行股份有限公司、江苏仪征农村商业银行股份有限公司、江苏银行股份有限公司、苏银理财有限责任公司、苏州银行股份有限公司，托管机构江苏银行股份有限公司为产品管理人的关联方。</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lang w:eastAsia="zh-CN"/>
        </w:rPr>
        <w:t>（</w:t>
      </w:r>
      <w:r>
        <w:rPr>
          <w:rFonts w:hint="eastAsia" w:ascii="楷体" w:hAnsi="楷体" w:eastAsia="楷体"/>
          <w:b/>
          <w:color w:val="auto"/>
          <w:sz w:val="21"/>
          <w:szCs w:val="21"/>
          <w:highlight w:val="none"/>
          <w:lang w:val="en-US" w:eastAsia="zh-CN"/>
        </w:rPr>
        <w:t>十四）</w:t>
      </w:r>
      <w:r>
        <w:rPr>
          <w:rFonts w:hint="eastAsia" w:ascii="楷体" w:hAnsi="楷体" w:eastAsia="楷体"/>
          <w:b/>
          <w:color w:val="auto"/>
          <w:sz w:val="21"/>
          <w:szCs w:val="21"/>
          <w:highlight w:val="none"/>
        </w:rPr>
        <w:t>特定投资标的风险：</w:t>
      </w:r>
    </w:p>
    <w:p>
      <w:pPr>
        <w:numPr>
          <w:numId w:val="0"/>
        </w:numPr>
        <w:tabs>
          <w:tab w:val="left" w:pos="742"/>
        </w:tabs>
        <w:ind w:leftChars="200"/>
        <w:rPr>
          <w:rFonts w:hint="eastAsia" w:ascii="楷体" w:hAnsi="楷体" w:eastAsia="楷体"/>
          <w:color w:val="auto"/>
          <w:sz w:val="21"/>
          <w:szCs w:val="21"/>
        </w:rPr>
      </w:pPr>
      <w:r>
        <w:rPr>
          <w:rFonts w:hint="eastAsia" w:ascii="楷体" w:hAnsi="楷体" w:eastAsia="楷体"/>
          <w:color w:val="auto"/>
          <w:sz w:val="21"/>
          <w:szCs w:val="21"/>
          <w:lang w:val="en-US" w:eastAsia="zh-CN"/>
        </w:rPr>
        <w:t>1.</w:t>
      </w: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numId w:val="0"/>
        </w:numPr>
        <w:tabs>
          <w:tab w:val="left" w:pos="742"/>
        </w:tabs>
        <w:ind w:left="480" w:leftChars="0"/>
        <w:rPr>
          <w:rFonts w:hint="eastAsia" w:ascii="楷体" w:hAnsi="楷体" w:eastAsia="楷体"/>
          <w:b/>
          <w:bCs w:val="0"/>
          <w:color w:val="auto"/>
          <w:sz w:val="21"/>
          <w:szCs w:val="21"/>
        </w:rPr>
      </w:pPr>
      <w:r>
        <w:rPr>
          <w:rFonts w:hint="eastAsia" w:ascii="楷体" w:hAnsi="楷体" w:eastAsia="楷体"/>
          <w:color w:val="auto"/>
          <w:sz w:val="21"/>
          <w:szCs w:val="21"/>
          <w:lang w:val="en-US" w:eastAsia="zh-CN"/>
        </w:rPr>
        <w:t>2.</w:t>
      </w: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numId w:val="0"/>
        </w:numPr>
        <w:tabs>
          <w:tab w:val="left" w:pos="742"/>
        </w:tabs>
        <w:ind w:left="480" w:leftChars="0"/>
        <w:rPr>
          <w:rFonts w:hint="eastAsia" w:ascii="楷体" w:hAnsi="楷体" w:eastAsia="楷体"/>
          <w:color w:val="auto"/>
          <w:sz w:val="21"/>
          <w:szCs w:val="21"/>
        </w:rPr>
      </w:pPr>
      <w:r>
        <w:rPr>
          <w:rFonts w:hint="eastAsia" w:ascii="楷体" w:hAnsi="楷体" w:eastAsia="楷体"/>
          <w:color w:val="auto"/>
          <w:sz w:val="21"/>
          <w:szCs w:val="21"/>
          <w:lang w:val="en-US" w:eastAsia="zh-CN"/>
        </w:rPr>
        <w:t>3.</w:t>
      </w: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numId w:val="0"/>
        </w:numPr>
        <w:tabs>
          <w:tab w:val="left" w:pos="742"/>
        </w:tabs>
        <w:ind w:left="480" w:leftChars="0"/>
        <w:rPr>
          <w:rFonts w:hint="eastAsia" w:ascii="楷体" w:hAnsi="楷体" w:eastAsia="楷体"/>
          <w:color w:val="auto"/>
          <w:sz w:val="21"/>
          <w:szCs w:val="21"/>
        </w:rPr>
      </w:pPr>
      <w:r>
        <w:rPr>
          <w:rFonts w:hint="eastAsia" w:ascii="楷体" w:hAnsi="楷体" w:eastAsia="楷体"/>
          <w:color w:val="auto"/>
          <w:sz w:val="21"/>
          <w:szCs w:val="21"/>
          <w:lang w:val="en-US" w:eastAsia="zh-CN"/>
        </w:rPr>
        <w:t>4.</w:t>
      </w: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numId w:val="0"/>
        </w:numPr>
        <w:tabs>
          <w:tab w:val="left" w:pos="742"/>
        </w:tabs>
        <w:ind w:left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5.结构性存款的特殊风险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cs="宋体"/>
          <w:b/>
          <w:color w:val="auto"/>
          <w:sz w:val="21"/>
          <w:szCs w:val="21"/>
          <w:u w:val="none"/>
          <w:lang w:val="en-US" w:eastAsia="zh-CN" w:bidi="ar-SA"/>
        </w:rPr>
        <w:fldChar w:fldCharType="begin"/>
      </w:r>
      <w:r>
        <w:rPr>
          <w:rFonts w:hint="default" w:ascii="楷体" w:hAnsi="楷体" w:eastAsia="楷体" w:cs="宋体"/>
          <w:b/>
          <w:color w:val="auto"/>
          <w:sz w:val="21"/>
          <w:szCs w:val="21"/>
          <w:u w:val="none"/>
          <w:lang w:val="en-US" w:eastAsia="zh-CN" w:bidi="ar-SA"/>
        </w:rPr>
        <w:instrText xml:space="preserve"> = 1 \* GB3 \* MERGEFORMAT </w:instrText>
      </w:r>
      <w:r>
        <w:rPr>
          <w:rFonts w:hint="default" w:ascii="楷体" w:hAnsi="楷体" w:eastAsia="楷体" w:cs="宋体"/>
          <w:b/>
          <w:color w:val="auto"/>
          <w:sz w:val="21"/>
          <w:szCs w:val="21"/>
          <w:u w:val="none"/>
          <w:lang w:val="en-US" w:eastAsia="zh-CN" w:bidi="ar-SA"/>
        </w:rPr>
        <w:fldChar w:fldCharType="separate"/>
      </w:r>
      <w:r>
        <w:rPr>
          <w:rFonts w:hint="eastAsia" w:ascii="楷体" w:hAnsi="楷体" w:eastAsia="楷体" w:cs="宋体"/>
          <w:b/>
          <w:color w:val="auto"/>
          <w:sz w:val="21"/>
          <w:szCs w:val="21"/>
          <w:u w:val="none"/>
          <w:lang w:val="en-US" w:eastAsia="zh-CN" w:bidi="ar-SA"/>
        </w:rPr>
        <w:t>①</w:t>
      </w:r>
      <w:r>
        <w:rPr>
          <w:rFonts w:hint="default" w:ascii="楷体" w:hAnsi="楷体" w:eastAsia="楷体" w:cs="宋体"/>
          <w:b/>
          <w:color w:val="auto"/>
          <w:sz w:val="21"/>
          <w:szCs w:val="21"/>
          <w:u w:val="none"/>
          <w:lang w:val="en-US" w:eastAsia="zh-CN" w:bidi="ar-SA"/>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cs="宋体"/>
          <w:b/>
          <w:color w:val="auto"/>
          <w:sz w:val="21"/>
          <w:szCs w:val="21"/>
          <w:u w:val="none"/>
          <w:lang w:val="en-US" w:eastAsia="zh-CN" w:bidi="ar-SA"/>
        </w:rPr>
        <w:fldChar w:fldCharType="begin"/>
      </w:r>
      <w:r>
        <w:rPr>
          <w:rFonts w:hint="default" w:ascii="楷体" w:hAnsi="楷体" w:eastAsia="楷体" w:cs="宋体"/>
          <w:b/>
          <w:color w:val="auto"/>
          <w:sz w:val="21"/>
          <w:szCs w:val="21"/>
          <w:u w:val="none"/>
          <w:lang w:val="en-US" w:eastAsia="zh-CN" w:bidi="ar-SA"/>
        </w:rPr>
        <w:instrText xml:space="preserve"> = 2 \* GB3 \* MERGEFORMAT </w:instrText>
      </w:r>
      <w:r>
        <w:rPr>
          <w:rFonts w:hint="default" w:ascii="楷体" w:hAnsi="楷体" w:eastAsia="楷体" w:cs="宋体"/>
          <w:b/>
          <w:color w:val="auto"/>
          <w:sz w:val="21"/>
          <w:szCs w:val="21"/>
          <w:u w:val="none"/>
          <w:lang w:val="en-US" w:eastAsia="zh-CN" w:bidi="ar-SA"/>
        </w:rPr>
        <w:fldChar w:fldCharType="separate"/>
      </w:r>
      <w:r>
        <w:rPr>
          <w:rFonts w:hint="eastAsia" w:ascii="楷体" w:hAnsi="楷体" w:eastAsia="楷体" w:cs="宋体"/>
          <w:b/>
          <w:color w:val="auto"/>
          <w:sz w:val="21"/>
          <w:szCs w:val="21"/>
          <w:u w:val="none"/>
          <w:lang w:val="en-US" w:eastAsia="zh-CN" w:bidi="ar-SA"/>
        </w:rPr>
        <w:t>②</w:t>
      </w:r>
      <w:r>
        <w:rPr>
          <w:rFonts w:hint="default" w:ascii="楷体" w:hAnsi="楷体" w:eastAsia="楷体" w:cs="宋体"/>
          <w:b/>
          <w:color w:val="auto"/>
          <w:sz w:val="21"/>
          <w:szCs w:val="21"/>
          <w:u w:val="none"/>
          <w:lang w:val="en-US" w:eastAsia="zh-CN" w:bidi="ar-SA"/>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cs="宋体"/>
          <w:b/>
          <w:color w:val="auto"/>
          <w:sz w:val="21"/>
          <w:szCs w:val="21"/>
          <w:u w:val="none"/>
          <w:lang w:val="en-US" w:eastAsia="zh-CN" w:bidi="ar-SA"/>
        </w:rPr>
        <w:fldChar w:fldCharType="begin"/>
      </w:r>
      <w:r>
        <w:rPr>
          <w:rFonts w:hint="default" w:ascii="楷体" w:hAnsi="楷体" w:eastAsia="楷体" w:cs="宋体"/>
          <w:b/>
          <w:color w:val="auto"/>
          <w:sz w:val="21"/>
          <w:szCs w:val="21"/>
          <w:u w:val="none"/>
          <w:lang w:val="en-US" w:eastAsia="zh-CN" w:bidi="ar-SA"/>
        </w:rPr>
        <w:instrText xml:space="preserve"> = 3 \* GB3 \* MERGEFORMAT </w:instrText>
      </w:r>
      <w:r>
        <w:rPr>
          <w:rFonts w:hint="default" w:ascii="楷体" w:hAnsi="楷体" w:eastAsia="楷体" w:cs="宋体"/>
          <w:b/>
          <w:color w:val="auto"/>
          <w:sz w:val="21"/>
          <w:szCs w:val="21"/>
          <w:u w:val="none"/>
          <w:lang w:val="en-US" w:eastAsia="zh-CN" w:bidi="ar-SA"/>
        </w:rPr>
        <w:fldChar w:fldCharType="separate"/>
      </w:r>
      <w:r>
        <w:rPr>
          <w:rFonts w:hint="eastAsia" w:ascii="楷体" w:hAnsi="楷体" w:eastAsia="楷体" w:cs="宋体"/>
          <w:b/>
          <w:color w:val="auto"/>
          <w:sz w:val="21"/>
          <w:szCs w:val="21"/>
          <w:u w:val="none"/>
          <w:lang w:val="en-US" w:eastAsia="zh-CN" w:bidi="ar-SA"/>
        </w:rPr>
        <w:t>③</w:t>
      </w:r>
      <w:r>
        <w:rPr>
          <w:rFonts w:hint="default" w:ascii="楷体" w:hAnsi="楷体" w:eastAsia="楷体" w:cs="宋体"/>
          <w:b/>
          <w:color w:val="auto"/>
          <w:sz w:val="21"/>
          <w:szCs w:val="21"/>
          <w:u w:val="none"/>
          <w:lang w:val="en-US" w:eastAsia="zh-CN" w:bidi="ar-SA"/>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cs="宋体"/>
          <w:b/>
          <w:color w:val="auto"/>
          <w:sz w:val="21"/>
          <w:szCs w:val="21"/>
          <w:u w:val="none"/>
          <w:lang w:val="en-US" w:eastAsia="zh-CN" w:bidi="ar-SA"/>
        </w:rPr>
        <w:fldChar w:fldCharType="begin"/>
      </w:r>
      <w:r>
        <w:rPr>
          <w:rFonts w:hint="default" w:ascii="楷体" w:hAnsi="楷体" w:eastAsia="楷体" w:cs="宋体"/>
          <w:b/>
          <w:color w:val="auto"/>
          <w:sz w:val="21"/>
          <w:szCs w:val="21"/>
          <w:u w:val="none"/>
          <w:lang w:val="en-US" w:eastAsia="zh-CN" w:bidi="ar-SA"/>
        </w:rPr>
        <w:instrText xml:space="preserve"> = 4 \* GB3 \* MERGEFORMAT </w:instrText>
      </w:r>
      <w:r>
        <w:rPr>
          <w:rFonts w:hint="default" w:ascii="楷体" w:hAnsi="楷体" w:eastAsia="楷体" w:cs="宋体"/>
          <w:b/>
          <w:color w:val="auto"/>
          <w:sz w:val="21"/>
          <w:szCs w:val="21"/>
          <w:u w:val="none"/>
          <w:lang w:val="en-US" w:eastAsia="zh-CN" w:bidi="ar-SA"/>
        </w:rPr>
        <w:fldChar w:fldCharType="separate"/>
      </w:r>
      <w:r>
        <w:rPr>
          <w:rFonts w:hint="eastAsia" w:ascii="楷体" w:hAnsi="楷体" w:eastAsia="楷体" w:cs="宋体"/>
          <w:b/>
          <w:color w:val="auto"/>
          <w:sz w:val="21"/>
          <w:szCs w:val="21"/>
          <w:u w:val="none"/>
          <w:lang w:val="en-US" w:eastAsia="zh-CN" w:bidi="ar-SA"/>
        </w:rPr>
        <w:t>④</w:t>
      </w:r>
      <w:r>
        <w:rPr>
          <w:rFonts w:hint="default" w:ascii="楷体" w:hAnsi="楷体" w:eastAsia="楷体" w:cs="宋体"/>
          <w:b/>
          <w:color w:val="auto"/>
          <w:sz w:val="21"/>
          <w:szCs w:val="21"/>
          <w:u w:val="none"/>
          <w:lang w:val="en-US" w:eastAsia="zh-CN" w:bidi="ar-SA"/>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cs="宋体"/>
          <w:b/>
          <w:color w:val="auto"/>
          <w:sz w:val="21"/>
          <w:szCs w:val="21"/>
          <w:u w:val="none"/>
          <w:lang w:val="en-US" w:eastAsia="zh-CN" w:bidi="ar-SA"/>
        </w:rPr>
        <w:fldChar w:fldCharType="begin"/>
      </w:r>
      <w:r>
        <w:rPr>
          <w:rFonts w:hint="default" w:ascii="楷体" w:hAnsi="楷体" w:eastAsia="楷体" w:cs="宋体"/>
          <w:b/>
          <w:color w:val="auto"/>
          <w:sz w:val="21"/>
          <w:szCs w:val="21"/>
          <w:u w:val="none"/>
          <w:lang w:val="en-US" w:eastAsia="zh-CN" w:bidi="ar-SA"/>
        </w:rPr>
        <w:instrText xml:space="preserve"> = 5 \* GB3 \* MERGEFORMAT </w:instrText>
      </w:r>
      <w:r>
        <w:rPr>
          <w:rFonts w:hint="default" w:ascii="楷体" w:hAnsi="楷体" w:eastAsia="楷体" w:cs="宋体"/>
          <w:b/>
          <w:color w:val="auto"/>
          <w:sz w:val="21"/>
          <w:szCs w:val="21"/>
          <w:u w:val="none"/>
          <w:lang w:val="en-US" w:eastAsia="zh-CN" w:bidi="ar-SA"/>
        </w:rPr>
        <w:fldChar w:fldCharType="separate"/>
      </w:r>
      <w:r>
        <w:rPr>
          <w:rFonts w:hint="eastAsia" w:ascii="楷体" w:hAnsi="楷体" w:eastAsia="楷体" w:cs="宋体"/>
          <w:b/>
          <w:color w:val="auto"/>
          <w:sz w:val="21"/>
          <w:szCs w:val="21"/>
          <w:u w:val="none"/>
          <w:lang w:val="en-US" w:eastAsia="zh-CN" w:bidi="ar-SA"/>
        </w:rPr>
        <w:t>⑤</w:t>
      </w:r>
      <w:r>
        <w:rPr>
          <w:rFonts w:hint="default" w:ascii="楷体" w:hAnsi="楷体" w:eastAsia="楷体" w:cs="宋体"/>
          <w:b/>
          <w:color w:val="auto"/>
          <w:sz w:val="21"/>
          <w:szCs w:val="21"/>
          <w:u w:val="none"/>
          <w:lang w:val="en-US" w:eastAsia="zh-CN" w:bidi="ar-SA"/>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numId w:val="0"/>
        </w:numPr>
        <w:tabs>
          <w:tab w:val="left" w:pos="742"/>
        </w:tabs>
        <w:ind w:left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6.</w:t>
      </w:r>
      <w:bookmarkStart w:id="0" w:name="_GoBack"/>
      <w:bookmarkEnd w:id="0"/>
      <w:r>
        <w:rPr>
          <w:rFonts w:hint="eastAsia" w:ascii="楷体" w:hAnsi="楷体" w:eastAsia="楷体"/>
          <w:color w:val="auto"/>
          <w:sz w:val="21"/>
          <w:szCs w:val="21"/>
          <w:lang w:val="en-US" w:eastAsia="zh-CN"/>
        </w:rPr>
        <w:t>黄金、黄金主题股票、黄金ETF基金等黄金类资产的特殊风险</w:t>
      </w:r>
    </w:p>
    <w:p>
      <w:pPr>
        <w:pStyle w:val="23"/>
        <w:keepNext w:val="0"/>
        <w:keepLines w:val="0"/>
        <w:pageBreakBefore w:val="0"/>
        <w:bidi w:val="0"/>
        <w:spacing w:before="0" w:beforeAutospacing="0" w:after="0" w:afterAutospacing="0" w:line="310" w:lineRule="exact"/>
        <w:ind w:firstLine="420"/>
        <w:jc w:val="both"/>
        <w:rPr>
          <w:rFonts w:hint="default" w:ascii="楷体" w:hAnsi="楷体" w:eastAsia="楷体" w:cs="楷体"/>
          <w:color w:val="auto"/>
          <w:kern w:val="2"/>
          <w:sz w:val="21"/>
          <w:szCs w:val="21"/>
          <w:highlight w:val="none"/>
          <w:lang w:val="en-US" w:eastAsia="zh-CN" w:bidi="ar-SA"/>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23"/>
        <w:keepNext w:val="0"/>
        <w:keepLines w:val="0"/>
        <w:pageBreakBefore w:val="0"/>
        <w:bidi w:val="0"/>
        <w:spacing w:before="0" w:beforeAutospacing="0" w:after="0" w:afterAutospacing="0" w:line="310" w:lineRule="exact"/>
        <w:ind w:firstLine="420"/>
        <w:jc w:val="both"/>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highlight w:val="none"/>
          <w:u w:val="single"/>
          <w:lang w:val="en-US" w:eastAsia="zh-CN"/>
        </w:rPr>
        <w:t>独立做出</w:t>
      </w:r>
      <w:r>
        <w:rPr>
          <w:rFonts w:hint="eastAsia" w:ascii="楷体" w:hAnsi="楷体" w:eastAsia="楷体"/>
          <w:b/>
          <w:color w:val="auto"/>
          <w:sz w:val="21"/>
          <w:szCs w:val="21"/>
          <w:highlight w:val="none"/>
          <w:u w:val="single"/>
        </w:rPr>
        <w:t>是否认购本理财产品的决定。您签署本理财产品销售文件并将资金委托给苏银理财运作是您真实的意思表示。</w:t>
      </w:r>
    </w:p>
    <w:p>
      <w:pPr>
        <w:keepNext w:val="0"/>
        <w:keepLines w:val="0"/>
        <w:pageBreakBefore w:val="0"/>
        <w:numPr>
          <w:ilvl w:val="0"/>
          <w:numId w:val="0"/>
        </w:numPr>
        <w:tabs>
          <w:tab w:val="left" w:pos="1134"/>
        </w:tabs>
        <w:bidi w:val="0"/>
        <w:spacing w:line="310" w:lineRule="exact"/>
        <w:ind w:left="482" w:leftChars="0"/>
        <w:rPr>
          <w:rFonts w:ascii="楷体" w:hAnsi="楷体" w:eastAsia="楷体"/>
          <w:b/>
          <w:color w:val="auto"/>
          <w:sz w:val="24"/>
          <w:szCs w:val="24"/>
          <w:highlight w:val="none"/>
        </w:rPr>
      </w:pPr>
      <w:r>
        <w:rPr>
          <w:rFonts w:hint="eastAsia" w:ascii="楷体" w:hAnsi="楷体" w:eastAsia="楷体"/>
          <w:b/>
          <w:color w:val="auto"/>
          <w:sz w:val="24"/>
          <w:szCs w:val="24"/>
          <w:highlight w:val="none"/>
          <w:lang w:val="en-US" w:eastAsia="zh-CN"/>
        </w:rPr>
        <w:t>二、</w:t>
      </w:r>
      <w:r>
        <w:rPr>
          <w:rFonts w:hint="eastAsia" w:ascii="楷体" w:hAnsi="楷体" w:eastAsia="楷体"/>
          <w:b/>
          <w:color w:val="auto"/>
          <w:sz w:val="24"/>
          <w:szCs w:val="24"/>
          <w:highlight w:val="none"/>
        </w:rPr>
        <w:t>投资者提示</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2" w:firstLineChars="200"/>
        <w:textAlignment w:val="auto"/>
        <w:rPr>
          <w:rFonts w:ascii="楷体" w:hAnsi="楷体" w:eastAsia="楷体"/>
          <w:b w:val="0"/>
          <w:bCs/>
          <w:color w:val="auto"/>
          <w:sz w:val="21"/>
          <w:szCs w:val="21"/>
          <w:highlight w:val="none"/>
          <w:u w:val="none"/>
        </w:rPr>
      </w:pPr>
      <w:r>
        <w:rPr>
          <w:rFonts w:hint="eastAsia" w:ascii="楷体" w:hAnsi="楷体" w:eastAsia="楷体"/>
          <w:b/>
          <w:color w:val="auto"/>
          <w:sz w:val="21"/>
          <w:szCs w:val="21"/>
          <w:highlight w:val="none"/>
          <w:u w:val="none"/>
          <w:lang w:val="en-US" w:eastAsia="zh-CN"/>
        </w:rPr>
        <w:t>1.</w:t>
      </w:r>
      <w:r>
        <w:rPr>
          <w:rFonts w:hint="eastAsia" w:ascii="楷体" w:hAnsi="楷体" w:eastAsia="楷体"/>
          <w:b/>
          <w:color w:val="auto"/>
          <w:sz w:val="21"/>
          <w:szCs w:val="21"/>
          <w:highlight w:val="none"/>
          <w:u w:val="single"/>
        </w:rPr>
        <w:t>本理财产品不保证本金及收益，您的本金可能因市场变动或者交易违约等事项而蒙受相应损失，</w:t>
      </w:r>
      <w:r>
        <w:rPr>
          <w:rFonts w:hint="eastAsia" w:ascii="楷体" w:hAnsi="楷体" w:eastAsia="楷体"/>
          <w:b/>
          <w:bCs/>
          <w:color w:val="auto"/>
          <w:sz w:val="21"/>
          <w:szCs w:val="21"/>
          <w:highlight w:val="none"/>
          <w:u w:val="single"/>
        </w:rPr>
        <w:t>在最不利的情况下甚至可能损失全部本金。</w:t>
      </w:r>
      <w:r>
        <w:rPr>
          <w:rFonts w:hint="eastAsia" w:ascii="楷体" w:hAnsi="楷体" w:eastAsia="楷体"/>
          <w:b/>
          <w:color w:val="auto"/>
          <w:sz w:val="21"/>
          <w:szCs w:val="21"/>
          <w:highlight w:val="none"/>
          <w:u w:val="single"/>
        </w:rPr>
        <w:t>投资者应充分认识投资风险，谨慎投资。</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2" w:firstLineChars="200"/>
        <w:textAlignment w:val="auto"/>
        <w:rPr>
          <w:rFonts w:ascii="楷体" w:hAnsi="楷体" w:eastAsia="楷体"/>
          <w:b/>
          <w:color w:val="auto"/>
          <w:sz w:val="21"/>
          <w:szCs w:val="21"/>
          <w:highlight w:val="none"/>
          <w:u w:val="single"/>
        </w:rPr>
      </w:pPr>
      <w:r>
        <w:rPr>
          <w:rFonts w:hint="eastAsia" w:ascii="楷体" w:hAnsi="楷体" w:eastAsia="楷体"/>
          <w:b/>
          <w:color w:val="auto"/>
          <w:sz w:val="21"/>
          <w:szCs w:val="21"/>
          <w:highlight w:val="none"/>
          <w:u w:val="none"/>
          <w:lang w:val="en-US" w:eastAsia="zh-CN"/>
        </w:rPr>
        <w:t>2.</w:t>
      </w:r>
      <w:r>
        <w:rPr>
          <w:rFonts w:hint="eastAsia" w:ascii="楷体" w:hAnsi="楷体" w:eastAsia="楷体"/>
          <w:b/>
          <w:color w:val="auto"/>
          <w:sz w:val="21"/>
          <w:szCs w:val="21"/>
          <w:highlight w:val="none"/>
          <w:u w:val="single"/>
        </w:rPr>
        <w:t>本理财产品过往业绩不代表其未来表现，不等于理财产品实际收益。理财非存款、产品有风险、投资须谨慎。</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3.</w:t>
      </w: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，计划存续期限为</w:t>
      </w:r>
      <w:r>
        <w:rPr>
          <w:rFonts w:hint="eastAsia" w:ascii="楷体" w:hAnsi="楷体" w:eastAsia="楷体" w:cs="Calibri"/>
          <w:b/>
          <w:color w:val="auto"/>
          <w:sz w:val="21"/>
          <w:szCs w:val="21"/>
          <w:highlight w:val="none"/>
          <w:u w:val="single"/>
          <w:lang w:val="en-US" w:eastAsia="zh-CN"/>
        </w:rPr>
        <w:t>10年</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olor w:val="auto"/>
          <w:sz w:val="21"/>
          <w:szCs w:val="21"/>
          <w:highlight w:val="none"/>
        </w:rPr>
        <w:t>本理财产品的风险特征为：</w:t>
      </w:r>
      <w:r>
        <w:rPr>
          <w:rFonts w:hint="eastAsia" w:ascii="楷体" w:hAnsi="楷体" w:eastAsia="楷体"/>
          <w:b/>
          <w:bCs/>
          <w:color w:val="auto"/>
          <w:sz w:val="21"/>
          <w:szCs w:val="21"/>
          <w:highlight w:val="none"/>
          <w:u w:val="single"/>
        </w:rPr>
        <w:t>【总体风险程度较低，净值波动较小，本金遭受损失的可能性较低。】</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理财产品存续期间，若市场环境等因素发生变化，在符合监管政策要求的前提下管理人可对产品风险评级进行调整，并及时将调整情况向投资者披露。</w:t>
      </w:r>
    </w:p>
    <w:p>
      <w:pPr>
        <w:keepNext w:val="0"/>
        <w:keepLines w:val="0"/>
        <w:pageBreakBefore w:val="0"/>
        <w:widowControl w:val="0"/>
        <w:numPr>
          <w:ilvl w:val="0"/>
          <w:numId w:val="0"/>
        </w:numPr>
        <w:tabs>
          <w:tab w:val="left" w:pos="742"/>
        </w:tabs>
        <w:kinsoku/>
        <w:wordWrap/>
        <w:overflowPunct/>
        <w:topLinePunct w:val="0"/>
        <w:autoSpaceDE/>
        <w:autoSpaceDN/>
        <w:bidi w:val="0"/>
        <w:adjustRightInd/>
        <w:snapToGrid/>
        <w:spacing w:line="310" w:lineRule="exact"/>
        <w:ind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并对评估结果签字确认</w:t>
      </w:r>
      <w:r>
        <w:rPr>
          <w:rFonts w:hint="eastAsia" w:ascii="楷体" w:hAnsi="楷体" w:eastAsia="楷体"/>
          <w:color w:val="auto"/>
          <w:sz w:val="21"/>
          <w:szCs w:val="21"/>
          <w:highlight w:val="none"/>
        </w:rPr>
        <w:t>。</w:t>
      </w:r>
    </w:p>
    <w:p>
      <w:pPr>
        <w:pStyle w:val="23"/>
        <w:keepNext w:val="0"/>
        <w:keepLines w:val="0"/>
        <w:pageBreakBefore w:val="0"/>
        <w:numPr>
          <w:ilvl w:val="0"/>
          <w:numId w:val="0"/>
        </w:numPr>
        <w:bidi w:val="0"/>
        <w:spacing w:before="0" w:beforeAutospacing="0" w:after="0" w:afterAutospacing="0" w:line="310" w:lineRule="exact"/>
        <w:ind w:left="0" w:firstLine="0"/>
        <w:jc w:val="right"/>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风险揭示方：苏银理财有限责任公司</w:t>
      </w:r>
    </w:p>
    <w:p>
      <w:pPr>
        <w:pStyle w:val="23"/>
        <w:keepNext w:val="0"/>
        <w:keepLines w:val="0"/>
        <w:pageBreakBefore w:val="0"/>
        <w:numPr>
          <w:ilvl w:val="0"/>
          <w:numId w:val="0"/>
        </w:numPr>
        <w:bidi w:val="0"/>
        <w:spacing w:before="0" w:beforeAutospacing="0" w:after="0" w:afterAutospacing="0" w:line="310" w:lineRule="exact"/>
        <w:ind w:left="0" w:firstLine="0"/>
        <w:jc w:val="right"/>
        <w:rPr>
          <w:rFonts w:hint="eastAsia" w:ascii="楷体" w:hAnsi="楷体" w:eastAsia="楷体"/>
          <w:b/>
          <w:color w:val="auto"/>
          <w:sz w:val="21"/>
          <w:szCs w:val="21"/>
          <w:highlight w:val="none"/>
        </w:rPr>
      </w:pPr>
    </w:p>
    <w:p>
      <w:pPr>
        <w:pStyle w:val="23"/>
        <w:keepNext w:val="0"/>
        <w:keepLines w:val="0"/>
        <w:pageBreakBefore w:val="0"/>
        <w:widowControl/>
        <w:numPr>
          <w:ilvl w:val="0"/>
          <w:numId w:val="0"/>
        </w:numPr>
        <w:bidi w:val="0"/>
        <w:spacing w:before="313" w:beforeAutospacing="0" w:after="157" w:afterAutospacing="0" w:line="310" w:lineRule="exact"/>
        <w:ind w:left="0" w:firstLine="0"/>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投资者风险确认函</w:t>
      </w:r>
    </w:p>
    <w:p>
      <w:pPr>
        <w:keepNext w:val="0"/>
        <w:keepLines w:val="0"/>
        <w:pageBreakBefore w:val="0"/>
        <w:bidi w:val="0"/>
        <w:spacing w:line="310" w:lineRule="exact"/>
        <w:ind w:firstLine="420"/>
        <w:rPr>
          <w:rFonts w:hint="eastAsia" w:ascii="楷体" w:hAnsi="楷体" w:eastAsia="楷体"/>
          <w:color w:val="auto"/>
          <w:sz w:val="21"/>
          <w:szCs w:val="21"/>
          <w:highlight w:val="none"/>
        </w:rPr>
      </w:pPr>
      <w:r>
        <w:rPr>
          <w:rFonts w:ascii="楷体" w:hAnsi="楷体" w:eastAsia="楷体"/>
          <w:color w:val="auto"/>
          <w:sz w:val="21"/>
          <w:szCs w:val="21"/>
          <w:highlight w:val="none"/>
        </w:rPr>
        <w:t>投资决策系由</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ascii="楷体" w:hAnsi="楷体" w:eastAsia="楷体"/>
          <w:color w:val="auto"/>
          <w:sz w:val="21"/>
          <w:szCs w:val="21"/>
          <w:highlight w:val="none"/>
        </w:rPr>
        <w:t>独立、自主、谨慎做出，</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机构确认已经收到本理财产品的风险揭示书，且已经认真阅读本理财产品完整</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全部约定。</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机构确认理解投资本理财产品将涉及的所有风险，并将承担且有能力承担该等风险。</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承诺理财购买资金来源合法合规，</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将配合管理人及销售机构开展反洗钱、反恐怖融资及非居民金融账户涉税信息尽职调查等工作。</w:t>
      </w:r>
    </w:p>
    <w:p>
      <w:pPr>
        <w:keepNext w:val="0"/>
        <w:keepLines w:val="0"/>
        <w:pageBreakBefore w:val="0"/>
        <w:bidi w:val="0"/>
        <w:spacing w:line="310" w:lineRule="exact"/>
        <w:ind w:firstLine="420"/>
        <w:rPr>
          <w:rFonts w:hint="eastAsia" w:ascii="楷体" w:hAnsi="楷体" w:eastAsia="楷体"/>
          <w:b/>
          <w:color w:val="auto"/>
          <w:sz w:val="21"/>
          <w:szCs w:val="21"/>
          <w:highlight w:val="none"/>
        </w:rPr>
      </w:pPr>
      <w:r>
        <w:rPr>
          <w:rFonts w:hint="eastAsia" w:ascii="楷体" w:hAnsi="楷体" w:eastAsia="楷体"/>
          <w:color w:val="auto"/>
          <w:sz w:val="21"/>
          <w:szCs w:val="21"/>
          <w:highlight w:val="none"/>
        </w:rPr>
        <w:t>经销售机构评估，本人/本机构的风险承受能力评级结果为</w:t>
      </w:r>
      <w:r>
        <w:rPr>
          <w:rFonts w:ascii="楷体" w:hAnsi="楷体" w:eastAsia="楷体"/>
          <w:b/>
          <w:color w:val="auto"/>
          <w:sz w:val="21"/>
          <w:szCs w:val="21"/>
          <w:highlight w:val="none"/>
        </w:rPr>
        <w:t>：</w:t>
      </w:r>
    </w:p>
    <w:p>
      <w:pPr>
        <w:keepNext w:val="0"/>
        <w:keepLines w:val="0"/>
        <w:pageBreakBefore w:val="0"/>
        <w:bidi w:val="0"/>
        <w:spacing w:line="310" w:lineRule="exact"/>
        <w:ind w:firstLine="42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u w:val="single"/>
        </w:rPr>
        <w:t xml:space="preserve">                                        </w:t>
      </w:r>
    </w:p>
    <w:p>
      <w:pPr>
        <w:keepNext w:val="0"/>
        <w:keepLines w:val="0"/>
        <w:pageBreakBefore w:val="0"/>
        <w:bidi w:val="0"/>
        <w:spacing w:line="310" w:lineRule="exact"/>
        <w:ind w:firstLine="420"/>
        <w:rPr>
          <w:rFonts w:hint="eastAsia" w:ascii="楷体" w:hAnsi="楷体" w:eastAsia="楷体"/>
          <w:color w:val="auto"/>
          <w:sz w:val="21"/>
          <w:szCs w:val="21"/>
          <w:highlight w:val="none"/>
          <w:lang w:val="en-US" w:eastAsia="zh-CN"/>
        </w:rPr>
      </w:pPr>
      <w:r>
        <w:rPr>
          <w:rFonts w:hint="eastAsia" w:ascii="楷体" w:hAnsi="楷体" w:eastAsia="楷体"/>
          <w:color w:val="auto"/>
          <w:sz w:val="21"/>
          <w:szCs w:val="21"/>
          <w:highlight w:val="none"/>
        </w:rPr>
        <w:t>风险承受能力不低于本理财产品的风险评级，适合购买本理财产品。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影响风险承受能力的因素发生变化，本人/本机构</w:t>
      </w:r>
      <w:r>
        <w:rPr>
          <w:rFonts w:hint="eastAsia" w:ascii="楷体" w:hAnsi="楷体" w:eastAsia="楷体"/>
          <w:color w:val="auto"/>
          <w:sz w:val="21"/>
          <w:szCs w:val="21"/>
          <w:highlight w:val="none"/>
        </w:rPr>
        <w:t>将及时完成风险承受能力的重新评估。</w:t>
      </w:r>
    </w:p>
    <w:p>
      <w:pPr>
        <w:keepNext w:val="0"/>
        <w:keepLines w:val="0"/>
        <w:pageBreakBefore w:val="0"/>
        <w:bidi w:val="0"/>
        <w:spacing w:line="310" w:lineRule="exact"/>
        <w:ind w:firstLine="42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rPr>
        <w:t>须</w:t>
      </w:r>
      <w:r>
        <w:rPr>
          <w:rFonts w:hint="eastAsia" w:ascii="楷体" w:hAnsi="楷体" w:eastAsia="楷体"/>
          <w:b/>
          <w:color w:val="auto"/>
          <w:sz w:val="21"/>
          <w:szCs w:val="21"/>
          <w:highlight w:val="none"/>
          <w:u w:val="single"/>
        </w:rPr>
        <w:t>投资者亲笔抄录</w:t>
      </w:r>
      <w:r>
        <w:rPr>
          <w:rFonts w:hint="eastAsia" w:ascii="楷体" w:hAnsi="楷体" w:eastAsia="楷体"/>
          <w:color w:val="auto"/>
          <w:sz w:val="21"/>
          <w:szCs w:val="21"/>
          <w:highlight w:val="none"/>
        </w:rPr>
        <w:t>以下内容：</w:t>
      </w:r>
      <w:r>
        <w:rPr>
          <w:rFonts w:hint="eastAsia" w:ascii="楷体" w:hAnsi="楷体" w:eastAsia="楷体"/>
          <w:b/>
          <w:color w:val="auto"/>
          <w:sz w:val="21"/>
          <w:szCs w:val="21"/>
          <w:highlight w:val="none"/>
        </w:rPr>
        <w:t>“本人/本机构</w:t>
      </w:r>
      <w:r>
        <w:rPr>
          <w:rFonts w:hint="eastAsia" w:ascii="楷体" w:hAnsi="楷体" w:eastAsia="楷体"/>
          <w:b/>
          <w:color w:val="auto"/>
          <w:sz w:val="21"/>
          <w:szCs w:val="21"/>
          <w:highlight w:val="none"/>
          <w:u w:val="single"/>
        </w:rPr>
        <w:t>已经阅读风险揭示，愿意承担投资风险</w:t>
      </w:r>
      <w:r>
        <w:rPr>
          <w:rFonts w:hint="eastAsia" w:ascii="楷体" w:hAnsi="楷体" w:eastAsia="楷体"/>
          <w:b/>
          <w:color w:val="auto"/>
          <w:sz w:val="21"/>
          <w:szCs w:val="21"/>
          <w:highlight w:val="none"/>
        </w:rPr>
        <w:t>”</w:t>
      </w:r>
      <w:r>
        <w:rPr>
          <w:rFonts w:hint="eastAsia" w:ascii="楷体" w:hAnsi="楷体" w:eastAsia="楷体"/>
          <w:color w:val="auto"/>
          <w:sz w:val="21"/>
          <w:szCs w:val="21"/>
          <w:highlight w:val="none"/>
        </w:rPr>
        <w:t>。</w:t>
      </w:r>
    </w:p>
    <w:p>
      <w:pPr>
        <w:keepNext w:val="0"/>
        <w:keepLines w:val="0"/>
        <w:pageBreakBefore w:val="0"/>
        <w:bidi w:val="0"/>
        <w:spacing w:line="310" w:lineRule="exact"/>
        <w:rPr>
          <w:rFonts w:hint="default" w:ascii="楷体" w:hAnsi="楷体" w:eastAsia="楷体"/>
          <w:color w:val="auto"/>
          <w:sz w:val="21"/>
          <w:szCs w:val="21"/>
          <w:highlight w:val="none"/>
          <w:u w:val="single"/>
          <w:lang w:val="en-US" w:eastAsia="zh-CN"/>
        </w:rPr>
      </w:pP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p>
    <w:p>
      <w:pPr>
        <w:keepNext w:val="0"/>
        <w:keepLines w:val="0"/>
        <w:pageBreakBefore w:val="0"/>
        <w:bidi w:val="0"/>
        <w:spacing w:line="310" w:lineRule="exact"/>
        <w:jc w:val="both"/>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个人投资者签字：</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p>
      <w:pPr>
        <w:keepNext w:val="0"/>
        <w:keepLines w:val="0"/>
        <w:pageBreakBefore w:val="0"/>
        <w:bidi w:val="0"/>
        <w:spacing w:line="310" w:lineRule="exact"/>
        <w:ind w:firstLine="315"/>
        <w:jc w:val="both"/>
        <w:rPr>
          <w:rFonts w:hint="eastAsia" w:ascii="楷体" w:hAnsi="楷体" w:eastAsia="楷体"/>
          <w:color w:val="auto"/>
          <w:sz w:val="21"/>
          <w:szCs w:val="21"/>
          <w:highlight w:val="none"/>
        </w:rPr>
      </w:pPr>
    </w:p>
    <w:p>
      <w:pPr>
        <w:keepNext w:val="0"/>
        <w:keepLines w:val="0"/>
        <w:pageBreakBefore w:val="0"/>
        <w:bidi w:val="0"/>
        <w:spacing w:line="310" w:lineRule="exact"/>
        <w:ind w:firstLine="315"/>
        <w:jc w:val="both"/>
        <w:rPr>
          <w:rFonts w:hint="eastAsia" w:ascii="楷体" w:hAnsi="楷体" w:eastAsia="楷体"/>
          <w:color w:val="auto"/>
          <w:sz w:val="21"/>
          <w:szCs w:val="21"/>
          <w:highlight w:val="none"/>
        </w:rPr>
      </w:pPr>
    </w:p>
    <w:p>
      <w:pPr>
        <w:keepNext w:val="0"/>
        <w:keepLines w:val="0"/>
        <w:pageBreakBefore w:val="0"/>
        <w:bidi w:val="0"/>
        <w:spacing w:line="310" w:lineRule="exact"/>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机构投资者（盖章）：</w:t>
      </w:r>
    </w:p>
    <w:p>
      <w:pPr>
        <w:keepNext w:val="0"/>
        <w:keepLines w:val="0"/>
        <w:pageBreakBefore w:val="0"/>
        <w:bidi w:val="0"/>
        <w:spacing w:line="310" w:lineRule="exact"/>
        <w:rPr>
          <w:rFonts w:ascii="楷体" w:hAnsi="楷体" w:eastAsia="楷体"/>
          <w:color w:val="auto"/>
          <w:sz w:val="21"/>
          <w:szCs w:val="21"/>
          <w:highlight w:val="none"/>
        </w:rPr>
      </w:pPr>
    </w:p>
    <w:p>
      <w:pPr>
        <w:pStyle w:val="23"/>
        <w:keepNext w:val="0"/>
        <w:keepLines w:val="0"/>
        <w:pageBreakBefore w:val="0"/>
        <w:bidi w:val="0"/>
        <w:spacing w:before="0" w:beforeAutospacing="0" w:after="0" w:afterAutospacing="0" w:line="310" w:lineRule="exact"/>
        <w:jc w:val="both"/>
        <w:rPr>
          <w:rFonts w:hint="eastAsia" w:ascii="楷体" w:hAnsi="楷体" w:eastAsia="楷体"/>
          <w:sz w:val="24"/>
          <w:szCs w:val="24"/>
          <w:highlight w:val="none"/>
          <w:lang w:val="en-US" w:eastAsia="zh-CN"/>
        </w:rPr>
      </w:pPr>
      <w:r>
        <w:rPr>
          <w:rFonts w:hint="eastAsia" w:ascii="楷体" w:hAnsi="楷体" w:eastAsia="楷体"/>
          <w:color w:val="auto"/>
          <w:sz w:val="21"/>
          <w:szCs w:val="21"/>
          <w:highlight w:val="none"/>
        </w:rPr>
        <w:t>机构投资者法定代表人或授权代表（签字或盖章）</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240" w:lineRule="auto"/>
      <w:ind w:left="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posOffset>-4163695</wp:posOffset>
          </wp:positionH>
          <wp:positionV relativeFrom="margin">
            <wp:posOffset>-1046480</wp:posOffset>
          </wp:positionV>
          <wp:extent cx="14449425" cy="10958195"/>
          <wp:effectExtent l="0" t="0" r="0" b="0"/>
          <wp:wrapNone/>
          <wp:docPr id="11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WordPictureWatermark367128483"/>
                  <pic:cNvPicPr>
                    <a:picLocks noChangeAspect="1"/>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1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1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1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01065"/>
    <w:rsid w:val="062E101B"/>
    <w:rsid w:val="06C867AC"/>
    <w:rsid w:val="085C2446"/>
    <w:rsid w:val="0D5C5DFC"/>
    <w:rsid w:val="0EBA6C3E"/>
    <w:rsid w:val="0F6A6857"/>
    <w:rsid w:val="0F8937AC"/>
    <w:rsid w:val="10135FAC"/>
    <w:rsid w:val="1140695B"/>
    <w:rsid w:val="140838EB"/>
    <w:rsid w:val="141F2AEA"/>
    <w:rsid w:val="14EE39F9"/>
    <w:rsid w:val="175A2F85"/>
    <w:rsid w:val="17843B0F"/>
    <w:rsid w:val="18B9039C"/>
    <w:rsid w:val="1D1125BF"/>
    <w:rsid w:val="21FE1453"/>
    <w:rsid w:val="273E5F9C"/>
    <w:rsid w:val="29C27140"/>
    <w:rsid w:val="2EC57CD5"/>
    <w:rsid w:val="2EEF6C64"/>
    <w:rsid w:val="2FA304B5"/>
    <w:rsid w:val="34120859"/>
    <w:rsid w:val="35247BBC"/>
    <w:rsid w:val="37B47D0B"/>
    <w:rsid w:val="38AD0691"/>
    <w:rsid w:val="3B6E29B9"/>
    <w:rsid w:val="3C3E3285"/>
    <w:rsid w:val="3E9D652A"/>
    <w:rsid w:val="404A1788"/>
    <w:rsid w:val="407226FB"/>
    <w:rsid w:val="40B23554"/>
    <w:rsid w:val="40D31602"/>
    <w:rsid w:val="450F7091"/>
    <w:rsid w:val="45511AE4"/>
    <w:rsid w:val="460E69FB"/>
    <w:rsid w:val="46AF6585"/>
    <w:rsid w:val="482D782C"/>
    <w:rsid w:val="49430E06"/>
    <w:rsid w:val="49780F96"/>
    <w:rsid w:val="499E6A34"/>
    <w:rsid w:val="49FC16E9"/>
    <w:rsid w:val="4B7764DD"/>
    <w:rsid w:val="4C0A4CBC"/>
    <w:rsid w:val="4C893A5C"/>
    <w:rsid w:val="4FC67EEA"/>
    <w:rsid w:val="4FFB4A79"/>
    <w:rsid w:val="51307CD2"/>
    <w:rsid w:val="51F63592"/>
    <w:rsid w:val="542748BA"/>
    <w:rsid w:val="5693046C"/>
    <w:rsid w:val="578734E3"/>
    <w:rsid w:val="58ED38EB"/>
    <w:rsid w:val="5A393967"/>
    <w:rsid w:val="5C3333B6"/>
    <w:rsid w:val="5D1D6D54"/>
    <w:rsid w:val="5DC36F89"/>
    <w:rsid w:val="5EFF5801"/>
    <w:rsid w:val="5F295B30"/>
    <w:rsid w:val="5F463DDB"/>
    <w:rsid w:val="60480506"/>
    <w:rsid w:val="60507B10"/>
    <w:rsid w:val="60C84960"/>
    <w:rsid w:val="62231FBA"/>
    <w:rsid w:val="62967142"/>
    <w:rsid w:val="63662621"/>
    <w:rsid w:val="63E61C76"/>
    <w:rsid w:val="64737310"/>
    <w:rsid w:val="647925CE"/>
    <w:rsid w:val="66D91582"/>
    <w:rsid w:val="67472D81"/>
    <w:rsid w:val="674A695A"/>
    <w:rsid w:val="68E42083"/>
    <w:rsid w:val="6C995A32"/>
    <w:rsid w:val="6D1967E0"/>
    <w:rsid w:val="6D760823"/>
    <w:rsid w:val="6E3C2B6A"/>
    <w:rsid w:val="71967069"/>
    <w:rsid w:val="71D10571"/>
    <w:rsid w:val="72FD2E82"/>
    <w:rsid w:val="75BD7438"/>
    <w:rsid w:val="766F516C"/>
    <w:rsid w:val="77D210A2"/>
    <w:rsid w:val="78D27258"/>
    <w:rsid w:val="78D35C53"/>
    <w:rsid w:val="7B622E89"/>
    <w:rsid w:val="7BCE022B"/>
    <w:rsid w:val="7DCD267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3">
    <w:name w:val="heading 1"/>
    <w:basedOn w:val="1"/>
    <w:next w:val="1"/>
    <w:link w:val="192"/>
    <w:qFormat/>
    <w:uiPriority w:val="1"/>
    <w:pPr>
      <w:spacing w:before="17"/>
      <w:ind w:left="1144"/>
      <w:jc w:val="left"/>
      <w:outlineLvl w:val="0"/>
    </w:pPr>
    <w:rPr>
      <w:rFonts w:ascii="黑体" w:hAnsi="Times New Roman" w:eastAsia="黑体"/>
      <w:b/>
      <w:bCs/>
      <w:sz w:val="36"/>
      <w:szCs w:val="36"/>
    </w:rPr>
  </w:style>
  <w:style w:type="paragraph" w:styleId="4">
    <w:name w:val="heading 2"/>
    <w:basedOn w:val="1"/>
    <w:next w:val="1"/>
    <w:link w:val="197"/>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201"/>
    <w:qFormat/>
    <w:uiPriority w:val="1"/>
    <w:pPr>
      <w:spacing w:before="34"/>
      <w:ind w:left="120"/>
      <w:jc w:val="left"/>
      <w:outlineLvl w:val="2"/>
    </w:pPr>
    <w:rPr>
      <w:rFonts w:ascii="宋体" w:hAnsi="Times New Roman"/>
      <w:b/>
      <w:bCs/>
      <w:sz w:val="20"/>
      <w:szCs w:val="21"/>
    </w:rPr>
  </w:style>
  <w:style w:type="paragraph" w:styleId="6">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7">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8">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9">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1">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semiHidden/>
    <w:qFormat/>
    <w:uiPriority w:val="0"/>
  </w:style>
  <w:style w:type="table" w:default="1" w:styleId="26">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1"/>
    <w:pPr>
      <w:spacing w:before="162"/>
      <w:ind w:left="120"/>
      <w:jc w:val="left"/>
    </w:pPr>
    <w:rPr>
      <w:rFonts w:ascii="宋体" w:hAnsi="Times New Roman"/>
      <w:sz w:val="20"/>
      <w:szCs w:val="21"/>
    </w:r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unhideWhenUsed/>
    <w:qFormat/>
    <w:uiPriority w:val="99"/>
    <w:pPr>
      <w:jc w:val="left"/>
    </w:p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3"/>
    <w:next w:val="13"/>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FFFFF" w:fill="F2F2F2"/>
      </w:tcPr>
    </w:tblStylePr>
    <w:tblStylePr w:type="band2Vert"/>
    <w:tblStylePr w:type="band1Horz">
      <w:tcPr>
        <w:shd w:val="clear" w:color="FFFFFF" w:fill="F2F2F2"/>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FFFFF" w:fill="F2F2F2"/>
      </w:tcPr>
    </w:tblStylePr>
    <w:tblStylePr w:type="band2Vert"/>
    <w:tblStylePr w:type="band1Horz">
      <w:rPr>
        <w:rFonts w:ascii="Arial" w:hAnsi="Arial"/>
        <w:color w:val="404040"/>
        <w:sz w:val="22"/>
      </w:rPr>
      <w:tcPr>
        <w:shd w:val="clear" w:color="FFFFFF" w:fill="F2F2F2"/>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EEBF6"/>
      </w:tcPr>
    </w:tblStylePr>
    <w:tblStylePr w:type="band2Vert"/>
    <w:tblStylePr w:type="band1Horz">
      <w:rPr>
        <w:rFonts w:ascii="Arial" w:hAnsi="Arial"/>
        <w:color w:val="404040"/>
        <w:sz w:val="22"/>
      </w:rPr>
      <w:tcPr>
        <w:shd w:val="clear" w:color="FFFFFF" w:fill="DEEB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EEBF6"/>
      </w:tcPr>
    </w:tblStylePr>
    <w:tblStylePr w:type="band2Vert"/>
    <w:tblStylePr w:type="band1Horz">
      <w:rPr>
        <w:rFonts w:ascii="Arial" w:hAnsi="Arial"/>
        <w:color w:val="404040"/>
        <w:sz w:val="22"/>
      </w:rPr>
      <w:tcPr>
        <w:shd w:val="clear" w:color="FFFFFF" w:fill="DEEB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CBCBCB"/>
      </w:tcPr>
    </w:tblStylePr>
    <w:tblStylePr w:type="band2Vert"/>
    <w:tblStylePr w:type="band1Horz">
      <w:rPr>
        <w:rFonts w:ascii="Arial" w:hAnsi="Arial"/>
        <w:color w:val="404040"/>
        <w:sz w:val="22"/>
      </w:rPr>
      <w:tcPr>
        <w:shd w:val="clear" w:color="FFFFFF" w:fill="CBCBCB"/>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FFFFFF" w:fill="69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FEBF7"/>
      </w:tcPr>
    </w:tblStylePr>
    <w:tblStylePr w:type="band2Vert"/>
    <w:tblStylePr w:type="band1Horz">
      <w:rPr>
        <w:rFonts w:ascii="Arial" w:hAnsi="Arial"/>
        <w:color w:val="404040"/>
        <w:sz w:val="22"/>
      </w:rPr>
      <w:tcPr>
        <w:shd w:val="clear" w:color="FFFFFF" w:fill="DFEBF7"/>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FFFFF"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BE6D7"/>
      </w:tcPr>
    </w:tblStylePr>
    <w:tblStylePr w:type="band2Vert"/>
    <w:tblStylePr w:type="band1Horz">
      <w:rPr>
        <w:rFonts w:ascii="Arial" w:hAnsi="Arial"/>
        <w:color w:val="404040"/>
        <w:sz w:val="22"/>
      </w:rPr>
      <w:tcPr>
        <w:shd w:val="clear" w:color="FFFFFF" w:fill="FBE6D7"/>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FFFFFF"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DEDED"/>
      </w:tcPr>
    </w:tblStylePr>
    <w:tblStylePr w:type="band2Vert"/>
    <w:tblStylePr w:type="band1Horz">
      <w:rPr>
        <w:rFonts w:ascii="Arial" w:hAnsi="Arial"/>
        <w:color w:val="404040"/>
        <w:sz w:val="22"/>
      </w:rPr>
      <w:tcPr>
        <w:shd w:val="clear" w:color="FFFFFF" w:fill="EDEDED"/>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FFFF" w:fill="FFD965"/>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F2CB"/>
      </w:tcPr>
    </w:tblStylePr>
    <w:tblStylePr w:type="band2Vert"/>
    <w:tblStylePr w:type="band1Horz">
      <w:rPr>
        <w:rFonts w:ascii="Arial" w:hAnsi="Arial"/>
        <w:color w:val="404040"/>
        <w:sz w:val="22"/>
      </w:rPr>
      <w:tcPr>
        <w:shd w:val="clear" w:color="FFFFFF" w:fill="FFF2CB"/>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FFFFFF"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9E2F3"/>
      </w:tcPr>
    </w:tblStylePr>
    <w:tblStylePr w:type="band2Vert"/>
    <w:tblStylePr w:type="band1Horz">
      <w:rPr>
        <w:rFonts w:ascii="Arial" w:hAnsi="Arial"/>
        <w:color w:val="404040"/>
        <w:sz w:val="22"/>
      </w:rPr>
      <w:tcPr>
        <w:shd w:val="clear" w:color="FFFFFF" w:fill="D9E2F3"/>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FFFFFF"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2EFD9"/>
      </w:tcPr>
    </w:tblStylePr>
    <w:tblStylePr w:type="band2Vert"/>
    <w:tblStylePr w:type="band1Horz">
      <w:rPr>
        <w:rFonts w:ascii="Arial" w:hAnsi="Arial"/>
        <w:color w:val="404040"/>
        <w:sz w:val="22"/>
      </w:rPr>
      <w:tcPr>
        <w:shd w:val="clear" w:color="FFFFFF" w:fill="E2EFD9"/>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000000"/>
      </w:tcPr>
    </w:tblStylePr>
    <w:tblStylePr w:type="lastRow">
      <w:rPr>
        <w:rFonts w:ascii="Arial" w:hAnsi="Arial"/>
        <w:b/>
        <w:color w:val="FFFFFF"/>
        <w:sz w:val="22"/>
      </w:rPr>
      <w:tcPr>
        <w:tcBorders>
          <w:top w:val="single" w:color="FFFFFF" w:themeColor="light1" w:sz="4" w:space="0"/>
        </w:tcBorders>
        <w:shd w:val="clear" w:color="FFFFFF" w:fill="000000"/>
      </w:tcPr>
    </w:tblStylePr>
    <w:tblStylePr w:type="firstCol">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band1Vert">
      <w:tcPr>
        <w:shd w:val="clear" w:color="FFFFFF" w:fill="8A8A8A"/>
      </w:tcPr>
    </w:tblStylePr>
    <w:tblStylePr w:type="band2Vert"/>
    <w:tblStylePr w:type="band1Horz">
      <w:tcPr>
        <w:shd w:val="clear" w:color="FFFFFF" w:fill="8A8A8A"/>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5B9BD5"/>
      </w:tcPr>
    </w:tblStylePr>
    <w:tblStylePr w:type="lastRow">
      <w:rPr>
        <w:rFonts w:ascii="Arial" w:hAnsi="Arial"/>
        <w:b/>
        <w:color w:val="FFFFFF"/>
        <w:sz w:val="22"/>
      </w:rPr>
      <w:tcPr>
        <w:tcBorders>
          <w:top w:val="single" w:color="FFFFFF" w:themeColor="light1" w:sz="4" w:space="0"/>
        </w:tcBorders>
        <w:shd w:val="clear" w:color="FFFFFF" w:fill="5B9BD5"/>
      </w:tcPr>
    </w:tblStylePr>
    <w:tblStylePr w:type="firstCol">
      <w:rPr>
        <w:rFonts w:ascii="Arial" w:hAnsi="Arial"/>
        <w:b/>
        <w:color w:val="FFFFFF"/>
        <w:sz w:val="22"/>
      </w:rPr>
      <w:tcPr>
        <w:shd w:val="clear" w:color="FFFFFF" w:fill="5B9BD5"/>
      </w:tcPr>
    </w:tblStylePr>
    <w:tblStylePr w:type="lastCol">
      <w:rPr>
        <w:rFonts w:ascii="Arial" w:hAnsi="Arial"/>
        <w:b/>
        <w:color w:val="FFFFFF"/>
        <w:sz w:val="22"/>
      </w:rPr>
      <w:tcPr>
        <w:shd w:val="clear" w:color="FFFFFF" w:fill="5B9BD5"/>
      </w:tcPr>
    </w:tblStylePr>
    <w:tblStylePr w:type="band1Vert">
      <w:tcPr>
        <w:shd w:val="clear" w:color="FFFFFF" w:fill="B4D1EC"/>
      </w:tcPr>
    </w:tblStylePr>
    <w:tblStylePr w:type="band2Vert"/>
    <w:tblStylePr w:type="band1Horz">
      <w:tcPr>
        <w:shd w:val="clear" w:color="FFFFFF" w:fill="B4D1EC"/>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ED7D31"/>
      </w:tcPr>
    </w:tblStylePr>
    <w:tblStylePr w:type="lastRow">
      <w:rPr>
        <w:rFonts w:ascii="Arial" w:hAnsi="Arial"/>
        <w:b/>
        <w:color w:val="FFFFFF"/>
        <w:sz w:val="22"/>
      </w:rPr>
      <w:tcPr>
        <w:tcBorders>
          <w:top w:val="single" w:color="FFFFFF" w:themeColor="light1" w:sz="4" w:space="0"/>
        </w:tcBorders>
        <w:shd w:val="clear" w:color="FFFFFF" w:fill="ED7D31"/>
      </w:tcPr>
    </w:tblStylePr>
    <w:tblStylePr w:type="firstCol">
      <w:rPr>
        <w:rFonts w:ascii="Arial" w:hAnsi="Arial"/>
        <w:b/>
        <w:color w:val="FFFFFF"/>
        <w:sz w:val="22"/>
      </w:rPr>
      <w:tcPr>
        <w:shd w:val="clear" w:color="FFFFFF" w:fill="ED7D31"/>
      </w:tcPr>
    </w:tblStylePr>
    <w:tblStylePr w:type="lastCol">
      <w:rPr>
        <w:rFonts w:ascii="Arial" w:hAnsi="Arial"/>
        <w:b/>
        <w:color w:val="FFFFFF"/>
        <w:sz w:val="22"/>
      </w:rPr>
      <w:tcPr>
        <w:shd w:val="clear" w:color="FFFFFF" w:fill="ED7D31"/>
      </w:tcPr>
    </w:tblStylePr>
    <w:tblStylePr w:type="band1Vert">
      <w:tcPr>
        <w:shd w:val="clear" w:color="FFFFFF" w:fill="F7C3A0"/>
      </w:tcPr>
    </w:tblStylePr>
    <w:tblStylePr w:type="band2Vert"/>
    <w:tblStylePr w:type="band1Horz">
      <w:tcPr>
        <w:shd w:val="clear" w:color="FFFFFF" w:fill="F7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A5A5A5"/>
      </w:tcPr>
    </w:tblStylePr>
    <w:tblStylePr w:type="lastRow">
      <w:rPr>
        <w:rFonts w:ascii="Arial" w:hAnsi="Arial"/>
        <w:b/>
        <w:color w:val="FFFFFF"/>
        <w:sz w:val="22"/>
      </w:rPr>
      <w:tcPr>
        <w:tcBorders>
          <w:top w:val="single" w:color="FFFFFF" w:themeColor="light1" w:sz="4" w:space="0"/>
        </w:tcBorders>
        <w:shd w:val="clear" w:color="FFFFFF" w:fill="A5A5A5"/>
      </w:tcPr>
    </w:tblStylePr>
    <w:tblStylePr w:type="firstCol">
      <w:rPr>
        <w:rFonts w:ascii="Arial" w:hAnsi="Arial"/>
        <w:b/>
        <w:color w:val="FFFFFF"/>
        <w:sz w:val="22"/>
      </w:rPr>
      <w:tcPr>
        <w:shd w:val="clear" w:color="FFFFFF" w:fill="A5A5A5"/>
      </w:tcPr>
    </w:tblStylePr>
    <w:tblStylePr w:type="lastCol">
      <w:rPr>
        <w:rFonts w:ascii="Arial" w:hAnsi="Arial"/>
        <w:b/>
        <w:color w:val="FFFFFF"/>
        <w:sz w:val="22"/>
      </w:rPr>
      <w:tcPr>
        <w:shd w:val="clear" w:color="FFFFFF" w:fill="A5A5A5"/>
      </w:tcPr>
    </w:tblStylePr>
    <w:tblStylePr w:type="band1Vert">
      <w:tcPr>
        <w:shd w:val="clear" w:color="FFFFFF" w:fill="D6D6D6"/>
      </w:tcPr>
    </w:tblStylePr>
    <w:tblStylePr w:type="band2Vert"/>
    <w:tblStylePr w:type="band1Horz">
      <w:tcPr>
        <w:shd w:val="clear" w:color="FFFFFF" w:fill="D6D6D6"/>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FFC000"/>
      </w:tcPr>
    </w:tblStylePr>
    <w:tblStylePr w:type="lastRow">
      <w:rPr>
        <w:rFonts w:ascii="Arial" w:hAnsi="Arial"/>
        <w:b/>
        <w:color w:val="FFFFFF"/>
        <w:sz w:val="22"/>
      </w:rPr>
      <w:tcPr>
        <w:tcBorders>
          <w:top w:val="single" w:color="FFFFFF" w:themeColor="light1" w:sz="4" w:space="0"/>
        </w:tcBorders>
        <w:shd w:val="clear" w:color="FFFFFF" w:fill="FFC000"/>
      </w:tcPr>
    </w:tblStylePr>
    <w:tblStylePr w:type="firstCol">
      <w:rPr>
        <w:rFonts w:ascii="Arial" w:hAnsi="Arial"/>
        <w:b/>
        <w:color w:val="FFFFFF"/>
        <w:sz w:val="22"/>
      </w:rPr>
      <w:tcPr>
        <w:shd w:val="clear" w:color="FFFFFF" w:fill="FFC000"/>
      </w:tcPr>
    </w:tblStylePr>
    <w:tblStylePr w:type="lastCol">
      <w:rPr>
        <w:rFonts w:ascii="Arial" w:hAnsi="Arial"/>
        <w:b/>
        <w:color w:val="FFFFFF"/>
        <w:sz w:val="22"/>
      </w:rPr>
      <w:tcPr>
        <w:shd w:val="clear" w:color="FFFFFF" w:fill="FFC000"/>
      </w:tcPr>
    </w:tblStylePr>
    <w:tblStylePr w:type="band1Vert">
      <w:tcPr>
        <w:shd w:val="clear" w:color="FFFFFF" w:fill="FFE28A"/>
      </w:tcPr>
    </w:tblStylePr>
    <w:tblStylePr w:type="band2Vert"/>
    <w:tblStylePr w:type="band1Horz">
      <w:tcPr>
        <w:shd w:val="clear" w:color="FFFFFF" w:fill="FFE28A"/>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4472C4"/>
      </w:tcPr>
    </w:tblStylePr>
    <w:tblStylePr w:type="lastRow">
      <w:rPr>
        <w:rFonts w:ascii="Arial" w:hAnsi="Arial"/>
        <w:b/>
        <w:color w:val="FFFFFF"/>
        <w:sz w:val="22"/>
      </w:rPr>
      <w:tcPr>
        <w:tcBorders>
          <w:top w:val="single" w:color="FFFFFF" w:themeColor="light1" w:sz="4" w:space="0"/>
        </w:tcBorders>
        <w:shd w:val="clear" w:color="FFFFFF" w:fill="4472C4"/>
      </w:tcPr>
    </w:tblStylePr>
    <w:tblStylePr w:type="firstCol">
      <w:rPr>
        <w:rFonts w:ascii="Arial" w:hAnsi="Arial"/>
        <w:b/>
        <w:color w:val="FFFFFF"/>
        <w:sz w:val="22"/>
      </w:rPr>
      <w:tcPr>
        <w:shd w:val="clear" w:color="FFFFFF" w:fill="4472C4"/>
      </w:tcPr>
    </w:tblStylePr>
    <w:tblStylePr w:type="lastCol">
      <w:rPr>
        <w:rFonts w:ascii="Arial" w:hAnsi="Arial"/>
        <w:b/>
        <w:color w:val="FFFFFF"/>
        <w:sz w:val="22"/>
      </w:rPr>
      <w:tcPr>
        <w:shd w:val="clear" w:color="FFFFFF" w:fill="4472C4"/>
      </w:tcPr>
    </w:tblStylePr>
    <w:tblStylePr w:type="band1Vert">
      <w:tcPr>
        <w:shd w:val="clear" w:color="FFFFFF" w:fill="A9BEE4"/>
      </w:tcPr>
    </w:tblStylePr>
    <w:tblStylePr w:type="band2Vert"/>
    <w:tblStylePr w:type="band1Horz">
      <w:tcPr>
        <w:shd w:val="clear" w:color="FFFFFF" w:fill="A9BEE4"/>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FFFF" w:fill="70AD47"/>
      </w:tcPr>
    </w:tblStylePr>
    <w:tblStylePr w:type="lastRow">
      <w:rPr>
        <w:rFonts w:ascii="Arial" w:hAnsi="Arial"/>
        <w:b/>
        <w:color w:val="FFFFFF"/>
        <w:sz w:val="22"/>
      </w:rPr>
      <w:tcPr>
        <w:tcBorders>
          <w:top w:val="single" w:color="FFFFFF" w:themeColor="light1" w:sz="4" w:space="0"/>
        </w:tcBorders>
        <w:shd w:val="clear" w:color="FFFFFF" w:fill="70AD47"/>
      </w:tcPr>
    </w:tblStylePr>
    <w:tblStylePr w:type="firstCol">
      <w:rPr>
        <w:rFonts w:ascii="Arial" w:hAnsi="Arial"/>
        <w:b/>
        <w:color w:val="FFFFFF"/>
        <w:sz w:val="22"/>
      </w:rPr>
      <w:tcPr>
        <w:shd w:val="clear" w:color="FFFFFF" w:fill="70AD47"/>
      </w:tcPr>
    </w:tblStylePr>
    <w:tblStylePr w:type="lastCol">
      <w:rPr>
        <w:rFonts w:ascii="Arial" w:hAnsi="Arial"/>
        <w:b/>
        <w:color w:val="FFFFFF"/>
        <w:sz w:val="22"/>
      </w:rPr>
      <w:tcPr>
        <w:shd w:val="clear" w:color="FFFFFF" w:fill="70AD47"/>
      </w:tcPr>
    </w:tblStylePr>
    <w:tblStylePr w:type="band1Vert">
      <w:tcPr>
        <w:shd w:val="clear" w:color="FFFFFF" w:fill="BDDBA8"/>
      </w:tcPr>
    </w:tblStylePr>
    <w:tblStylePr w:type="band2Vert"/>
    <w:tblStylePr w:type="band1Horz">
      <w:tcPr>
        <w:shd w:val="clear" w:color="FFFFFF" w:fill="BD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FFFFFF" w:fill="CBCBCB"/>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CBCBCB"/>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FFFFFF" w:fill="DEEB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FFFFFF" w:fill="DEEB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FFFFF" w:fill="FBE6D7"/>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BE6D7"/>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FFFFFF" w:fill="EDEDED"/>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FFFFFF" w:fill="EDEDED"/>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FFFF" w:fill="FFF2CB"/>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F2CB"/>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FFFFFF" w:fill="D9E2F3"/>
      </w:tcPr>
    </w:tblStylePr>
    <w:tblStylePr w:type="band2Vert"/>
    <w:tblStylePr w:type="band1Horz">
      <w:rPr>
        <w:rFonts w:ascii="Arial" w:hAnsi="Arial"/>
        <w:color w:val="254174" w:themeColor="accent5" w:themeShade="94"/>
        <w:sz w:val="22"/>
      </w:rPr>
      <w:tcPr>
        <w:shd w:val="clear" w:color="FFFFFF" w:fill="D9E2F3"/>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FFFFFF" w:fill="E2EFD9"/>
      </w:tcPr>
    </w:tblStylePr>
    <w:tblStylePr w:type="band2Vert"/>
    <w:tblStylePr w:type="band1Horz">
      <w:rPr>
        <w:rFonts w:ascii="Arial" w:hAnsi="Arial"/>
        <w:color w:val="254174" w:themeColor="accent5" w:themeShade="94"/>
        <w:sz w:val="22"/>
      </w:rPr>
      <w:tcPr>
        <w:shd w:val="clear" w:color="FFFFFF" w:fill="E2EFD9"/>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FFFFF" w:fill="F2F2F2"/>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F2F2F2"/>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FFFFFF" w:fill="DEEB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FFFFFF" w:fill="DEEB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FFFFF" w:fill="FBE6D7"/>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BE6D7"/>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FFFFFF" w:fill="EDEDED"/>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FFFFFF" w:fill="EDEDED"/>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FFFF" w:fill="FFF2CB"/>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F2CB"/>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FFFFFF" w:fill="D9E2F3"/>
      </w:tcPr>
    </w:tblStylePr>
    <w:tblStylePr w:type="band2Vert"/>
    <w:tblStylePr w:type="band1Horz">
      <w:rPr>
        <w:rFonts w:ascii="Arial" w:hAnsi="Arial"/>
        <w:color w:val="254174" w:themeColor="accent5" w:themeShade="94"/>
        <w:sz w:val="22"/>
      </w:rPr>
      <w:tcPr>
        <w:shd w:val="clear" w:color="FFFFFF" w:fill="D9E2F3"/>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FFFFFF" w:fill="E2EFD9"/>
      </w:tcPr>
    </w:tblStylePr>
    <w:tblStylePr w:type="band2Vert"/>
    <w:tblStylePr w:type="band1Horz">
      <w:rPr>
        <w:rFonts w:ascii="Arial" w:hAnsi="Arial"/>
        <w:color w:val="416429" w:themeColor="accent6" w:themeShade="94"/>
        <w:sz w:val="22"/>
      </w:rPr>
      <w:tcPr>
        <w:shd w:val="clear" w:color="FFFFFF" w:fill="E2EFD9"/>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BFBFBF"/>
      </w:tcPr>
    </w:tblStylePr>
    <w:tblStylePr w:type="band2Vert"/>
    <w:tblStylePr w:type="band1Horz">
      <w:tcPr>
        <w:shd w:val="clear" w:color="FFFFFF" w:fill="BFBFBF"/>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6E6F4"/>
      </w:tcPr>
    </w:tblStylePr>
    <w:tblStylePr w:type="band2Vert"/>
    <w:tblStylePr w:type="band1Horz">
      <w:tcPr>
        <w:shd w:val="clear" w:color="FFFFFF" w:fill="D6E6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ADECB"/>
      </w:tcPr>
    </w:tblStylePr>
    <w:tblStylePr w:type="band2Vert"/>
    <w:tblStylePr w:type="band1Horz">
      <w:tcPr>
        <w:shd w:val="clear" w:color="FFFFFF"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E8E8E8"/>
      </w:tcPr>
    </w:tblStylePr>
    <w:tblStylePr w:type="band2Vert"/>
    <w:tblStylePr w:type="band1Horz">
      <w:tcPr>
        <w:shd w:val="clear" w:color="FFFFFF"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FFEFBF"/>
      </w:tcPr>
    </w:tblStylePr>
    <w:tblStylePr w:type="band2Vert"/>
    <w:tblStylePr w:type="band1Horz">
      <w:tcPr>
        <w:shd w:val="clear" w:color="FFFFFF" w:fill="FFEFBF"/>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0DCF0"/>
      </w:tcPr>
    </w:tblStylePr>
    <w:tblStylePr w:type="band2Vert"/>
    <w:tblStylePr w:type="band1Horz">
      <w:tcPr>
        <w:shd w:val="clear" w:color="FFFFFF" w:fill="D0DC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FFFF" w:fill="DBECD0"/>
      </w:tcPr>
    </w:tblStylePr>
    <w:tblStylePr w:type="band2Vert"/>
    <w:tblStylePr w:type="band1Horz">
      <w:tcPr>
        <w:shd w:val="clear" w:color="FFFFFF" w:fill="DBECD0"/>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6E6F4"/>
      </w:tcPr>
    </w:tblStylePr>
    <w:tblStylePr w:type="band2Vert"/>
    <w:tblStylePr w:type="band1Horz">
      <w:rPr>
        <w:rFonts w:ascii="Arial" w:hAnsi="Arial"/>
        <w:color w:val="404040"/>
        <w:sz w:val="22"/>
      </w:rPr>
      <w:tcPr>
        <w:shd w:val="clear" w:color="FFFFFF" w:fill="D6E6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ADECB"/>
      </w:tcPr>
    </w:tblStylePr>
    <w:tblStylePr w:type="band2Vert"/>
    <w:tblStylePr w:type="band1Horz">
      <w:rPr>
        <w:rFonts w:ascii="Arial" w:hAnsi="Arial"/>
        <w:color w:val="404040"/>
        <w:sz w:val="22"/>
      </w:rPr>
      <w:tcPr>
        <w:shd w:val="clear" w:color="FFFFFF"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E8E8E8"/>
      </w:tcPr>
    </w:tblStylePr>
    <w:tblStylePr w:type="band2Vert"/>
    <w:tblStylePr w:type="band1Horz">
      <w:rPr>
        <w:rFonts w:ascii="Arial" w:hAnsi="Arial"/>
        <w:color w:val="404040"/>
        <w:sz w:val="22"/>
      </w:rPr>
      <w:tcPr>
        <w:shd w:val="clear" w:color="FFFFFF"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FFEFBF"/>
      </w:tcPr>
    </w:tblStylePr>
    <w:tblStylePr w:type="band2Vert"/>
    <w:tblStylePr w:type="band1Horz">
      <w:rPr>
        <w:rFonts w:ascii="Arial" w:hAnsi="Arial"/>
        <w:color w:val="404040"/>
        <w:sz w:val="22"/>
      </w:rPr>
      <w:tcPr>
        <w:shd w:val="clear" w:color="FFFFFF" w:fill="FFEFBF"/>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0DCF0"/>
      </w:tcPr>
    </w:tblStylePr>
    <w:tblStylePr w:type="band2Vert"/>
    <w:tblStylePr w:type="band1Horz">
      <w:rPr>
        <w:rFonts w:ascii="Arial" w:hAnsi="Arial"/>
        <w:color w:val="404040"/>
        <w:sz w:val="22"/>
      </w:rPr>
      <w:tcPr>
        <w:shd w:val="clear" w:color="FFFFFF" w:fill="D0DC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FFFF" w:fill="DBECD0"/>
      </w:tcPr>
    </w:tblStylePr>
    <w:tblStylePr w:type="band2Vert"/>
    <w:tblStylePr w:type="band1Horz">
      <w:rPr>
        <w:rFonts w:ascii="Arial" w:hAnsi="Arial"/>
        <w:color w:val="404040"/>
        <w:sz w:val="22"/>
      </w:rPr>
      <w:tcPr>
        <w:shd w:val="clear" w:color="FFFFFF" w:fill="DBECD0"/>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FFFFF"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FFFFFF"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FFFF" w:fill="FFD9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FFFFFF" w:fill="8EAA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FFFFFF" w:fill="A9D18F"/>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BFBFBF"/>
      </w:tcPr>
    </w:tblStylePr>
    <w:tblStylePr w:type="band2Vert"/>
    <w:tblStylePr w:type="band1Horz">
      <w:rPr>
        <w:rFonts w:ascii="Arial" w:hAnsi="Arial"/>
        <w:color w:val="404040"/>
        <w:sz w:val="22"/>
      </w:rPr>
      <w:tcPr>
        <w:shd w:val="clear" w:color="FFFFFF" w:fill="BFBFBF"/>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6E6F4"/>
      </w:tcPr>
    </w:tblStylePr>
    <w:tblStylePr w:type="band2Vert"/>
    <w:tblStylePr w:type="band1Horz">
      <w:rPr>
        <w:rFonts w:ascii="Arial" w:hAnsi="Arial"/>
        <w:color w:val="404040"/>
        <w:sz w:val="22"/>
      </w:rPr>
      <w:tcPr>
        <w:shd w:val="clear" w:color="FFFFFF" w:fill="D6E6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FFFFFF"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ADECB"/>
      </w:tcPr>
    </w:tblStylePr>
    <w:tblStylePr w:type="band2Vert"/>
    <w:tblStylePr w:type="band1Horz">
      <w:rPr>
        <w:rFonts w:ascii="Arial" w:hAnsi="Arial"/>
        <w:color w:val="404040"/>
        <w:sz w:val="22"/>
      </w:rPr>
      <w:tcPr>
        <w:shd w:val="clear" w:color="FFFFFF"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FFFFFF"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E8E8E8"/>
      </w:tcPr>
    </w:tblStylePr>
    <w:tblStylePr w:type="band2Vert"/>
    <w:tblStylePr w:type="band1Horz">
      <w:rPr>
        <w:rFonts w:ascii="Arial" w:hAnsi="Arial"/>
        <w:color w:val="404040"/>
        <w:sz w:val="22"/>
      </w:rPr>
      <w:tcPr>
        <w:shd w:val="clear" w:color="FFFFFF"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FFFF"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FFEFBF"/>
      </w:tcPr>
    </w:tblStylePr>
    <w:tblStylePr w:type="band2Vert"/>
    <w:tblStylePr w:type="band1Horz">
      <w:rPr>
        <w:rFonts w:ascii="Arial" w:hAnsi="Arial"/>
        <w:color w:val="404040"/>
        <w:sz w:val="22"/>
      </w:rPr>
      <w:tcPr>
        <w:shd w:val="clear" w:color="FFFFFF" w:fill="FFEFBF"/>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FFFFFF"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0DCF0"/>
      </w:tcPr>
    </w:tblStylePr>
    <w:tblStylePr w:type="band2Vert"/>
    <w:tblStylePr w:type="band1Horz">
      <w:rPr>
        <w:rFonts w:ascii="Arial" w:hAnsi="Arial"/>
        <w:color w:val="404040"/>
        <w:sz w:val="22"/>
      </w:rPr>
      <w:tcPr>
        <w:shd w:val="clear" w:color="FFFFFF" w:fill="D0DC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FFFFFF"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FFFF" w:fill="DBECD0"/>
      </w:tcPr>
    </w:tblStylePr>
    <w:tblStylePr w:type="band2Vert"/>
    <w:tblStylePr w:type="band1Horz">
      <w:rPr>
        <w:rFonts w:ascii="Arial" w:hAnsi="Arial"/>
        <w:color w:val="404040"/>
        <w:sz w:val="22"/>
      </w:rPr>
      <w:tcPr>
        <w:shd w:val="clear" w:color="FFFFFF" w:fill="DBECD0"/>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FFFFFF" w:fill="7F7F7F"/>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FFFFFF" w:fill="7F7F7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7F7F7F"/>
      </w:tcPr>
    </w:tblStylePr>
    <w:tblStylePr w:type="band2Horz">
      <w:tcPr>
        <w:tcBorders>
          <w:top w:val="single" w:color="FFFFFF" w:themeColor="light1" w:sz="4" w:space="0"/>
          <w:bottom w:val="single" w:color="FFFFFF" w:themeColor="light1" w:sz="4" w:space="0"/>
        </w:tcBorders>
        <w:shd w:val="clear" w:color="FFFFFF" w:fill="7F7F7F"/>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FFFFFF"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FFFFFF"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5B9BD5"/>
      </w:tcPr>
    </w:tblStylePr>
    <w:tblStylePr w:type="band2Horz">
      <w:tcPr>
        <w:tcBorders>
          <w:top w:val="single" w:color="FFFFFF" w:themeColor="light1" w:sz="4" w:space="0"/>
          <w:bottom w:val="single" w:color="FFFFFF" w:themeColor="light1" w:sz="4" w:space="0"/>
        </w:tcBorders>
        <w:shd w:val="clear" w:color="FFFFFF"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FFFFF"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FFFFF"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4B285"/>
      </w:tcPr>
    </w:tblStylePr>
    <w:tblStylePr w:type="band2Horz">
      <w:tcPr>
        <w:tcBorders>
          <w:top w:val="single" w:color="FFFFFF" w:themeColor="light1" w:sz="4" w:space="0"/>
          <w:bottom w:val="single" w:color="FFFFFF" w:themeColor="light1" w:sz="4" w:space="0"/>
        </w:tcBorders>
        <w:shd w:val="clear" w:color="FFFFFF"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FFFFFF"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FFFFFF"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C9C9C9"/>
      </w:tcPr>
    </w:tblStylePr>
    <w:tblStylePr w:type="band2Horz">
      <w:tcPr>
        <w:tcBorders>
          <w:top w:val="single" w:color="FFFFFF" w:themeColor="light1" w:sz="4" w:space="0"/>
          <w:bottom w:val="single" w:color="FFFFFF" w:themeColor="light1" w:sz="4" w:space="0"/>
        </w:tcBorders>
        <w:shd w:val="clear" w:color="FFFFFF"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FFFF" w:fill="FFD96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FFFF" w:fill="FFD96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FFD965"/>
      </w:tcPr>
    </w:tblStylePr>
    <w:tblStylePr w:type="band2Horz">
      <w:tcPr>
        <w:tcBorders>
          <w:top w:val="single" w:color="FFFFFF" w:themeColor="light1" w:sz="4" w:space="0"/>
          <w:bottom w:val="single" w:color="FFFFFF" w:themeColor="light1" w:sz="4" w:space="0"/>
        </w:tcBorders>
        <w:shd w:val="clear" w:color="FFFFFF" w:fill="FFD965"/>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FFFFFF" w:fill="8EAA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FFFFFF" w:fill="8EAA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8EAADB"/>
      </w:tcPr>
    </w:tblStylePr>
    <w:tblStylePr w:type="band2Horz">
      <w:tcPr>
        <w:tcBorders>
          <w:top w:val="single" w:color="FFFFFF" w:themeColor="light1" w:sz="4" w:space="0"/>
          <w:bottom w:val="single" w:color="FFFFFF" w:themeColor="light1" w:sz="4" w:space="0"/>
        </w:tcBorders>
        <w:shd w:val="clear" w:color="FFFFFF" w:fill="8EAA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FFFFFF" w:fill="A9D18F"/>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FFFFFF" w:fill="A9D18F"/>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FFFF" w:fill="A9D18F"/>
      </w:tcPr>
    </w:tblStylePr>
    <w:tblStylePr w:type="band2Horz">
      <w:tcPr>
        <w:tcBorders>
          <w:top w:val="single" w:color="FFFFFF" w:themeColor="light1" w:sz="4" w:space="0"/>
          <w:bottom w:val="single" w:color="FFFFFF" w:themeColor="light1" w:sz="4" w:space="0"/>
        </w:tcBorders>
        <w:shd w:val="clear" w:color="FFFFFF" w:fill="A9D18F"/>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FFFFFF" w:fill="BFBFBF"/>
      </w:tcPr>
    </w:tblStylePr>
    <w:tblStylePr w:type="band2Vert"/>
    <w:tblStylePr w:type="band1Horz">
      <w:rPr>
        <w:rFonts w:ascii="Arial" w:hAnsi="Arial"/>
        <w:color w:val="000000" w:themeColor="text1"/>
        <w:sz w:val="22"/>
        <w14:textFill>
          <w14:solidFill>
            <w14:schemeClr w14:val="tx1"/>
          </w14:solidFill>
        </w14:textFill>
      </w:rPr>
      <w:tcPr>
        <w:shd w:val="clear" w:color="FFFFFF" w:fill="BFBFBF"/>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FFFFFF" w:fill="D6E6F4"/>
      </w:tcPr>
    </w:tblStylePr>
    <w:tblStylePr w:type="band2Vert"/>
    <w:tblStylePr w:type="band1Horz">
      <w:rPr>
        <w:rFonts w:ascii="Arial" w:hAnsi="Arial"/>
        <w:color w:val="245B8C" w:themeColor="accent1" w:themeShade="94"/>
        <w:sz w:val="22"/>
      </w:rPr>
      <w:tcPr>
        <w:shd w:val="clear" w:color="FFFFFF" w:fill="D6E6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FFFFF"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FFFFFF"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FFFFFF"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FFFF" w:fill="FFEFBF"/>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EFBF"/>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FFFFFF" w:fill="D0DC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FFFFFF" w:fill="D0DC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FFFFFF" w:fill="DBECD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FFFFFF" w:fill="DBECD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FFFFF" w:fill="BFBFBF"/>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FFFFF" w:fill="BFBFBF"/>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FFFFFF" w:fill="D6E6F4"/>
      </w:tcPr>
    </w:tblStylePr>
    <w:tblStylePr w:type="band2Vert"/>
    <w:tblStylePr w:type="band1Horz">
      <w:rPr>
        <w:rFonts w:ascii="Arial" w:hAnsi="Arial"/>
        <w:color w:val="245B8C" w:themeColor="accent1" w:themeShade="94"/>
        <w:sz w:val="22"/>
      </w:rPr>
      <w:tcPr>
        <w:shd w:val="clear" w:color="FFFFFF" w:fill="D6E6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FFFFF"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FFFFF"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FFFFFF"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FFFFFF"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FFFF" w:fill="FFEFBF"/>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FFFF" w:fill="FFEFBF"/>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FFFFFF" w:fill="D0DC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FFFFFF" w:fill="D0DC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FFFFFF" w:fill="DBECD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FFFFFF" w:fill="DBECD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FFFFFF" w:fill="69A3D8"/>
      </w:tcPr>
    </w:tblStylePr>
    <w:tblStylePr w:type="lastRow">
      <w:rPr>
        <w:rFonts w:ascii="Arial" w:hAnsi="Arial"/>
        <w:color w:val="F2F2F2"/>
        <w:sz w:val="22"/>
      </w:rPr>
      <w:tcPr>
        <w:shd w:val="clear" w:color="FFFFFF" w:fill="69A3D8"/>
      </w:tcPr>
    </w:tblStylePr>
    <w:tblStylePr w:type="firstCol">
      <w:rPr>
        <w:rFonts w:ascii="Arial" w:hAnsi="Arial"/>
        <w:color w:val="F2F2F2"/>
        <w:sz w:val="22"/>
      </w:rPr>
      <w:tcPr>
        <w:shd w:val="clear" w:color="FFFFFF" w:fill="69A3D8"/>
      </w:tcPr>
    </w:tblStylePr>
    <w:tblStylePr w:type="lastCol">
      <w:rPr>
        <w:rFonts w:ascii="Arial" w:hAnsi="Arial"/>
        <w:color w:val="F2F2F2"/>
        <w:sz w:val="22"/>
      </w:rPr>
      <w:tcPr>
        <w:shd w:val="clear" w:color="FFFFFF" w:fill="69A3D8"/>
      </w:tcPr>
    </w:tblStylePr>
    <w:tblStylePr w:type="band1Vert">
      <w:rPr>
        <w:rFonts w:ascii="Arial" w:hAnsi="Arial"/>
        <w:color w:val="404040"/>
        <w:sz w:val="22"/>
      </w:rPr>
    </w:tblStylePr>
    <w:tblStylePr w:type="band2Vert">
      <w:rPr>
        <w:rFonts w:ascii="Arial" w:hAnsi="Arial"/>
        <w:color w:val="404040"/>
        <w:sz w:val="22"/>
      </w:rPr>
      <w:tcPr>
        <w:shd w:val="clear" w:color="FFFFFF" w:fill="CCE0F2"/>
      </w:tcPr>
    </w:tblStylePr>
    <w:tblStylePr w:type="band1Horz">
      <w:rPr>
        <w:rFonts w:ascii="Arial" w:hAnsi="Arial"/>
        <w:color w:val="404040"/>
        <w:sz w:val="22"/>
      </w:rPr>
    </w:tblStylePr>
    <w:tblStylePr w:type="band2Horz">
      <w:rPr>
        <w:rFonts w:ascii="Arial" w:hAnsi="Arial"/>
        <w:color w:val="404040"/>
        <w:sz w:val="22"/>
      </w:rPr>
      <w:tcPr>
        <w:shd w:val="clear" w:color="FFFFFF" w:fill="CCE0F2"/>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FFFFF" w:fill="F4B285"/>
      </w:tcPr>
    </w:tblStylePr>
    <w:tblStylePr w:type="lastRow">
      <w:rPr>
        <w:rFonts w:ascii="Arial" w:hAnsi="Arial"/>
        <w:color w:val="F2F2F2"/>
        <w:sz w:val="22"/>
      </w:rPr>
      <w:tcPr>
        <w:shd w:val="clear" w:color="FFFFFF" w:fill="F4B285"/>
      </w:tcPr>
    </w:tblStylePr>
    <w:tblStylePr w:type="firstCol">
      <w:rPr>
        <w:rFonts w:ascii="Arial" w:hAnsi="Arial"/>
        <w:color w:val="F2F2F2"/>
        <w:sz w:val="22"/>
      </w:rPr>
      <w:tcPr>
        <w:shd w:val="clear" w:color="FFFFFF" w:fill="F4B285"/>
      </w:tcPr>
    </w:tblStylePr>
    <w:tblStylePr w:type="lastCol">
      <w:rPr>
        <w:rFonts w:ascii="Arial" w:hAnsi="Arial"/>
        <w:color w:val="F2F2F2"/>
        <w:sz w:val="22"/>
      </w:rPr>
      <w:tcPr>
        <w:shd w:val="clear" w:color="FFFFFF" w:fill="F4B285"/>
      </w:tcPr>
    </w:tblStylePr>
    <w:tblStylePr w:type="band1Vert">
      <w:rPr>
        <w:rFonts w:ascii="Arial" w:hAnsi="Arial"/>
        <w:color w:val="404040"/>
        <w:sz w:val="22"/>
      </w:rPr>
    </w:tblStylePr>
    <w:tblStylePr w:type="band2Vert">
      <w:rPr>
        <w:rFonts w:ascii="Arial" w:hAnsi="Arial"/>
        <w:color w:val="404040"/>
        <w:sz w:val="22"/>
      </w:rPr>
      <w:tcPr>
        <w:shd w:val="clear" w:color="FFFFFF" w:fill="FBE6D7"/>
      </w:tcPr>
    </w:tblStylePr>
    <w:tblStylePr w:type="band1Horz">
      <w:rPr>
        <w:rFonts w:ascii="Arial" w:hAnsi="Arial"/>
        <w:color w:val="404040"/>
        <w:sz w:val="22"/>
      </w:rPr>
    </w:tblStylePr>
    <w:tblStylePr w:type="band2Horz">
      <w:rPr>
        <w:rFonts w:ascii="Arial" w:hAnsi="Arial"/>
        <w:color w:val="404040"/>
        <w:sz w:val="22"/>
      </w:rPr>
      <w:tcPr>
        <w:shd w:val="clear" w:color="FFFFFF" w:fill="FBE6D7"/>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FFFFFF" w:fill="A5A5A5"/>
      </w:tcPr>
    </w:tblStylePr>
    <w:tblStylePr w:type="lastRow">
      <w:rPr>
        <w:rFonts w:ascii="Arial" w:hAnsi="Arial"/>
        <w:color w:val="F2F2F2"/>
        <w:sz w:val="22"/>
      </w:rPr>
      <w:tcPr>
        <w:shd w:val="clear" w:color="FFFFFF" w:fill="A5A5A5"/>
      </w:tcPr>
    </w:tblStylePr>
    <w:tblStylePr w:type="firstCol">
      <w:rPr>
        <w:rFonts w:ascii="Arial" w:hAnsi="Arial"/>
        <w:color w:val="F2F2F2"/>
        <w:sz w:val="22"/>
      </w:rPr>
      <w:tcPr>
        <w:shd w:val="clear" w:color="FFFFFF" w:fill="A5A5A5"/>
      </w:tcPr>
    </w:tblStylePr>
    <w:tblStylePr w:type="lastCol">
      <w:rPr>
        <w:rFonts w:ascii="Arial" w:hAnsi="Arial"/>
        <w:color w:val="F2F2F2"/>
        <w:sz w:val="22"/>
      </w:rPr>
      <w:tcPr>
        <w:shd w:val="clear" w:color="FFFFFF" w:fill="A5A5A5"/>
      </w:tcPr>
    </w:tblStylePr>
    <w:tblStylePr w:type="band1Vert">
      <w:rPr>
        <w:rFonts w:ascii="Arial" w:hAnsi="Arial"/>
        <w:color w:val="404040"/>
        <w:sz w:val="22"/>
      </w:rPr>
    </w:tblStylePr>
    <w:tblStylePr w:type="band2Vert">
      <w:rPr>
        <w:rFonts w:ascii="Arial" w:hAnsi="Arial"/>
        <w:color w:val="404040"/>
        <w:sz w:val="22"/>
      </w:rPr>
      <w:tcPr>
        <w:shd w:val="clear" w:color="FFFFFF" w:fill="EDEDED"/>
      </w:tcPr>
    </w:tblStylePr>
    <w:tblStylePr w:type="band1Horz">
      <w:rPr>
        <w:rFonts w:ascii="Arial" w:hAnsi="Arial"/>
        <w:color w:val="404040"/>
        <w:sz w:val="22"/>
      </w:rPr>
    </w:tblStylePr>
    <w:tblStylePr w:type="band2Horz">
      <w:rPr>
        <w:rFonts w:ascii="Arial" w:hAnsi="Arial"/>
        <w:color w:val="404040"/>
        <w:sz w:val="22"/>
      </w:rPr>
      <w:tcPr>
        <w:shd w:val="clear" w:color="FFFFFF" w:fill="EDEDED"/>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FFFF" w:fill="FFD965"/>
      </w:tcPr>
    </w:tblStylePr>
    <w:tblStylePr w:type="lastRow">
      <w:rPr>
        <w:rFonts w:ascii="Arial" w:hAnsi="Arial"/>
        <w:color w:val="F2F2F2"/>
        <w:sz w:val="22"/>
      </w:rPr>
      <w:tcPr>
        <w:shd w:val="clear" w:color="FFFFFF" w:fill="FFD965"/>
      </w:tcPr>
    </w:tblStylePr>
    <w:tblStylePr w:type="firstCol">
      <w:rPr>
        <w:rFonts w:ascii="Arial" w:hAnsi="Arial"/>
        <w:color w:val="F2F2F2"/>
        <w:sz w:val="22"/>
      </w:rPr>
      <w:tcPr>
        <w:shd w:val="clear" w:color="FFFFFF" w:fill="FFD965"/>
      </w:tcPr>
    </w:tblStylePr>
    <w:tblStylePr w:type="lastCol">
      <w:rPr>
        <w:rFonts w:ascii="Arial" w:hAnsi="Arial"/>
        <w:color w:val="F2F2F2"/>
        <w:sz w:val="22"/>
      </w:rPr>
      <w:tcPr>
        <w:shd w:val="clear" w:color="FFFFFF" w:fill="FFD965"/>
      </w:tcPr>
    </w:tblStylePr>
    <w:tblStylePr w:type="band1Vert">
      <w:rPr>
        <w:rFonts w:ascii="Arial" w:hAnsi="Arial"/>
        <w:color w:val="404040"/>
        <w:sz w:val="22"/>
      </w:rPr>
    </w:tblStylePr>
    <w:tblStylePr w:type="band2Vert">
      <w:rPr>
        <w:rFonts w:ascii="Arial" w:hAnsi="Arial"/>
        <w:color w:val="404040"/>
        <w:sz w:val="22"/>
      </w:rPr>
      <w:tcPr>
        <w:shd w:val="clear" w:color="FFFFFF" w:fill="FFF2CB"/>
      </w:tcPr>
    </w:tblStylePr>
    <w:tblStylePr w:type="band1Horz">
      <w:rPr>
        <w:rFonts w:ascii="Arial" w:hAnsi="Arial"/>
        <w:color w:val="404040"/>
        <w:sz w:val="22"/>
      </w:rPr>
    </w:tblStylePr>
    <w:tblStylePr w:type="band2Horz">
      <w:rPr>
        <w:rFonts w:ascii="Arial" w:hAnsi="Arial"/>
        <w:color w:val="404040"/>
        <w:sz w:val="22"/>
      </w:rPr>
      <w:tcPr>
        <w:shd w:val="clear" w:color="FFFFFF" w:fill="FFF2CB"/>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FFFFFF" w:fill="4472C4"/>
      </w:tcPr>
    </w:tblStylePr>
    <w:tblStylePr w:type="lastRow">
      <w:rPr>
        <w:rFonts w:ascii="Arial" w:hAnsi="Arial"/>
        <w:color w:val="F2F2F2"/>
        <w:sz w:val="22"/>
      </w:rPr>
      <w:tcPr>
        <w:shd w:val="clear" w:color="FFFFFF" w:fill="4472C4"/>
      </w:tcPr>
    </w:tblStylePr>
    <w:tblStylePr w:type="firstCol">
      <w:rPr>
        <w:rFonts w:ascii="Arial" w:hAnsi="Arial"/>
        <w:color w:val="F2F2F2"/>
        <w:sz w:val="22"/>
      </w:rPr>
      <w:tcPr>
        <w:shd w:val="clear" w:color="FFFFFF" w:fill="4472C4"/>
      </w:tcPr>
    </w:tblStylePr>
    <w:tblStylePr w:type="lastCol">
      <w:rPr>
        <w:rFonts w:ascii="Arial" w:hAnsi="Arial"/>
        <w:color w:val="F2F2F2"/>
        <w:sz w:val="22"/>
      </w:rPr>
      <w:tcPr>
        <w:shd w:val="clear" w:color="FFFFFF" w:fill="4472C4"/>
      </w:tcPr>
    </w:tblStylePr>
    <w:tblStylePr w:type="band1Vert">
      <w:rPr>
        <w:rFonts w:ascii="Arial" w:hAnsi="Arial"/>
        <w:color w:val="404040"/>
        <w:sz w:val="22"/>
      </w:rPr>
    </w:tblStylePr>
    <w:tblStylePr w:type="band2Vert">
      <w:rPr>
        <w:rFonts w:ascii="Arial" w:hAnsi="Arial"/>
        <w:color w:val="404040"/>
        <w:sz w:val="22"/>
      </w:rPr>
      <w:tcPr>
        <w:shd w:val="clear" w:color="FFFFFF" w:fill="D9E2F3"/>
      </w:tcPr>
    </w:tblStylePr>
    <w:tblStylePr w:type="band1Horz">
      <w:rPr>
        <w:rFonts w:ascii="Arial" w:hAnsi="Arial"/>
        <w:color w:val="404040"/>
        <w:sz w:val="22"/>
      </w:rPr>
    </w:tblStylePr>
    <w:tblStylePr w:type="band2Horz">
      <w:rPr>
        <w:rFonts w:ascii="Arial" w:hAnsi="Arial"/>
        <w:color w:val="404040"/>
        <w:sz w:val="22"/>
      </w:rPr>
      <w:tcPr>
        <w:shd w:val="clear" w:color="FFFFFF" w:fill="D9E2F3"/>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FFFFFF" w:fill="70AD47"/>
      </w:tcPr>
    </w:tblStylePr>
    <w:tblStylePr w:type="lastRow">
      <w:rPr>
        <w:rFonts w:ascii="Arial" w:hAnsi="Arial"/>
        <w:color w:val="F2F2F2"/>
        <w:sz w:val="22"/>
      </w:rPr>
      <w:tcPr>
        <w:shd w:val="clear" w:color="FFFFFF" w:fill="70AD47"/>
      </w:tcPr>
    </w:tblStylePr>
    <w:tblStylePr w:type="firstCol">
      <w:rPr>
        <w:rFonts w:ascii="Arial" w:hAnsi="Arial"/>
        <w:color w:val="F2F2F2"/>
        <w:sz w:val="22"/>
      </w:rPr>
      <w:tcPr>
        <w:shd w:val="clear" w:color="FFFFFF" w:fill="70AD47"/>
      </w:tcPr>
    </w:tblStylePr>
    <w:tblStylePr w:type="lastCol">
      <w:rPr>
        <w:rFonts w:ascii="Arial" w:hAnsi="Arial"/>
        <w:color w:val="F2F2F2"/>
        <w:sz w:val="22"/>
      </w:rPr>
      <w:tcPr>
        <w:shd w:val="clear" w:color="FFFFFF" w:fill="70AD47"/>
      </w:tcPr>
    </w:tblStylePr>
    <w:tblStylePr w:type="band1Vert">
      <w:rPr>
        <w:rFonts w:ascii="Arial" w:hAnsi="Arial"/>
        <w:color w:val="404040"/>
        <w:sz w:val="22"/>
      </w:rPr>
    </w:tblStylePr>
    <w:tblStylePr w:type="band2Vert">
      <w:rPr>
        <w:rFonts w:ascii="Arial" w:hAnsi="Arial"/>
        <w:color w:val="404040"/>
        <w:sz w:val="22"/>
      </w:rPr>
      <w:tcPr>
        <w:shd w:val="clear" w:color="FFFFFF" w:fill="E2EFD9"/>
      </w:tcPr>
    </w:tblStylePr>
    <w:tblStylePr w:type="band1Horz">
      <w:rPr>
        <w:rFonts w:ascii="Arial" w:hAnsi="Arial"/>
        <w:color w:val="404040"/>
        <w:sz w:val="22"/>
      </w:rPr>
    </w:tblStylePr>
    <w:tblStylePr w:type="band2Horz">
      <w:rPr>
        <w:rFonts w:ascii="Arial" w:hAnsi="Arial"/>
        <w:color w:val="404040"/>
        <w:sz w:val="22"/>
      </w:rPr>
      <w:tcPr>
        <w:shd w:val="clear" w:color="FFFFFF" w:fill="E2EFD9"/>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firstCol">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band1Vert">
      <w:rPr>
        <w:rFonts w:ascii="Arial" w:hAnsi="Arial"/>
        <w:color w:val="404040"/>
        <w:sz w:val="22"/>
      </w:rPr>
    </w:tblStylePr>
    <w:tblStylePr w:type="band2Vert">
      <w:rPr>
        <w:rFonts w:ascii="Arial" w:hAnsi="Arial"/>
        <w:color w:val="404040"/>
        <w:sz w:val="22"/>
      </w:rPr>
      <w:tcPr>
        <w:shd w:val="clear" w:color="FFFFFF" w:fill="F2F2F2"/>
      </w:tcPr>
    </w:tblStylePr>
    <w:tblStylePr w:type="band1Horz">
      <w:rPr>
        <w:rFonts w:ascii="Arial" w:hAnsi="Arial"/>
        <w:color w:val="404040"/>
        <w:sz w:val="22"/>
      </w:rPr>
    </w:tblStylePr>
    <w:tblStylePr w:type="band2Horz">
      <w:rPr>
        <w:rFonts w:ascii="Arial" w:hAnsi="Arial"/>
        <w:color w:val="404040"/>
        <w:sz w:val="22"/>
      </w:rPr>
      <w:tcPr>
        <w:shd w:val="clear" w:color="FFFFFF" w:fill="F2F2F2"/>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FFFFFF" w:fill="69A3D8"/>
      </w:tcPr>
    </w:tblStylePr>
    <w:tblStylePr w:type="lastRow">
      <w:rPr>
        <w:rFonts w:ascii="Arial" w:hAnsi="Arial"/>
        <w:color w:val="F2F2F2"/>
        <w:sz w:val="22"/>
      </w:rPr>
      <w:tcPr>
        <w:shd w:val="clear" w:color="FFFFFF" w:fill="69A3D8"/>
      </w:tcPr>
    </w:tblStylePr>
    <w:tblStylePr w:type="firstCol">
      <w:rPr>
        <w:rFonts w:ascii="Arial" w:hAnsi="Arial"/>
        <w:color w:val="F2F2F2"/>
        <w:sz w:val="22"/>
      </w:rPr>
      <w:tcPr>
        <w:shd w:val="clear" w:color="FFFFFF" w:fill="69A3D8"/>
      </w:tcPr>
    </w:tblStylePr>
    <w:tblStylePr w:type="lastCol">
      <w:rPr>
        <w:rFonts w:ascii="Arial" w:hAnsi="Arial"/>
        <w:color w:val="F2F2F2"/>
        <w:sz w:val="22"/>
      </w:rPr>
      <w:tcPr>
        <w:shd w:val="clear" w:color="FFFFFF" w:fill="69A3D8"/>
      </w:tcPr>
    </w:tblStylePr>
    <w:tblStylePr w:type="band1Vert">
      <w:rPr>
        <w:rFonts w:ascii="Arial" w:hAnsi="Arial"/>
        <w:color w:val="404040"/>
        <w:sz w:val="22"/>
      </w:rPr>
    </w:tblStylePr>
    <w:tblStylePr w:type="band2Vert">
      <w:rPr>
        <w:rFonts w:ascii="Arial" w:hAnsi="Arial"/>
        <w:color w:val="404040"/>
        <w:sz w:val="22"/>
      </w:rPr>
      <w:tcPr>
        <w:shd w:val="clear" w:color="FFFFFF" w:fill="CCE0F2"/>
      </w:tcPr>
    </w:tblStylePr>
    <w:tblStylePr w:type="band1Horz">
      <w:rPr>
        <w:rFonts w:ascii="Arial" w:hAnsi="Arial"/>
        <w:color w:val="404040"/>
        <w:sz w:val="22"/>
      </w:rPr>
    </w:tblStylePr>
    <w:tblStylePr w:type="band2Horz">
      <w:rPr>
        <w:rFonts w:ascii="Arial" w:hAnsi="Arial"/>
        <w:color w:val="404040"/>
        <w:sz w:val="22"/>
      </w:rPr>
      <w:tcPr>
        <w:shd w:val="clear" w:color="FFFFFF" w:fill="CCE0F2"/>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FFFFF" w:fill="F4B285"/>
      </w:tcPr>
    </w:tblStylePr>
    <w:tblStylePr w:type="lastRow">
      <w:rPr>
        <w:rFonts w:ascii="Arial" w:hAnsi="Arial"/>
        <w:color w:val="F2F2F2"/>
        <w:sz w:val="22"/>
      </w:rPr>
      <w:tcPr>
        <w:shd w:val="clear" w:color="FFFFFF" w:fill="F4B285"/>
      </w:tcPr>
    </w:tblStylePr>
    <w:tblStylePr w:type="firstCol">
      <w:rPr>
        <w:rFonts w:ascii="Arial" w:hAnsi="Arial"/>
        <w:color w:val="F2F2F2"/>
        <w:sz w:val="22"/>
      </w:rPr>
      <w:tcPr>
        <w:shd w:val="clear" w:color="FFFFFF" w:fill="F4B285"/>
      </w:tcPr>
    </w:tblStylePr>
    <w:tblStylePr w:type="lastCol">
      <w:rPr>
        <w:rFonts w:ascii="Arial" w:hAnsi="Arial"/>
        <w:color w:val="F2F2F2"/>
        <w:sz w:val="22"/>
      </w:rPr>
      <w:tcPr>
        <w:shd w:val="clear" w:color="FFFFFF" w:fill="F4B285"/>
      </w:tcPr>
    </w:tblStylePr>
    <w:tblStylePr w:type="band1Vert">
      <w:rPr>
        <w:rFonts w:ascii="Arial" w:hAnsi="Arial"/>
        <w:color w:val="404040"/>
        <w:sz w:val="22"/>
      </w:rPr>
    </w:tblStylePr>
    <w:tblStylePr w:type="band2Vert">
      <w:rPr>
        <w:rFonts w:ascii="Arial" w:hAnsi="Arial"/>
        <w:color w:val="404040"/>
        <w:sz w:val="22"/>
      </w:rPr>
      <w:tcPr>
        <w:shd w:val="clear" w:color="FFFFFF" w:fill="FBE6D7"/>
      </w:tcPr>
    </w:tblStylePr>
    <w:tblStylePr w:type="band1Horz">
      <w:rPr>
        <w:rFonts w:ascii="Arial" w:hAnsi="Arial"/>
        <w:color w:val="404040"/>
        <w:sz w:val="22"/>
      </w:rPr>
    </w:tblStylePr>
    <w:tblStylePr w:type="band2Horz">
      <w:rPr>
        <w:rFonts w:ascii="Arial" w:hAnsi="Arial"/>
        <w:color w:val="404040"/>
        <w:sz w:val="22"/>
      </w:rPr>
      <w:tcPr>
        <w:shd w:val="clear" w:color="FFFFFF" w:fill="FBE6D7"/>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FFFFFF" w:fill="A5A5A5"/>
      </w:tcPr>
    </w:tblStylePr>
    <w:tblStylePr w:type="lastRow">
      <w:rPr>
        <w:rFonts w:ascii="Arial" w:hAnsi="Arial"/>
        <w:color w:val="F2F2F2"/>
        <w:sz w:val="22"/>
      </w:rPr>
      <w:tcPr>
        <w:shd w:val="clear" w:color="FFFFFF" w:fill="A5A5A5"/>
      </w:tcPr>
    </w:tblStylePr>
    <w:tblStylePr w:type="firstCol">
      <w:rPr>
        <w:rFonts w:ascii="Arial" w:hAnsi="Arial"/>
        <w:color w:val="F2F2F2"/>
        <w:sz w:val="22"/>
      </w:rPr>
      <w:tcPr>
        <w:shd w:val="clear" w:color="FFFFFF" w:fill="A5A5A5"/>
      </w:tcPr>
    </w:tblStylePr>
    <w:tblStylePr w:type="lastCol">
      <w:rPr>
        <w:rFonts w:ascii="Arial" w:hAnsi="Arial"/>
        <w:color w:val="F2F2F2"/>
        <w:sz w:val="22"/>
      </w:rPr>
      <w:tcPr>
        <w:shd w:val="clear" w:color="FFFFFF" w:fill="A5A5A5"/>
      </w:tcPr>
    </w:tblStylePr>
    <w:tblStylePr w:type="band1Vert">
      <w:rPr>
        <w:rFonts w:ascii="Arial" w:hAnsi="Arial"/>
        <w:color w:val="404040"/>
        <w:sz w:val="22"/>
      </w:rPr>
    </w:tblStylePr>
    <w:tblStylePr w:type="band2Vert">
      <w:rPr>
        <w:rFonts w:ascii="Arial" w:hAnsi="Arial"/>
        <w:color w:val="404040"/>
        <w:sz w:val="22"/>
      </w:rPr>
      <w:tcPr>
        <w:shd w:val="clear" w:color="FFFFFF" w:fill="EDEDED"/>
      </w:tcPr>
    </w:tblStylePr>
    <w:tblStylePr w:type="band1Horz">
      <w:rPr>
        <w:rFonts w:ascii="Arial" w:hAnsi="Arial"/>
        <w:color w:val="404040"/>
        <w:sz w:val="22"/>
      </w:rPr>
    </w:tblStylePr>
    <w:tblStylePr w:type="band2Horz">
      <w:rPr>
        <w:rFonts w:ascii="Arial" w:hAnsi="Arial"/>
        <w:color w:val="404040"/>
        <w:sz w:val="22"/>
      </w:rPr>
      <w:tcPr>
        <w:shd w:val="clear" w:color="FFFFFF" w:fill="EDEDED"/>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FFFF" w:fill="FFD965"/>
      </w:tcPr>
    </w:tblStylePr>
    <w:tblStylePr w:type="lastRow">
      <w:rPr>
        <w:rFonts w:ascii="Arial" w:hAnsi="Arial"/>
        <w:color w:val="F2F2F2"/>
        <w:sz w:val="22"/>
      </w:rPr>
      <w:tcPr>
        <w:shd w:val="clear" w:color="FFFFFF" w:fill="FFD965"/>
      </w:tcPr>
    </w:tblStylePr>
    <w:tblStylePr w:type="firstCol">
      <w:rPr>
        <w:rFonts w:ascii="Arial" w:hAnsi="Arial"/>
        <w:color w:val="F2F2F2"/>
        <w:sz w:val="22"/>
      </w:rPr>
      <w:tcPr>
        <w:shd w:val="clear" w:color="FFFFFF" w:fill="FFD965"/>
      </w:tcPr>
    </w:tblStylePr>
    <w:tblStylePr w:type="lastCol">
      <w:rPr>
        <w:rFonts w:ascii="Arial" w:hAnsi="Arial"/>
        <w:color w:val="F2F2F2"/>
        <w:sz w:val="22"/>
      </w:rPr>
      <w:tcPr>
        <w:shd w:val="clear" w:color="FFFFFF" w:fill="FFD965"/>
      </w:tcPr>
    </w:tblStylePr>
    <w:tblStylePr w:type="band1Vert">
      <w:rPr>
        <w:rFonts w:ascii="Arial" w:hAnsi="Arial"/>
        <w:color w:val="404040"/>
        <w:sz w:val="22"/>
      </w:rPr>
    </w:tblStylePr>
    <w:tblStylePr w:type="band2Vert">
      <w:rPr>
        <w:rFonts w:ascii="Arial" w:hAnsi="Arial"/>
        <w:color w:val="404040"/>
        <w:sz w:val="22"/>
      </w:rPr>
      <w:tcPr>
        <w:shd w:val="clear" w:color="FFFFFF" w:fill="FFF2CB"/>
      </w:tcPr>
    </w:tblStylePr>
    <w:tblStylePr w:type="band1Horz">
      <w:rPr>
        <w:rFonts w:ascii="Arial" w:hAnsi="Arial"/>
        <w:color w:val="404040"/>
        <w:sz w:val="22"/>
      </w:rPr>
    </w:tblStylePr>
    <w:tblStylePr w:type="band2Horz">
      <w:rPr>
        <w:rFonts w:ascii="Arial" w:hAnsi="Arial"/>
        <w:color w:val="404040"/>
        <w:sz w:val="22"/>
      </w:rPr>
      <w:tcPr>
        <w:shd w:val="clear" w:color="FFFFFF" w:fill="FFF2CB"/>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FFFFFF" w:fill="4472C4"/>
      </w:tcPr>
    </w:tblStylePr>
    <w:tblStylePr w:type="lastRow">
      <w:rPr>
        <w:rFonts w:ascii="Arial" w:hAnsi="Arial"/>
        <w:color w:val="F2F2F2"/>
        <w:sz w:val="22"/>
      </w:rPr>
      <w:tcPr>
        <w:shd w:val="clear" w:color="FFFFFF" w:fill="4472C4"/>
      </w:tcPr>
    </w:tblStylePr>
    <w:tblStylePr w:type="firstCol">
      <w:rPr>
        <w:rFonts w:ascii="Arial" w:hAnsi="Arial"/>
        <w:color w:val="F2F2F2"/>
        <w:sz w:val="22"/>
      </w:rPr>
      <w:tcPr>
        <w:shd w:val="clear" w:color="FFFFFF" w:fill="4472C4"/>
      </w:tcPr>
    </w:tblStylePr>
    <w:tblStylePr w:type="lastCol">
      <w:rPr>
        <w:rFonts w:ascii="Arial" w:hAnsi="Arial"/>
        <w:color w:val="F2F2F2"/>
        <w:sz w:val="22"/>
      </w:rPr>
      <w:tcPr>
        <w:shd w:val="clear" w:color="FFFFFF" w:fill="4472C4"/>
      </w:tcPr>
    </w:tblStylePr>
    <w:tblStylePr w:type="band1Vert">
      <w:rPr>
        <w:rFonts w:ascii="Arial" w:hAnsi="Arial"/>
        <w:color w:val="404040"/>
        <w:sz w:val="22"/>
      </w:rPr>
    </w:tblStylePr>
    <w:tblStylePr w:type="band2Vert">
      <w:rPr>
        <w:rFonts w:ascii="Arial" w:hAnsi="Arial"/>
        <w:color w:val="404040"/>
        <w:sz w:val="22"/>
      </w:rPr>
      <w:tcPr>
        <w:shd w:val="clear" w:color="FFFFFF" w:fill="D9E2F3"/>
      </w:tcPr>
    </w:tblStylePr>
    <w:tblStylePr w:type="band1Horz">
      <w:rPr>
        <w:rFonts w:ascii="Arial" w:hAnsi="Arial"/>
        <w:color w:val="404040"/>
        <w:sz w:val="22"/>
      </w:rPr>
    </w:tblStylePr>
    <w:tblStylePr w:type="band2Horz">
      <w:rPr>
        <w:rFonts w:ascii="Arial" w:hAnsi="Arial"/>
        <w:color w:val="404040"/>
        <w:sz w:val="22"/>
      </w:rPr>
      <w:tcPr>
        <w:shd w:val="clear" w:color="FFFFFF" w:fill="D9E2F3"/>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FFFFFF" w:fill="70AD47"/>
      </w:tcPr>
    </w:tblStylePr>
    <w:tblStylePr w:type="lastRow">
      <w:rPr>
        <w:rFonts w:ascii="Arial" w:hAnsi="Arial"/>
        <w:color w:val="F2F2F2"/>
        <w:sz w:val="22"/>
      </w:rPr>
      <w:tcPr>
        <w:shd w:val="clear" w:color="FFFFFF" w:fill="70AD47"/>
      </w:tcPr>
    </w:tblStylePr>
    <w:tblStylePr w:type="firstCol">
      <w:rPr>
        <w:rFonts w:ascii="Arial" w:hAnsi="Arial"/>
        <w:color w:val="F2F2F2"/>
        <w:sz w:val="22"/>
      </w:rPr>
      <w:tcPr>
        <w:shd w:val="clear" w:color="FFFFFF" w:fill="70AD47"/>
      </w:tcPr>
    </w:tblStylePr>
    <w:tblStylePr w:type="lastCol">
      <w:rPr>
        <w:rFonts w:ascii="Arial" w:hAnsi="Arial"/>
        <w:color w:val="F2F2F2"/>
        <w:sz w:val="22"/>
      </w:rPr>
      <w:tcPr>
        <w:shd w:val="clear" w:color="FFFFFF" w:fill="70AD47"/>
      </w:tcPr>
    </w:tblStylePr>
    <w:tblStylePr w:type="band1Vert">
      <w:rPr>
        <w:rFonts w:ascii="Arial" w:hAnsi="Arial"/>
        <w:color w:val="404040"/>
        <w:sz w:val="22"/>
      </w:rPr>
    </w:tblStylePr>
    <w:tblStylePr w:type="band2Vert">
      <w:rPr>
        <w:rFonts w:ascii="Arial" w:hAnsi="Arial"/>
        <w:color w:val="404040"/>
        <w:sz w:val="22"/>
      </w:rPr>
      <w:tcPr>
        <w:shd w:val="clear" w:color="FFFFFF" w:fill="E2EFD9"/>
      </w:tcPr>
    </w:tblStylePr>
    <w:tblStylePr w:type="band1Horz">
      <w:rPr>
        <w:rFonts w:ascii="Arial" w:hAnsi="Arial"/>
        <w:color w:val="404040"/>
        <w:sz w:val="22"/>
      </w:rPr>
    </w:tblStylePr>
    <w:tblStylePr w:type="band2Horz">
      <w:rPr>
        <w:rFonts w:ascii="Arial" w:hAnsi="Arial"/>
        <w:color w:val="404040"/>
        <w:sz w:val="22"/>
      </w:rPr>
      <w:tcPr>
        <w:shd w:val="clear" w:color="FFFFFF" w:fill="E2EFD9"/>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6"/>
    <w:qFormat/>
    <w:uiPriority w:val="9"/>
    <w:rPr>
      <w:rFonts w:ascii="Arial" w:hAnsi="Arial" w:eastAsia="Arial" w:cs="Arial"/>
      <w:i/>
      <w:iCs/>
      <w:color w:val="2E75B6" w:themeColor="accent1" w:themeShade="BF"/>
    </w:rPr>
  </w:style>
  <w:style w:type="character" w:customStyle="1" w:styleId="165">
    <w:name w:val="Heading 5 Char"/>
    <w:basedOn w:val="28"/>
    <w:link w:val="7"/>
    <w:qFormat/>
    <w:uiPriority w:val="9"/>
    <w:rPr>
      <w:rFonts w:ascii="Arial" w:hAnsi="Arial" w:eastAsia="Arial" w:cs="Arial"/>
      <w:color w:val="2E75B6" w:themeColor="accent1" w:themeShade="BF"/>
    </w:rPr>
  </w:style>
  <w:style w:type="character" w:customStyle="1" w:styleId="166">
    <w:name w:val="Heading 6 Char"/>
    <w:basedOn w:val="28"/>
    <w:link w:val="8"/>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9"/>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link w:val="19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paragraph" w:customStyle="1" w:styleId="187">
    <w:name w:val="_Style 21"/>
    <w:semiHidden/>
    <w:qFormat/>
    <w:uiPriority w:val="99"/>
    <w:rPr>
      <w:rFonts w:hint="default" w:ascii="Times New Roman" w:hAnsi="Times New Roman" w:eastAsia="宋体" w:cs="Times New Roman"/>
      <w:sz w:val="21"/>
      <w:szCs w:val="22"/>
      <w:lang w:val="en-US" w:eastAsia="zh-CN" w:bidi="ar-SA"/>
    </w:rPr>
  </w:style>
  <w:style w:type="paragraph" w:customStyle="1" w:styleId="188">
    <w:name w:val="Table Paragraph"/>
    <w:basedOn w:val="1"/>
    <w:qFormat/>
    <w:uiPriority w:val="1"/>
    <w:pPr>
      <w:jc w:val="left"/>
    </w:pPr>
    <w:rPr>
      <w:rFonts w:ascii="Times New Roman" w:hAnsi="Times New Roman" w:cs="Times New Roman"/>
      <w:sz w:val="24"/>
      <w:szCs w:val="24"/>
    </w:rPr>
  </w:style>
  <w:style w:type="paragraph" w:styleId="189">
    <w:name w:val="List Paragraph"/>
    <w:basedOn w:val="1"/>
    <w:qFormat/>
    <w:uiPriority w:val="72"/>
    <w:pPr>
      <w:ind w:firstLine="420"/>
    </w:pPr>
  </w:style>
  <w:style w:type="paragraph" w:customStyle="1" w:styleId="190">
    <w:name w:val="Default"/>
    <w:qFormat/>
    <w:uiPriority w:val="0"/>
    <w:pPr>
      <w:widowControl w:val="0"/>
    </w:pPr>
    <w:rPr>
      <w:rFonts w:hint="default" w:ascii="宋体" w:hAnsi="宋体" w:eastAsia="宋体" w:cs="宋体"/>
      <w:color w:val="000000"/>
      <w:sz w:val="24"/>
      <w:szCs w:val="24"/>
      <w:lang w:val="en-US" w:eastAsia="zh-CN" w:bidi="ar-SA"/>
    </w:rPr>
  </w:style>
  <w:style w:type="character" w:customStyle="1" w:styleId="191">
    <w:name w:val="页眉 Char"/>
    <w:qFormat/>
    <w:uiPriority w:val="99"/>
    <w:rPr>
      <w:rFonts w:ascii="Times New Roman" w:hAnsi="Times New Roman" w:eastAsia="宋体" w:cs="Times New Roman"/>
      <w:sz w:val="18"/>
      <w:szCs w:val="18"/>
    </w:rPr>
  </w:style>
  <w:style w:type="character" w:customStyle="1" w:styleId="192">
    <w:name w:val="标题 1 Char"/>
    <w:link w:val="3"/>
    <w:qFormat/>
    <w:uiPriority w:val="1"/>
    <w:rPr>
      <w:rFonts w:ascii="黑体" w:hAnsi="Times New Roman" w:eastAsia="黑体" w:cs="黑体"/>
      <w:b/>
      <w:bCs/>
      <w:sz w:val="36"/>
      <w:szCs w:val="36"/>
    </w:rPr>
  </w:style>
  <w:style w:type="character" w:customStyle="1" w:styleId="193">
    <w:name w:val="批注文字 Char"/>
    <w:qFormat/>
    <w:uiPriority w:val="99"/>
    <w:rPr>
      <w:rFonts w:ascii="Times New Roman" w:hAnsi="Times New Roman" w:eastAsia="宋体" w:cs="Times New Roman"/>
      <w:sz w:val="21"/>
      <w:szCs w:val="22"/>
    </w:rPr>
  </w:style>
  <w:style w:type="character" w:customStyle="1" w:styleId="194">
    <w:name w:val="脚注文本 Char"/>
    <w:semiHidden/>
    <w:qFormat/>
    <w:uiPriority w:val="99"/>
    <w:rPr>
      <w:rFonts w:ascii="Times New Roman" w:hAnsi="Times New Roman" w:eastAsia="宋体" w:cs="Times New Roman"/>
      <w:sz w:val="18"/>
      <w:szCs w:val="18"/>
    </w:rPr>
  </w:style>
  <w:style w:type="character" w:customStyle="1" w:styleId="195">
    <w:name w:val="页脚 Char"/>
    <w:qFormat/>
    <w:uiPriority w:val="99"/>
    <w:rPr>
      <w:rFonts w:ascii="Times New Roman" w:hAnsi="Times New Roman" w:eastAsia="宋体" w:cs="Times New Roman"/>
      <w:sz w:val="18"/>
      <w:szCs w:val="18"/>
    </w:rPr>
  </w:style>
  <w:style w:type="character" w:customStyle="1" w:styleId="196">
    <w:name w:val="批注框文本 Char"/>
    <w:link w:val="172"/>
    <w:semiHidden/>
    <w:qFormat/>
    <w:uiPriority w:val="99"/>
    <w:rPr>
      <w:rFonts w:ascii="Times New Roman" w:hAnsi="Times New Roman" w:eastAsia="宋体" w:cs="Times New Roman"/>
      <w:sz w:val="18"/>
      <w:szCs w:val="18"/>
    </w:rPr>
  </w:style>
  <w:style w:type="character" w:customStyle="1" w:styleId="197">
    <w:name w:val="标题 2 Char"/>
    <w:link w:val="4"/>
    <w:qFormat/>
    <w:uiPriority w:val="9"/>
    <w:rPr>
      <w:rFonts w:ascii="Cambria" w:hAnsi="Cambria" w:eastAsia="宋体" w:cs="Times New Roman"/>
      <w:b/>
      <w:bCs/>
      <w:sz w:val="32"/>
      <w:szCs w:val="32"/>
    </w:rPr>
  </w:style>
  <w:style w:type="character" w:customStyle="1" w:styleId="198">
    <w:name w:val="日期 Char"/>
    <w:basedOn w:val="28"/>
    <w:semiHidden/>
    <w:qFormat/>
    <w:uiPriority w:val="99"/>
    <w:rPr>
      <w:rFonts w:ascii="Times New Roman" w:hAnsi="Times New Roman" w:eastAsia="宋体" w:cs="Times New Roman"/>
    </w:rPr>
  </w:style>
  <w:style w:type="character" w:customStyle="1" w:styleId="199">
    <w:name w:val="脚注文本 字符"/>
    <w:semiHidden/>
    <w:qFormat/>
    <w:uiPriority w:val="99"/>
    <w:rPr>
      <w:rFonts w:ascii="Times New Roman" w:hAnsi="Times New Roman" w:eastAsia="宋体" w:cs="Times New Roman"/>
      <w:sz w:val="18"/>
      <w:szCs w:val="18"/>
    </w:rPr>
  </w:style>
  <w:style w:type="character" w:customStyle="1" w:styleId="200">
    <w:name w:val="批注主题 Char"/>
    <w:semiHidden/>
    <w:qFormat/>
    <w:uiPriority w:val="99"/>
    <w:rPr>
      <w:rFonts w:ascii="Times New Roman" w:hAnsi="Times New Roman" w:eastAsia="宋体" w:cs="Times New Roman"/>
      <w:b/>
      <w:bCs/>
      <w:sz w:val="21"/>
      <w:szCs w:val="22"/>
    </w:rPr>
  </w:style>
  <w:style w:type="character" w:customStyle="1" w:styleId="201">
    <w:name w:val="标题 3 Char"/>
    <w:link w:val="5"/>
    <w:qFormat/>
    <w:uiPriority w:val="1"/>
    <w:rPr>
      <w:rFonts w:ascii="宋体" w:hAnsi="Times New Roman" w:eastAsia="宋体" w:cs="宋体"/>
      <w:b/>
      <w:bCs/>
      <w:szCs w:val="21"/>
    </w:rPr>
  </w:style>
  <w:style w:type="character" w:customStyle="1" w:styleId="202">
    <w:name w:val="正文文本 Char"/>
    <w:qFormat/>
    <w:uiPriority w:val="1"/>
    <w:rPr>
      <w:rFonts w:ascii="宋体" w:hAnsi="Times New Roman" w:eastAsia="宋体" w:cs="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2024-03-28T01:26:00Z</dcterms:created>
  <dc:creator>jsyh</dc:creator>
  <cp:lastModifiedBy>匿名用户</cp:lastModifiedBy>
  <dcterms:modified xsi:type="dcterms:W3CDTF">2026-06-04T07:59:28Z</dcterms:modified>
  <cp:revision>3</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Props1.xml><?xml version="1.0" encoding="utf-8"?>
<ds:datastoreItem xmlns:ds="http://schemas.openxmlformats.org/officeDocument/2006/customXml" ds:itemID="{b4ca3d73-f516-4afa-b4b8-d6bb46c8e545}">
  <ds:schemaRefs/>
</ds:datastoreItem>
</file>

<file path=customXml/itemProps2.xml><?xml version="1.0" encoding="utf-8"?>
<ds:datastoreItem xmlns:ds="http://schemas.openxmlformats.org/officeDocument/2006/customXml" ds:itemID="{d27390bd-7426-4027-9fc0-e8d34a2b4cac}">
  <ds:schemaRefs/>
</ds:datastoreItem>
</file>

<file path=customXml/itemProps3.xml><?xml version="1.0" encoding="utf-8"?>
<ds:datastoreItem xmlns:ds="http://schemas.openxmlformats.org/officeDocument/2006/customXml" ds:itemID="{ef1b1ee3-10ef-4af2-946a-673b99c1b38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陈哲琨</cp:lastModifiedBy>
  <dcterms:modified xsi:type="dcterms:W3CDTF">2026-08-26T12:57:00Z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DACFA670345B46109B510CD60729262E</vt:lpwstr>
  </property>
</Properties>
</file>