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val="0"/>
        <w:topLinePunct w:val="0"/>
        <w:autoSpaceDE w:val="0"/>
        <w:autoSpaceDN w:val="0"/>
        <w:bidi w:val="0"/>
        <w:spacing w:line="310" w:lineRule="exact"/>
        <w:jc w:val="center"/>
        <w:textAlignment w:val="auto"/>
        <w:outlineLvl w:val="0"/>
        <w:rPr>
          <w:rFonts w:hint="eastAsia" w:ascii="楷体" w:hAnsi="楷体" w:eastAsia="楷体" w:cs="楷体"/>
          <w:b/>
          <w:color w:val="auto"/>
          <w:sz w:val="28"/>
          <w:szCs w:val="28"/>
          <w:highlight w:val="none"/>
          <w:lang w:eastAsia="zh-CN"/>
        </w:rPr>
      </w:pPr>
      <w:bookmarkStart w:id="0" w:name="_Hlk168577216"/>
      <w:r>
        <w:rPr>
          <w:rFonts w:hint="eastAsia" w:ascii="楷体" w:hAnsi="楷体" w:eastAsia="楷体" w:cs="楷体"/>
          <w:b/>
          <w:color w:val="auto"/>
          <w:sz w:val="28"/>
          <w:szCs w:val="28"/>
          <w:highlight w:val="none"/>
        </w:rPr>
        <w:t>“</w:t>
      </w:r>
      <w:r>
        <w:rPr>
          <w:rFonts w:hint="eastAsia" w:ascii="楷体" w:hAnsi="楷体" w:eastAsia="楷体" w:cs="楷体"/>
          <w:b/>
          <w:color w:val="auto"/>
          <w:sz w:val="28"/>
          <w:szCs w:val="28"/>
          <w:highlight w:val="none"/>
          <w:lang w:val="en-US" w:eastAsia="zh-CN"/>
        </w:rPr>
        <w:t>苏银理财恒源1年定开17期</w:t>
      </w:r>
      <w:r>
        <w:rPr>
          <w:rFonts w:hint="eastAsia" w:ascii="楷体" w:hAnsi="楷体" w:eastAsia="楷体" w:cs="楷体"/>
          <w:b/>
          <w:color w:val="auto"/>
          <w:sz w:val="28"/>
          <w:szCs w:val="28"/>
          <w:highlight w:val="none"/>
        </w:rPr>
        <w:t>”理财产品</w:t>
      </w:r>
      <w:r>
        <w:rPr>
          <w:rFonts w:hint="eastAsia" w:ascii="楷体" w:hAnsi="楷体" w:eastAsia="楷体" w:cs="楷体"/>
          <w:b/>
          <w:color w:val="auto"/>
          <w:sz w:val="28"/>
          <w:szCs w:val="28"/>
          <w:highlight w:val="none"/>
          <w:lang w:val="en-US" w:eastAsia="zh-CN"/>
        </w:rPr>
        <w:t>说明书</w:t>
      </w:r>
    </w:p>
    <w:p>
      <w:pPr>
        <w:pStyle w:val="13"/>
        <w:keepNext w:val="0"/>
        <w:keepLines w:val="0"/>
        <w:pageBreakBefore w:val="0"/>
        <w:kinsoku/>
        <w:wordWrap/>
        <w:topLinePunct w:val="0"/>
        <w:bidi w:val="0"/>
        <w:spacing w:before="0" w:beforeAutospacing="0" w:after="0" w:afterAutospacing="0" w:line="310" w:lineRule="exact"/>
        <w:jc w:val="center"/>
        <w:rPr>
          <w:rFonts w:hint="eastAsia" w:ascii="楷体" w:hAnsi="楷体" w:eastAsia="楷体" w:cs="宋体"/>
          <w:b/>
          <w:color w:val="auto"/>
          <w:sz w:val="24"/>
          <w:szCs w:val="24"/>
          <w:highlight w:val="none"/>
        </w:rPr>
      </w:pPr>
      <w:r>
        <w:rPr>
          <w:rFonts w:hint="eastAsia" w:ascii="楷体" w:hAnsi="楷体" w:eastAsia="楷体" w:cs="Times New Roman"/>
          <w:sz w:val="21"/>
          <w:szCs w:val="21"/>
          <w:highlight w:val="none"/>
          <w:lang w:val="en-US" w:eastAsia="zh-CN" w:bidi="ar-SA"/>
        </w:rPr>
        <w:t>（</w:t>
      </w:r>
      <w:r>
        <w:rPr>
          <w:rFonts w:hint="eastAsia" w:ascii="楷体" w:hAnsi="楷体" w:eastAsia="楷体" w:cs="Times New Roman"/>
          <w:b w:val="0"/>
          <w:bCs w:val="0"/>
          <w:sz w:val="21"/>
          <w:szCs w:val="21"/>
          <w:highlight w:val="none"/>
          <w:lang w:val="en-US" w:eastAsia="zh-CN" w:bidi="ar-SA"/>
        </w:rPr>
        <w:t>2026年9月版</w:t>
      </w:r>
      <w:r>
        <w:rPr>
          <w:rFonts w:hint="eastAsia" w:ascii="楷体" w:hAnsi="楷体" w:eastAsia="楷体" w:cs="Times New Roman"/>
          <w:sz w:val="21"/>
          <w:szCs w:val="21"/>
          <w:highlight w:val="none"/>
          <w:lang w:val="en-US" w:eastAsia="zh-CN" w:bidi="ar-SA"/>
        </w:rPr>
        <w:t>）</w:t>
      </w:r>
    </w:p>
    <w:p>
      <w:pPr>
        <w:keepNext w:val="0"/>
        <w:keepLines w:val="0"/>
        <w:pageBreakBefore w:val="0"/>
        <w:kinsoku/>
        <w:wordWrap/>
        <w:overflowPunct w:val="0"/>
        <w:topLinePunct w:val="0"/>
        <w:autoSpaceDE w:val="0"/>
        <w:autoSpaceDN w:val="0"/>
        <w:bidi w:val="0"/>
        <w:spacing w:line="310" w:lineRule="exact"/>
        <w:jc w:val="center"/>
        <w:textAlignment w:val="auto"/>
        <w:rPr>
          <w:rFonts w:hint="eastAsia" w:ascii="楷体" w:hAnsi="楷体" w:eastAsia="楷体" w:cs="楷体"/>
          <w:b/>
          <w:color w:val="auto"/>
          <w:kern w:val="0"/>
          <w:sz w:val="24"/>
          <w:szCs w:val="24"/>
          <w:highlight w:val="none"/>
        </w:rPr>
      </w:pPr>
      <w:r>
        <w:rPr>
          <w:rFonts w:hint="eastAsia" w:ascii="楷体" w:hAnsi="楷体" w:eastAsia="楷体" w:cs="楷体"/>
          <w:b/>
          <w:color w:val="auto"/>
          <w:kern w:val="0"/>
          <w:sz w:val="24"/>
          <w:szCs w:val="24"/>
          <w:highlight w:val="none"/>
        </w:rPr>
        <w:t>理财非存款、产品有风险、投资须谨慎</w:t>
      </w:r>
    </w:p>
    <w:p>
      <w:pPr>
        <w:keepNext w:val="0"/>
        <w:keepLines w:val="0"/>
        <w:pageBreakBefore w:val="0"/>
        <w:widowControl w:val="0"/>
        <w:kinsoku/>
        <w:wordWrap/>
        <w:overflowPunct w:val="0"/>
        <w:topLinePunct w:val="0"/>
        <w:autoSpaceDE w:val="0"/>
        <w:autoSpaceDN w:val="0"/>
        <w:bidi w:val="0"/>
        <w:adjustRightInd/>
        <w:snapToGrid/>
        <w:spacing w:before="157" w:beforeLines="50" w:line="310" w:lineRule="exact"/>
        <w:jc w:val="center"/>
        <w:textAlignment w:val="auto"/>
        <w:rPr>
          <w:rFonts w:hint="eastAsia" w:ascii="楷体" w:hAnsi="楷体" w:eastAsia="楷体" w:cs="楷体"/>
          <w:b/>
          <w:color w:val="auto"/>
          <w:kern w:val="0"/>
          <w:sz w:val="24"/>
          <w:szCs w:val="24"/>
          <w:highlight w:val="none"/>
          <w:lang w:val="en-US" w:eastAsia="zh-CN"/>
        </w:rPr>
      </w:pPr>
      <w:r>
        <w:rPr>
          <w:rFonts w:hint="eastAsia" w:ascii="楷体" w:hAnsi="楷体" w:eastAsia="楷体" w:cs="楷体"/>
          <w:b/>
          <w:color w:val="auto"/>
          <w:kern w:val="0"/>
          <w:sz w:val="24"/>
          <w:szCs w:val="24"/>
          <w:highlight w:val="none"/>
          <w:lang w:val="en-US" w:eastAsia="zh-CN"/>
        </w:rPr>
        <w:t>产品登记编码：</w:t>
      </w:r>
      <w:r>
        <w:rPr>
          <w:rFonts w:hint="eastAsia" w:ascii="楷体" w:hAnsi="楷体" w:eastAsia="楷体" w:cs="楷体"/>
          <w:b/>
          <w:color w:val="auto"/>
          <w:sz w:val="24"/>
          <w:szCs w:val="24"/>
          <w:highlight w:val="none"/>
          <w:lang w:val="en-US" w:eastAsia="zh-CN"/>
        </w:rPr>
        <w:t>Z7003121000108</w:t>
      </w:r>
    </w:p>
    <w:p>
      <w:pPr>
        <w:pStyle w:val="15"/>
        <w:keepNext w:val="0"/>
        <w:keepLines w:val="0"/>
        <w:pageBreakBefore w:val="0"/>
        <w:kinsoku/>
        <w:wordWrap/>
        <w:overflowPunct w:val="0"/>
        <w:topLinePunct w:val="0"/>
        <w:autoSpaceDE w:val="0"/>
        <w:autoSpaceDN w:val="0"/>
        <w:bidi w:val="0"/>
        <w:spacing w:line="310" w:lineRule="exact"/>
        <w:ind w:left="0" w:leftChars="0" w:firstLine="0" w:firstLineChars="0"/>
        <w:jc w:val="center"/>
        <w:textAlignment w:val="auto"/>
        <w:rPr>
          <w:rFonts w:hint="default" w:ascii="楷体" w:hAnsi="楷体" w:eastAsia="楷体" w:cs="楷体"/>
          <w:b/>
          <w:color w:val="auto"/>
          <w:kern w:val="0"/>
          <w:sz w:val="24"/>
          <w:szCs w:val="24"/>
          <w:highlight w:val="none"/>
          <w:lang w:val="en-US" w:eastAsia="zh-CN" w:bidi="ar-SA"/>
        </w:rPr>
      </w:pPr>
      <w:r>
        <w:rPr>
          <w:rFonts w:hint="eastAsia" w:ascii="楷体" w:hAnsi="楷体" w:eastAsia="楷体" w:cs="楷体"/>
          <w:b/>
          <w:color w:val="auto"/>
          <w:kern w:val="0"/>
          <w:sz w:val="24"/>
          <w:szCs w:val="24"/>
          <w:highlight w:val="none"/>
          <w:lang w:val="en-US" w:eastAsia="zh-CN" w:bidi="ar-SA"/>
        </w:rPr>
        <w:t>(投资者可依据该登记编码在中国理财网www.chinawealth.com.cn查询产品信息）</w:t>
      </w:r>
    </w:p>
    <w:p>
      <w:pPr>
        <w:keepNext w:val="0"/>
        <w:keepLines w:val="0"/>
        <w:pageBreakBefore w:val="0"/>
        <w:kinsoku/>
        <w:wordWrap/>
        <w:overflowPunct w:val="0"/>
        <w:topLinePunct w:val="0"/>
        <w:autoSpaceDE w:val="0"/>
        <w:autoSpaceDN w:val="0"/>
        <w:bidi w:val="0"/>
        <w:spacing w:line="310" w:lineRule="exact"/>
        <w:textAlignment w:val="auto"/>
        <w:outlineLvl w:val="1"/>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重要须知</w:t>
      </w:r>
    </w:p>
    <w:p>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310" w:lineRule="exact"/>
        <w:ind w:leftChars="0"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①在购买本理财产品前，投资者应确保自己完全理解该项投资的性质和所涉及的风险，详细了解和审慎评估该理财产品的投资范围、风险类型等基本情况，在慎重考虑后自行决定购买与自身风险承受能力和资产管理需求匹配的理财产品。</w:t>
      </w:r>
    </w:p>
    <w:p>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310" w:lineRule="exact"/>
        <w:ind w:leftChars="0" w:firstLine="422" w:firstLineChars="200"/>
        <w:textAlignment w:val="auto"/>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②本理财产品不保证本金及收益，您的本金可能因市场变动或者交易违约等事项而蒙受相应损失，投资者应充分认识投资风险，谨慎投资。</w:t>
      </w:r>
    </w:p>
    <w:p>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310" w:lineRule="exact"/>
        <w:ind w:leftChars="0" w:firstLine="422" w:firstLineChars="200"/>
        <w:textAlignment w:val="auto"/>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③本理财产品过往业绩不代表其未来表现，不等于理财产品实际收益，投资须谨慎；理财非存款、产品有风险、投资须谨慎。</w:t>
      </w:r>
    </w:p>
    <w:p>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310" w:lineRule="exact"/>
        <w:ind w:leftChars="0" w:firstLine="422" w:firstLineChars="200"/>
        <w:textAlignment w:val="auto"/>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④本理财产品任何业绩比较基准及类似表述均属不具有法律约束力的用语。业绩比较基准为管理人基于产品性质、投资策略、过往经验等因素对产品设定的投资目标。业绩比较基准不是预期收益率，不代表产品的未来表现和实际收益，不构成对产品收益的承诺。</w:t>
      </w:r>
    </w:p>
    <w:p>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310" w:lineRule="exact"/>
        <w:ind w:leftChars="0"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⑤《风险揭示书》、《理财产品说明书》、《理财产品投资协议书》、《投资者权益须知》、《理财产品（代理）销售协议书》共同构成本理财产品完整的不可分割的理财产品合同。</w:t>
      </w:r>
    </w:p>
    <w:p>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310" w:lineRule="exact"/>
        <w:ind w:leftChars="0"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⑥本理财产品涉及的主要风险包括政策风险、信用风险、市场风险、流动性风险、管理风险、操作风险、</w:t>
      </w:r>
      <w:r>
        <w:rPr>
          <w:rFonts w:hint="eastAsia" w:ascii="楷体" w:hAnsi="楷体" w:eastAsia="楷体"/>
          <w:sz w:val="21"/>
          <w:szCs w:val="21"/>
          <w:highlight w:val="none"/>
          <w:lang w:val="en-US" w:eastAsia="zh-CN"/>
        </w:rPr>
        <w:t>理财产品不成立风险、</w:t>
      </w:r>
      <w:r>
        <w:rPr>
          <w:rFonts w:hint="eastAsia" w:ascii="楷体" w:hAnsi="楷体" w:eastAsia="楷体"/>
          <w:sz w:val="21"/>
          <w:szCs w:val="21"/>
          <w:highlight w:val="none"/>
        </w:rPr>
        <w:t>延期兑付风险、提前终止风险、信息传递风险、代销风险（如有）、不可抗力风险、关联关系及关联交易风险、特定投资标的风险等。请仔细阅读《“苏银理财恒源1年定开17期”理财产品风险揭示书》的“风险揭示”部分。</w:t>
      </w:r>
    </w:p>
    <w:p>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310" w:lineRule="exact"/>
        <w:ind w:leftChars="0" w:firstLine="422" w:firstLineChars="200"/>
        <w:textAlignment w:val="auto"/>
        <w:rPr>
          <w:rFonts w:hint="eastAsia" w:ascii="楷体" w:hAnsi="楷体" w:eastAsia="楷体"/>
          <w:b/>
          <w:sz w:val="21"/>
          <w:szCs w:val="21"/>
          <w:highlight w:val="none"/>
          <w:u w:val="single"/>
        </w:rPr>
      </w:pPr>
      <w:r>
        <w:rPr>
          <w:rFonts w:hint="eastAsia" w:ascii="楷体" w:hAnsi="楷体" w:eastAsia="楷体" w:cs="楷体"/>
          <w:b/>
          <w:sz w:val="21"/>
          <w:szCs w:val="21"/>
          <w:highlight w:val="none"/>
          <w:u w:val="single"/>
        </w:rPr>
        <w:t>⑦本产品可设置多类份额，各类份额可能设置不同的销售对象、销售起点、业绩比较基准等，各类份额实际收取的销售服务费率、</w:t>
      </w:r>
      <w:r>
        <w:rPr>
          <w:rFonts w:hint="eastAsia" w:ascii="楷体" w:hAnsi="楷体" w:eastAsia="楷体" w:cs="楷体"/>
          <w:b/>
          <w:sz w:val="21"/>
          <w:szCs w:val="21"/>
          <w:highlight w:val="none"/>
          <w:u w:val="single"/>
          <w:lang w:val="en-US" w:eastAsia="zh-CN"/>
        </w:rPr>
        <w:t>固定</w:t>
      </w:r>
      <w:r>
        <w:rPr>
          <w:rFonts w:hint="eastAsia" w:ascii="楷体" w:hAnsi="楷体" w:eastAsia="楷体" w:cs="楷体"/>
          <w:b/>
          <w:sz w:val="21"/>
          <w:szCs w:val="21"/>
          <w:highlight w:val="none"/>
          <w:u w:val="single"/>
        </w:rPr>
        <w:t>管理费率、</w:t>
      </w:r>
      <w:r>
        <w:rPr>
          <w:rFonts w:hint="eastAsia" w:ascii="楷体" w:hAnsi="楷体" w:eastAsia="楷体" w:cs="楷体"/>
          <w:b/>
          <w:sz w:val="21"/>
          <w:szCs w:val="21"/>
          <w:highlight w:val="none"/>
          <w:u w:val="single"/>
          <w:lang w:val="en-US" w:eastAsia="zh-CN"/>
        </w:rPr>
        <w:t>浮动管理费</w:t>
      </w:r>
      <w:r>
        <w:rPr>
          <w:rFonts w:hint="eastAsia" w:ascii="楷体" w:hAnsi="楷体" w:eastAsia="楷体" w:cs="楷体"/>
          <w:b/>
          <w:sz w:val="21"/>
          <w:szCs w:val="21"/>
          <w:highlight w:val="none"/>
          <w:u w:val="single"/>
        </w:rPr>
        <w:t>（如有）等可能存在差异，投资者应根据实际情况自主选择购买。</w:t>
      </w:r>
    </w:p>
    <w:p>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310" w:lineRule="exact"/>
        <w:ind w:leftChars="0" w:firstLine="422" w:firstLineChars="200"/>
        <w:textAlignment w:val="auto"/>
        <w:rPr>
          <w:rFonts w:hint="eastAsia" w:ascii="楷体" w:hAnsi="楷体" w:eastAsia="楷体" w:cs="楷体"/>
          <w:sz w:val="21"/>
          <w:szCs w:val="21"/>
          <w:highlight w:val="none"/>
        </w:rPr>
      </w:pPr>
      <w:r>
        <w:rPr>
          <w:rFonts w:hint="eastAsia" w:ascii="楷体" w:hAnsi="楷体" w:eastAsia="楷体"/>
          <w:b/>
          <w:sz w:val="21"/>
          <w:szCs w:val="21"/>
          <w:highlight w:val="none"/>
          <w:u w:val="single"/>
        </w:rPr>
        <w:t>⑧投资者不得使用贷款、发行债券等筹集的非自有资金投资本理财产品。</w:t>
      </w:r>
    </w:p>
    <w:p>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310" w:lineRule="exact"/>
        <w:ind w:leftChars="0" w:firstLine="420" w:firstLineChars="200"/>
        <w:textAlignment w:val="auto"/>
        <w:rPr>
          <w:rFonts w:hint="default" w:eastAsia="楷体"/>
          <w:highlight w:val="none"/>
          <w:lang w:val="en-US" w:eastAsia="zh-CN"/>
        </w:rPr>
      </w:pPr>
      <w:r>
        <w:rPr>
          <w:rFonts w:hint="eastAsia" w:ascii="楷体" w:hAnsi="楷体" w:eastAsia="楷体"/>
          <w:sz w:val="21"/>
          <w:szCs w:val="21"/>
          <w:highlight w:val="none"/>
        </w:rPr>
        <w:t>⑨在本产品存续期内，如因监管政策或法律法规发生变化，在不损害投资者利益的前提下，苏银理财有权单方对本产品条款进行修订，并按本理财产品说明书约定的信息披露方式予以披露。</w:t>
      </w:r>
    </w:p>
    <w:p>
      <w:pPr>
        <w:keepNext w:val="0"/>
        <w:keepLines w:val="0"/>
        <w:pageBreakBefore w:val="0"/>
        <w:numPr>
          <w:ilvl w:val="0"/>
          <w:numId w:val="1"/>
        </w:numPr>
        <w:tabs>
          <w:tab w:val="left" w:pos="1134"/>
        </w:tabs>
        <w:kinsoku/>
        <w:wordWrap/>
        <w:overflowPunct w:val="0"/>
        <w:topLinePunct w:val="0"/>
        <w:autoSpaceDE w:val="0"/>
        <w:autoSpaceDN w:val="0"/>
        <w:bidi w:val="0"/>
        <w:spacing w:line="310" w:lineRule="exact"/>
        <w:ind w:left="0" w:leftChars="0" w:firstLine="422" w:firstLineChars="200"/>
        <w:textAlignment w:val="auto"/>
        <w:outlineLvl w:val="1"/>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lang w:val="en-US" w:eastAsia="zh-CN"/>
        </w:rPr>
        <w:t>关键</w:t>
      </w:r>
      <w:r>
        <w:rPr>
          <w:rFonts w:hint="eastAsia" w:ascii="楷体" w:hAnsi="楷体" w:eastAsia="楷体" w:cs="楷体"/>
          <w:b/>
          <w:color w:val="auto"/>
          <w:sz w:val="21"/>
          <w:szCs w:val="21"/>
          <w:highlight w:val="none"/>
        </w:rPr>
        <w:t>要素</w:t>
      </w:r>
    </w:p>
    <w:tbl>
      <w:tblPr>
        <w:tblStyle w:val="16"/>
        <w:tblW w:w="96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8"/>
        <w:gridCol w:w="7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56" w:type="dxa"/>
            <w:gridSpan w:val="2"/>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color w:val="000000"/>
                <w:sz w:val="20"/>
                <w:szCs w:val="20"/>
                <w:highlight w:val="none"/>
              </w:rPr>
            </w:pPr>
            <w:r>
              <w:rPr>
                <w:rFonts w:hint="eastAsia" w:ascii="楷体" w:hAnsi="楷体" w:eastAsia="楷体" w:cs="楷体"/>
                <w:color w:val="000000"/>
                <w:kern w:val="0"/>
                <w:sz w:val="20"/>
                <w:szCs w:val="20"/>
                <w:highlight w:val="none"/>
              </w:rPr>
              <w:t>本表格提供本理财产品的重要信息，是理财产品说明书的一部分。</w:t>
            </w:r>
            <w:r>
              <w:rPr>
                <w:rFonts w:hint="eastAsia" w:ascii="楷体" w:hAnsi="楷体" w:eastAsia="楷体" w:cs="楷体"/>
                <w:color w:val="000000"/>
                <w:kern w:val="0"/>
                <w:sz w:val="20"/>
                <w:szCs w:val="20"/>
                <w:highlight w:val="none"/>
              </w:rPr>
              <w:br w:type="textWrapping"/>
            </w:r>
            <w:r>
              <w:rPr>
                <w:rFonts w:hint="eastAsia" w:ascii="楷体" w:hAnsi="楷体" w:eastAsia="楷体" w:cs="楷体"/>
                <w:color w:val="000000"/>
                <w:kern w:val="0"/>
                <w:sz w:val="20"/>
                <w:szCs w:val="20"/>
                <w:highlight w:val="none"/>
              </w:rPr>
              <w:t>作出投资决定前，请阅读完整的理财产品说明书等销售文件。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56" w:type="dxa"/>
            <w:gridSpan w:val="2"/>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sz w:val="20"/>
                <w:szCs w:val="20"/>
                <w:highlight w:val="none"/>
              </w:rPr>
            </w:pPr>
            <w:r>
              <w:rPr>
                <w:rFonts w:hint="eastAsia" w:ascii="楷体" w:hAnsi="楷体" w:eastAsia="楷体" w:cs="楷体"/>
                <w:b/>
                <w:bCs/>
                <w:color w:val="000000"/>
                <w:kern w:val="0"/>
                <w:sz w:val="20"/>
                <w:szCs w:val="20"/>
                <w:highlight w:val="none"/>
              </w:rPr>
              <w:t>（一）理财产品基本信息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产品登记编码</w:t>
            </w:r>
          </w:p>
        </w:tc>
        <w:tc>
          <w:tcPr>
            <w:tcW w:w="7478" w:type="dxa"/>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color w:val="000000" w:themeColor="text1"/>
                <w:kern w:val="0"/>
                <w:sz w:val="20"/>
                <w:szCs w:val="20"/>
                <w:highlight w:val="none"/>
                <w14:textFill>
                  <w14:solidFill>
                    <w14:schemeClr w14:val="tx1"/>
                  </w14:solidFill>
                </w14:textFill>
              </w:rPr>
            </w:pPr>
            <w:r>
              <w:rPr>
                <w:rFonts w:hint="eastAsia" w:ascii="楷体" w:hAnsi="楷体" w:eastAsia="楷体" w:cs="楷体"/>
                <w:color w:val="000000" w:themeColor="text1"/>
                <w:kern w:val="0"/>
                <w:sz w:val="20"/>
                <w:szCs w:val="20"/>
                <w:highlight w:val="none"/>
                <w14:textFill>
                  <w14:solidFill>
                    <w14:schemeClr w14:val="tx1"/>
                  </w14:solidFill>
                </w14:textFill>
              </w:rPr>
              <w:t>Z7003121000108</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color w:val="000000" w:themeColor="text1"/>
                <w:kern w:val="0"/>
                <w:sz w:val="20"/>
                <w:szCs w:val="20"/>
                <w:highlight w:val="none"/>
                <w14:textFill>
                  <w14:solidFill>
                    <w14:schemeClr w14:val="tx1"/>
                  </w14:solidFill>
                </w14:textFill>
              </w:rPr>
            </w:pPr>
            <w:r>
              <w:rPr>
                <w:rFonts w:hint="eastAsia" w:ascii="楷体" w:hAnsi="楷体" w:eastAsia="楷体" w:cs="楷体"/>
                <w:color w:val="000000" w:themeColor="text1"/>
                <w:kern w:val="0"/>
                <w:sz w:val="20"/>
                <w:szCs w:val="20"/>
                <w:highlight w:val="none"/>
                <w14:textFill>
                  <w14:solidFill>
                    <w14:schemeClr w14:val="tx1"/>
                  </w14:solidFill>
                </w14:textFill>
              </w:rPr>
              <w:t>（重要提示：可在中国理财网www.chinawealth.com.cn查询产品信息）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产品名称</w:t>
            </w:r>
          </w:p>
        </w:tc>
        <w:tc>
          <w:tcPr>
            <w:tcW w:w="7478" w:type="dxa"/>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themeColor="text1"/>
                <w:sz w:val="20"/>
                <w:szCs w:val="20"/>
                <w:highlight w:val="none"/>
                <w:lang w:val="en-US" w:eastAsia="zh-CN"/>
                <w14:textFill>
                  <w14:solidFill>
                    <w14:schemeClr w14:val="tx1"/>
                  </w14:solidFill>
                </w14:textFill>
              </w:rPr>
            </w:pPr>
            <w:r>
              <w:rPr>
                <w:rFonts w:hint="default" w:ascii="楷体" w:hAnsi="楷体" w:eastAsia="楷体" w:cs="楷体"/>
                <w:bCs/>
                <w:color w:val="000000" w:themeColor="text1"/>
                <w:sz w:val="20"/>
                <w:szCs w:val="20"/>
                <w:highlight w:val="none"/>
                <w:lang w:val="en-US" w:eastAsia="zh-CN"/>
                <w14:textFill>
                  <w14:solidFill>
                    <w14:schemeClr w14:val="tx1"/>
                  </w14:solidFill>
                </w14:textFill>
              </w:rPr>
              <w:t>苏银理财恒源1年定开17期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份额代码</w:t>
            </w:r>
          </w:p>
        </w:tc>
        <w:tc>
          <w:tcPr>
            <w:tcW w:w="7478" w:type="dxa"/>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A份额：J00303（销售名称：苏银理财恒源1年定开17期A）</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kern w:val="0"/>
                <w:sz w:val="20"/>
                <w:szCs w:val="20"/>
                <w:highlight w:val="none"/>
                <w:lang w:val="en-US" w:eastAsia="zh-CN"/>
              </w:rPr>
            </w:pPr>
            <w:r>
              <w:rPr>
                <w:rFonts w:hint="eastAsia" w:ascii="楷体" w:hAnsi="楷体" w:eastAsia="楷体" w:cs="楷体"/>
                <w:bCs/>
                <w:color w:val="000000"/>
                <w:sz w:val="20"/>
                <w:szCs w:val="20"/>
                <w:highlight w:val="none"/>
                <w:lang w:val="en-US" w:eastAsia="zh-CN"/>
              </w:rPr>
              <w:t>B份额：J00304（销售名称：苏银理财恒源1年定开17期B）</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kern w:val="0"/>
                <w:sz w:val="20"/>
                <w:szCs w:val="20"/>
                <w:highlight w:val="none"/>
                <w:lang w:val="en-US" w:eastAsia="zh-CN"/>
              </w:rPr>
            </w:pPr>
            <w:r>
              <w:rPr>
                <w:rFonts w:hint="eastAsia" w:ascii="楷体" w:hAnsi="楷体" w:eastAsia="楷体" w:cs="楷体"/>
                <w:bCs/>
                <w:color w:val="000000"/>
                <w:sz w:val="20"/>
                <w:szCs w:val="20"/>
                <w:highlight w:val="none"/>
                <w:lang w:val="en-US" w:eastAsia="zh-CN"/>
              </w:rPr>
              <w:t>D份额：J02527（销售名称：苏银理财恒源1年定开17期D）</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kern w:val="0"/>
                <w:sz w:val="20"/>
                <w:szCs w:val="20"/>
                <w:highlight w:val="none"/>
                <w:lang w:val="en-US" w:eastAsia="zh-CN"/>
              </w:rPr>
            </w:pPr>
            <w:r>
              <w:rPr>
                <w:rFonts w:hint="eastAsia" w:ascii="楷体" w:hAnsi="楷体" w:eastAsia="楷体" w:cs="楷体"/>
                <w:bCs/>
                <w:color w:val="000000"/>
                <w:sz w:val="20"/>
                <w:szCs w:val="20"/>
                <w:highlight w:val="none"/>
                <w:lang w:val="en-US" w:eastAsia="zh-CN"/>
              </w:rPr>
              <w:t>F份额：J02528（销售名称：苏银理财恒源1年定开17期F）</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kern w:val="0"/>
                <w:sz w:val="20"/>
                <w:szCs w:val="20"/>
                <w:highlight w:val="none"/>
                <w:lang w:val="en-US" w:eastAsia="zh-CN"/>
              </w:rPr>
            </w:pPr>
            <w:r>
              <w:rPr>
                <w:rFonts w:hint="eastAsia" w:ascii="楷体" w:hAnsi="楷体" w:eastAsia="楷体" w:cs="楷体"/>
                <w:bCs/>
                <w:color w:val="000000"/>
                <w:sz w:val="20"/>
                <w:szCs w:val="20"/>
                <w:highlight w:val="none"/>
                <w:lang w:val="en-US" w:eastAsia="zh-CN"/>
              </w:rPr>
              <w:t>G份额：J02529（销售名称：苏银理财恒源1年定开17期G）</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kern w:val="0"/>
                <w:sz w:val="20"/>
                <w:szCs w:val="20"/>
                <w:highlight w:val="none"/>
                <w:lang w:val="en-US" w:eastAsia="zh-CN"/>
              </w:rPr>
            </w:pPr>
            <w:r>
              <w:rPr>
                <w:rFonts w:hint="eastAsia" w:ascii="楷体" w:hAnsi="楷体" w:eastAsia="楷体" w:cs="楷体"/>
                <w:bCs/>
                <w:color w:val="000000"/>
                <w:sz w:val="20"/>
                <w:szCs w:val="20"/>
                <w:highlight w:val="none"/>
                <w:lang w:val="en-US" w:eastAsia="zh-CN"/>
              </w:rPr>
              <w:t>J份额：J02530（销售名称：苏银理财恒源1年定开17期J）</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kern w:val="0"/>
                <w:sz w:val="20"/>
                <w:szCs w:val="20"/>
                <w:highlight w:val="none"/>
                <w:lang w:val="en-US" w:eastAsia="zh-CN"/>
              </w:rPr>
            </w:pPr>
            <w:r>
              <w:rPr>
                <w:rFonts w:hint="eastAsia" w:ascii="楷体" w:hAnsi="楷体" w:eastAsia="楷体" w:cs="楷体"/>
                <w:bCs/>
                <w:color w:val="000000"/>
                <w:sz w:val="20"/>
                <w:szCs w:val="20"/>
                <w:highlight w:val="none"/>
                <w:lang w:val="en-US" w:eastAsia="zh-CN"/>
              </w:rPr>
              <w:t>ZA份额：J02531（销售名称：苏银理财恒源1年定开17期ZA鑫福款（自动赎回））</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kern w:val="0"/>
                <w:sz w:val="20"/>
                <w:szCs w:val="20"/>
                <w:highlight w:val="none"/>
                <w:lang w:val="en-US" w:eastAsia="zh-CN"/>
              </w:rPr>
            </w:pPr>
            <w:r>
              <w:rPr>
                <w:rFonts w:hint="eastAsia" w:ascii="楷体" w:hAnsi="楷体" w:eastAsia="楷体" w:cs="楷体"/>
                <w:bCs/>
                <w:color w:val="000000"/>
                <w:sz w:val="20"/>
                <w:szCs w:val="20"/>
                <w:highlight w:val="none"/>
                <w:lang w:val="en-US" w:eastAsia="zh-CN"/>
              </w:rPr>
              <w:t>ZF份额：J02532（销售名称：苏银理财恒源1年定开17期ZF（自动赎回））</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kern w:val="0"/>
                <w:sz w:val="20"/>
                <w:szCs w:val="20"/>
                <w:highlight w:val="none"/>
                <w:lang w:val="en-US" w:eastAsia="zh-CN"/>
              </w:rPr>
            </w:pPr>
            <w:r>
              <w:rPr>
                <w:rFonts w:hint="eastAsia" w:ascii="楷体" w:hAnsi="楷体" w:eastAsia="楷体" w:cs="楷体"/>
                <w:bCs/>
                <w:color w:val="000000"/>
                <w:sz w:val="20"/>
                <w:szCs w:val="20"/>
                <w:highlight w:val="none"/>
                <w:lang w:val="en-US" w:eastAsia="zh-CN"/>
              </w:rPr>
              <w:t>C份额：J06144（销售名称：苏银理财恒源1年定开17期C）</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kern w:val="0"/>
                <w:sz w:val="20"/>
                <w:szCs w:val="20"/>
                <w:highlight w:val="none"/>
                <w:lang w:val="en-US" w:eastAsia="zh-CN"/>
              </w:rPr>
            </w:pPr>
            <w:r>
              <w:rPr>
                <w:rFonts w:hint="eastAsia" w:ascii="楷体" w:hAnsi="楷体" w:eastAsia="楷体" w:cs="楷体"/>
                <w:bCs/>
                <w:color w:val="000000"/>
                <w:sz w:val="20"/>
                <w:szCs w:val="20"/>
                <w:highlight w:val="none"/>
                <w:lang w:val="en-US" w:eastAsia="zh-CN"/>
              </w:rPr>
              <w:t>P份额：J06145（销售名称：苏银理财恒源1年定开17期P）</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kern w:val="0"/>
                <w:sz w:val="20"/>
                <w:szCs w:val="20"/>
                <w:highlight w:val="none"/>
                <w:lang w:val="en-US" w:eastAsia="zh-CN"/>
              </w:rPr>
            </w:pPr>
            <w:r>
              <w:rPr>
                <w:rFonts w:hint="eastAsia" w:ascii="楷体" w:hAnsi="楷体" w:eastAsia="楷体" w:cs="楷体"/>
                <w:bCs/>
                <w:color w:val="000000"/>
                <w:sz w:val="20"/>
                <w:szCs w:val="20"/>
                <w:highlight w:val="none"/>
                <w:lang w:val="en-US" w:eastAsia="zh-CN"/>
              </w:rPr>
              <w:t>Q份额：J06146（销售名称：苏银理财恒源1年定开17期Q）</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kern w:val="0"/>
                <w:sz w:val="20"/>
                <w:szCs w:val="20"/>
                <w:highlight w:val="none"/>
                <w:lang w:val="en-US" w:eastAsia="zh-CN"/>
              </w:rPr>
            </w:pPr>
            <w:r>
              <w:rPr>
                <w:rFonts w:hint="eastAsia" w:ascii="楷体" w:hAnsi="楷体" w:eastAsia="楷体" w:cs="楷体"/>
                <w:bCs/>
                <w:color w:val="000000"/>
                <w:sz w:val="20"/>
                <w:szCs w:val="20"/>
                <w:highlight w:val="none"/>
                <w:lang w:val="en-US" w:eastAsia="zh-CN"/>
              </w:rPr>
              <w:t>S份额：J06147（销售名称：苏银理财恒源1年定开17期S）</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kern w:val="0"/>
                <w:sz w:val="20"/>
                <w:szCs w:val="20"/>
                <w:highlight w:val="none"/>
                <w:lang w:val="en-US" w:eastAsia="zh-CN"/>
              </w:rPr>
            </w:pPr>
            <w:r>
              <w:rPr>
                <w:rFonts w:hint="eastAsia" w:ascii="楷体" w:hAnsi="楷体" w:eastAsia="楷体" w:cs="楷体"/>
                <w:bCs/>
                <w:color w:val="000000"/>
                <w:sz w:val="20"/>
                <w:szCs w:val="20"/>
                <w:highlight w:val="none"/>
                <w:lang w:val="en-US" w:eastAsia="zh-CN"/>
              </w:rPr>
              <w:t>ZN份额：J06148（销售名称：苏银理财恒源1年定开17期ZN（自动赎回））</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kern w:val="0"/>
                <w:sz w:val="20"/>
                <w:szCs w:val="20"/>
                <w:highlight w:val="none"/>
                <w:lang w:val="en-US" w:eastAsia="zh-CN"/>
              </w:rPr>
            </w:pPr>
            <w:r>
              <w:rPr>
                <w:rFonts w:hint="eastAsia" w:ascii="楷体" w:hAnsi="楷体" w:eastAsia="楷体" w:cs="楷体"/>
                <w:bCs/>
                <w:color w:val="000000"/>
                <w:sz w:val="20"/>
                <w:szCs w:val="20"/>
                <w:highlight w:val="none"/>
                <w:lang w:val="en-US" w:eastAsia="zh-CN"/>
              </w:rPr>
              <w:t>ZQ份额：J06149（销售名称：苏银理财恒源1年定开17期ZQ（自动赎回））</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kern w:val="0"/>
                <w:sz w:val="20"/>
                <w:szCs w:val="20"/>
                <w:highlight w:val="none"/>
                <w:lang w:val="en-US" w:eastAsia="zh-CN"/>
              </w:rPr>
            </w:pPr>
            <w:r>
              <w:rPr>
                <w:rFonts w:hint="eastAsia" w:ascii="楷体" w:hAnsi="楷体" w:eastAsia="楷体" w:cs="楷体"/>
                <w:bCs/>
                <w:color w:val="000000"/>
                <w:sz w:val="20"/>
                <w:szCs w:val="20"/>
                <w:highlight w:val="none"/>
                <w:lang w:val="en-US" w:eastAsia="zh-CN"/>
              </w:rPr>
              <w:t>J2份额：J27815（销售名称：苏银理财恒源1年定开17期J2）</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kern w:val="0"/>
                <w:sz w:val="20"/>
                <w:szCs w:val="20"/>
                <w:highlight w:val="none"/>
                <w:lang w:val="en-US" w:eastAsia="zh-CN"/>
              </w:rPr>
            </w:pPr>
            <w:r>
              <w:rPr>
                <w:rFonts w:hint="eastAsia" w:ascii="楷体" w:hAnsi="楷体" w:eastAsia="楷体" w:cs="楷体"/>
                <w:bCs/>
                <w:color w:val="000000"/>
                <w:sz w:val="20"/>
                <w:szCs w:val="20"/>
                <w:highlight w:val="none"/>
                <w:lang w:val="en-US" w:eastAsia="zh-CN"/>
              </w:rPr>
              <w:t>GS份额：J27816（销售名称：苏银理财恒源1年定开17期GS）</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kern w:val="0"/>
                <w:sz w:val="20"/>
                <w:szCs w:val="20"/>
                <w:highlight w:val="none"/>
                <w:lang w:val="en-US" w:eastAsia="zh-CN"/>
              </w:rPr>
            </w:pPr>
            <w:r>
              <w:rPr>
                <w:rFonts w:hint="eastAsia" w:ascii="楷体" w:hAnsi="楷体" w:eastAsia="楷体" w:cs="楷体"/>
                <w:bCs/>
                <w:color w:val="000000"/>
                <w:sz w:val="20"/>
                <w:szCs w:val="20"/>
                <w:highlight w:val="none"/>
                <w:lang w:val="en-US" w:eastAsia="zh-CN"/>
              </w:rPr>
              <w:t>S1份额：J27817（销售名称：苏银理财恒源1年定开17期S1（专享））</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kern w:val="0"/>
                <w:sz w:val="20"/>
                <w:szCs w:val="20"/>
                <w:highlight w:val="none"/>
                <w:lang w:val="en-US" w:eastAsia="zh-CN"/>
              </w:rPr>
            </w:pPr>
            <w:r>
              <w:rPr>
                <w:rFonts w:hint="eastAsia" w:ascii="楷体" w:hAnsi="楷体" w:eastAsia="楷体" w:cs="楷体"/>
                <w:bCs/>
                <w:color w:val="000000"/>
                <w:sz w:val="20"/>
                <w:szCs w:val="20"/>
                <w:highlight w:val="none"/>
                <w:lang w:val="en-US" w:eastAsia="zh-CN"/>
              </w:rPr>
              <w:t>U份额：J27818（销售名称：苏银理财恒源1年定开17期U）</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kern w:val="0"/>
                <w:sz w:val="20"/>
                <w:szCs w:val="20"/>
                <w:highlight w:val="none"/>
                <w:lang w:val="en-US" w:eastAsia="zh-CN"/>
              </w:rPr>
            </w:pPr>
            <w:r>
              <w:rPr>
                <w:rFonts w:hint="eastAsia" w:ascii="楷体" w:hAnsi="楷体" w:eastAsia="楷体" w:cs="楷体"/>
                <w:bCs/>
                <w:color w:val="000000"/>
                <w:sz w:val="20"/>
                <w:szCs w:val="20"/>
                <w:highlight w:val="none"/>
                <w:lang w:val="en-US" w:eastAsia="zh-CN"/>
              </w:rPr>
              <w:t>L份额：J27819（销售名称：苏银理财恒源1年定开17期L）</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kern w:val="0"/>
                <w:sz w:val="20"/>
                <w:szCs w:val="20"/>
                <w:highlight w:val="none"/>
                <w:lang w:val="en-US" w:eastAsia="zh-CN"/>
              </w:rPr>
            </w:pPr>
            <w:r>
              <w:rPr>
                <w:rFonts w:hint="eastAsia" w:ascii="楷体" w:hAnsi="楷体" w:eastAsia="楷体" w:cs="楷体"/>
                <w:bCs/>
                <w:color w:val="000000"/>
                <w:sz w:val="20"/>
                <w:szCs w:val="20"/>
                <w:highlight w:val="none"/>
                <w:lang w:val="en-US" w:eastAsia="zh-CN"/>
              </w:rPr>
              <w:t>Z份额：J27820（销售名称：苏银理财恒源1年定开17期Z）</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kern w:val="0"/>
                <w:sz w:val="20"/>
                <w:szCs w:val="20"/>
                <w:highlight w:val="none"/>
                <w:lang w:val="en-US" w:eastAsia="zh-CN"/>
              </w:rPr>
            </w:pPr>
            <w:r>
              <w:rPr>
                <w:rFonts w:hint="eastAsia" w:ascii="楷体" w:hAnsi="楷体" w:eastAsia="楷体" w:cs="楷体"/>
                <w:bCs/>
                <w:color w:val="000000"/>
                <w:sz w:val="20"/>
                <w:szCs w:val="20"/>
                <w:highlight w:val="none"/>
                <w:lang w:val="en-US" w:eastAsia="zh-CN"/>
              </w:rPr>
              <w:t>Z1份额：J27821（销售名称：苏银理财恒源1年定开17期Z1）</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kern w:val="0"/>
                <w:sz w:val="20"/>
                <w:szCs w:val="20"/>
                <w:highlight w:val="none"/>
                <w:lang w:val="en-US" w:eastAsia="zh-CN"/>
              </w:rPr>
            </w:pPr>
            <w:r>
              <w:rPr>
                <w:rFonts w:hint="eastAsia" w:ascii="楷体" w:hAnsi="楷体" w:eastAsia="楷体" w:cs="楷体"/>
                <w:bCs/>
                <w:color w:val="000000"/>
                <w:sz w:val="20"/>
                <w:szCs w:val="20"/>
                <w:highlight w:val="none"/>
                <w:lang w:val="en-US" w:eastAsia="zh-CN"/>
              </w:rPr>
              <w:t>Z2份额：J27822（销售名称：苏银理财恒源1年定开17期Z2）</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kern w:val="0"/>
                <w:sz w:val="20"/>
                <w:szCs w:val="20"/>
                <w:highlight w:val="none"/>
                <w:lang w:val="en-US" w:eastAsia="zh-CN"/>
              </w:rPr>
            </w:pPr>
            <w:r>
              <w:rPr>
                <w:rFonts w:hint="eastAsia" w:ascii="楷体" w:hAnsi="楷体" w:eastAsia="楷体" w:cs="楷体"/>
                <w:bCs/>
                <w:color w:val="000000"/>
                <w:sz w:val="20"/>
                <w:szCs w:val="20"/>
                <w:highlight w:val="none"/>
                <w:lang w:val="en-US" w:eastAsia="zh-CN"/>
              </w:rPr>
              <w:t>ZF2份额：J27823（销售名称：苏银理财恒源1年定开17期ZF2（自动赎回））</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kern w:val="0"/>
                <w:sz w:val="20"/>
                <w:szCs w:val="20"/>
                <w:highlight w:val="none"/>
                <w:lang w:val="en-US" w:eastAsia="zh-CN"/>
              </w:rPr>
            </w:pPr>
            <w:r>
              <w:rPr>
                <w:rFonts w:hint="eastAsia" w:ascii="楷体" w:hAnsi="楷体" w:eastAsia="楷体" w:cs="楷体"/>
                <w:bCs/>
                <w:color w:val="000000"/>
                <w:sz w:val="20"/>
                <w:szCs w:val="20"/>
                <w:highlight w:val="none"/>
                <w:lang w:val="en-US" w:eastAsia="zh-CN"/>
              </w:rPr>
              <w:t>ZF3份额：J27824（销售名称：苏银理财恒源1年定开17期ZF3（自动赎回））</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kern w:val="0"/>
                <w:sz w:val="20"/>
                <w:szCs w:val="20"/>
                <w:highlight w:val="none"/>
                <w:lang w:val="en-US" w:eastAsia="zh-CN"/>
              </w:rPr>
            </w:pPr>
            <w:r>
              <w:rPr>
                <w:rFonts w:hint="eastAsia" w:ascii="楷体" w:hAnsi="楷体" w:eastAsia="楷体" w:cs="楷体"/>
                <w:bCs/>
                <w:color w:val="000000"/>
                <w:sz w:val="20"/>
                <w:szCs w:val="20"/>
                <w:highlight w:val="none"/>
                <w:lang w:val="en-US" w:eastAsia="zh-CN"/>
              </w:rPr>
              <w:t>ZF4份额：J27825（销售名称：苏银理财恒源1年定开17期ZF4（自动赎回））</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kern w:val="0"/>
                <w:sz w:val="20"/>
                <w:szCs w:val="20"/>
                <w:highlight w:val="none"/>
                <w:lang w:val="en-US" w:eastAsia="zh-CN"/>
              </w:rPr>
            </w:pPr>
            <w:r>
              <w:rPr>
                <w:rFonts w:hint="eastAsia" w:ascii="楷体" w:hAnsi="楷体" w:eastAsia="楷体" w:cs="楷体"/>
                <w:bCs/>
                <w:color w:val="000000"/>
                <w:sz w:val="20"/>
                <w:szCs w:val="20"/>
                <w:highlight w:val="none"/>
                <w:lang w:val="en-US" w:eastAsia="zh-CN"/>
              </w:rPr>
              <w:t>ZJ份额：J27827（销售名称：苏银理财恒源1年定开17期ZJ（自动赎回））</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kern w:val="0"/>
                <w:sz w:val="20"/>
                <w:szCs w:val="20"/>
                <w:highlight w:val="none"/>
                <w:lang w:val="en-US" w:eastAsia="zh-CN"/>
              </w:rPr>
            </w:pPr>
            <w:r>
              <w:rPr>
                <w:rFonts w:hint="eastAsia" w:ascii="楷体" w:hAnsi="楷体" w:eastAsia="楷体" w:cs="楷体"/>
                <w:bCs/>
                <w:color w:val="000000"/>
                <w:sz w:val="20"/>
                <w:szCs w:val="20"/>
                <w:highlight w:val="none"/>
                <w:lang w:val="en-US" w:eastAsia="zh-CN"/>
              </w:rPr>
              <w:t>ZL份额：J27828（销售名称：苏银理财恒源1年定开17期ZL（自动赎回））</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kern w:val="0"/>
                <w:sz w:val="20"/>
                <w:szCs w:val="20"/>
                <w:highlight w:val="none"/>
                <w:lang w:val="en-US" w:eastAsia="zh-CN"/>
              </w:rPr>
            </w:pPr>
            <w:r>
              <w:rPr>
                <w:rFonts w:hint="eastAsia" w:ascii="楷体" w:hAnsi="楷体" w:eastAsia="楷体" w:cs="楷体"/>
                <w:bCs/>
                <w:color w:val="000000"/>
                <w:sz w:val="20"/>
                <w:szCs w:val="20"/>
                <w:highlight w:val="none"/>
                <w:lang w:val="en-US" w:eastAsia="zh-CN"/>
              </w:rPr>
              <w:t>天府·优选份额：J27829（销售名称：苏银理财恒源1年定开17期（天府·优选））</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kern w:val="0"/>
                <w:sz w:val="20"/>
                <w:szCs w:val="20"/>
                <w:highlight w:val="none"/>
                <w:lang w:val="en-US" w:eastAsia="zh-CN"/>
              </w:rPr>
            </w:pPr>
            <w:r>
              <w:rPr>
                <w:rFonts w:hint="eastAsia" w:ascii="楷体" w:hAnsi="楷体" w:eastAsia="楷体" w:cs="楷体"/>
                <w:bCs/>
                <w:color w:val="000000"/>
                <w:sz w:val="20"/>
                <w:szCs w:val="20"/>
                <w:highlight w:val="none"/>
                <w:lang w:val="en-US" w:eastAsia="zh-CN"/>
              </w:rPr>
              <w:t>芙蓉锦程·优选份额：J27830（销售名称：苏银理财恒源1年定开17期芙蓉锦程·优选（自动赎回））</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kern w:val="0"/>
                <w:sz w:val="20"/>
                <w:szCs w:val="20"/>
                <w:highlight w:val="none"/>
                <w:lang w:val="en-US" w:eastAsia="zh-CN"/>
              </w:rPr>
            </w:pPr>
            <w:r>
              <w:rPr>
                <w:rFonts w:hint="eastAsia" w:ascii="楷体" w:hAnsi="楷体" w:eastAsia="楷体" w:cs="楷体"/>
                <w:bCs/>
                <w:color w:val="000000"/>
                <w:sz w:val="20"/>
                <w:szCs w:val="20"/>
                <w:highlight w:val="none"/>
                <w:lang w:val="en-US" w:eastAsia="zh-CN"/>
              </w:rPr>
              <w:t>芙蓉锦程·优选-尊享款份额：J27831（销售名称：苏银理财恒源1年定开17期芙蓉锦程·优选-尊享款（自动赎回））</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kern w:val="0"/>
                <w:sz w:val="20"/>
                <w:szCs w:val="20"/>
                <w:highlight w:val="none"/>
                <w:lang w:val="en-US" w:eastAsia="zh-CN"/>
              </w:rPr>
            </w:pPr>
            <w:r>
              <w:rPr>
                <w:rFonts w:hint="eastAsia" w:ascii="楷体" w:hAnsi="楷体" w:eastAsia="楷体" w:cs="楷体"/>
                <w:bCs/>
                <w:color w:val="000000"/>
                <w:sz w:val="20"/>
                <w:szCs w:val="20"/>
                <w:highlight w:val="none"/>
                <w:lang w:val="en-US" w:eastAsia="zh-CN"/>
              </w:rPr>
              <w:t>ZC份额：J27832（销售名称：苏银理财恒源1年定开17期ZC鑫福优享（自动赎回））</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kern w:val="0"/>
                <w:sz w:val="20"/>
                <w:szCs w:val="20"/>
                <w:highlight w:val="none"/>
                <w:lang w:val="en-US" w:eastAsia="zh-CN"/>
              </w:rPr>
            </w:pPr>
            <w:r>
              <w:rPr>
                <w:rFonts w:hint="eastAsia" w:ascii="楷体" w:hAnsi="楷体" w:eastAsia="楷体" w:cs="楷体"/>
                <w:bCs/>
                <w:color w:val="000000"/>
                <w:sz w:val="20"/>
                <w:szCs w:val="20"/>
                <w:highlight w:val="none"/>
                <w:lang w:val="en-US" w:eastAsia="zh-CN"/>
              </w:rPr>
              <w:t>ZK份额：J27833（销售名称：苏银理财恒源1年定开17期ZK鑫福尊享（自动赎回））</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kern w:val="0"/>
                <w:sz w:val="20"/>
                <w:szCs w:val="20"/>
                <w:highlight w:val="none"/>
                <w:lang w:val="en-US" w:eastAsia="zh-CN"/>
              </w:rPr>
            </w:pPr>
            <w:r>
              <w:rPr>
                <w:rFonts w:hint="eastAsia" w:ascii="楷体" w:hAnsi="楷体" w:eastAsia="楷体" w:cs="楷体"/>
                <w:bCs/>
                <w:color w:val="000000"/>
                <w:sz w:val="20"/>
                <w:szCs w:val="20"/>
                <w:highlight w:val="none"/>
                <w:lang w:val="en-US" w:eastAsia="zh-CN"/>
              </w:rPr>
              <w:t>Z3份额：J28283（销售名称：苏银理财恒源1年定开17期Z3）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发行机构名称</w:t>
            </w:r>
          </w:p>
        </w:tc>
        <w:tc>
          <w:tcPr>
            <w:tcW w:w="7478" w:type="dxa"/>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 w:val="0"/>
                <w:bCs w:val="0"/>
                <w:color w:val="auto"/>
                <w:sz w:val="20"/>
                <w:szCs w:val="20"/>
                <w:highlight w:val="none"/>
                <w:u w:val="none"/>
              </w:rPr>
              <w:t>苏银理财有限责任公司（以下简称“苏银理财”）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销售机构名称</w:t>
            </w:r>
          </w:p>
        </w:tc>
        <w:tc>
          <w:tcPr>
            <w:tcW w:w="7478" w:type="dxa"/>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themeColor="text1"/>
                <w:kern w:val="0"/>
                <w:sz w:val="20"/>
                <w:szCs w:val="20"/>
                <w:highlight w:val="none"/>
                <w:lang w:val="en-US" w:eastAsia="zh-CN"/>
                <w14:textFill>
                  <w14:solidFill>
                    <w14:schemeClr w14:val="tx1"/>
                  </w14:solidFill>
                </w14:textFill>
              </w:rPr>
              <w:t>（1）北京农村商业银行股份有限公司：F份额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（2）成都农村商业银行股份有限公司：天府·优选份额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（3）甘肃银行股份有限公司：F份额、P份额、GS份额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（4）广西北部湾银行股份有限公司：ZN份额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（5）广州农村商业银行股份有限公司：F份额、G份额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（6）广州银行股份有限公司：F份额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（7）汉口银行股份有限公司：ZF份额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（8）杭州联合农村商业银行股份有限公司：F份额、G份额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（9）河北银行股份有限公司：ZF份额、ZN份额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（10）湖州吴兴农村商业银行股份有限公司：ZJ份额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（11）华侨银行有限公司：F份额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（12）徽商银行股份有限公司：G份额、P份额、U份额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（13）嘉兴银行股份有限公司：ZF份额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（14）江门农村商业银行股份有限公司：ZF3份额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（15）江苏滨海农村商业银行股份有限公司：ZC份额、ZK份额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（16）江苏常熟农村商业银行股份有限公司：B份额、ZA份额、ZC份额、ZK份额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（17）江苏大丰农村商业银行股份有限公司：ZA份额、ZC份额、ZK份额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（18）江苏丹阳农村商业银行股份有限公司：A份额、B份额、ZA份额、ZC份额、ZK份额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（19）江苏东海农村商业银行股份有限公司：ZA份额、ZC份额、ZK份额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（20）江苏东台农村商业银行股份有限公司：A份额、B份额、ZA份额、Z份额、ZC份额、ZK份额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（21）江苏丰县农村商业银行股份有限公司：ZA份额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（22）江苏阜宁农村商业银行股份有限公司：A份额、B份额、ZA份额、ZC份额、ZK份额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（23）江苏高淳农村商业银行股份有限公司：A份额、B份额、ZA份额、ZC份额、ZK份额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（24）江苏高邮农村商业银行股份有限公司：A份额、B份额、ZA份额、ZC份额、ZK份额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（25）江苏灌南农村商业银行股份有限公司：ZA份额、ZC份额、ZK份额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（26）江苏灌云农村商业银行股份有限公司：ZA份额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（27）江苏海安农村商业银行股份有限公司：A份额、B份额、ZA份额、ZC份额、ZK份额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（28）江苏海门农村商业银行股份有限公司：ZA份额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（29）江苏洪泽农村商业银行股份有限公司：A份额、B份额、ZA份额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（30）江苏淮安农村商业银行股份有限公司：A份额、B份额、ZA份额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（31）江苏建湖农村商业银行股份有限公司：ZA份额、ZC份额、ZK份额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（32）江苏姜堰农村商业银行股份有限公司：ZA份额、ZC份额、ZK份额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（33）江苏江都农村商业银行股份有限公司：ZA份额、ZC份额、ZK份额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（34）江苏江南农村商业银行股份有限公司：ZF份额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（35）江苏江阴农村商业银行股份有限公司：A份额、D份额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（36）江苏金湖农村商业银行股份有限公司：ZA份额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（37）江苏靖江农村商业银行股份有限公司：A份额、B份额、ZA份额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（38）江苏句容农村商业银行股份有限公司：A份额、B份额、ZA份额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（39）江苏涟水农村商业银行股份有限公司：A份额、B份额、ZA份额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（40）江苏民丰农村商业银行股份有限公司：ZA份额、ZC份额、ZK份额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（41）江苏南通农村商业银行股份有限公司：A份额、B份额、ZA份额、ZK份额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（42）江苏沛县农村商业银行股份有限公司：ZC份额、ZK份额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（43）江苏启东农村商业银行股份有限公司：ZA份额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（44）江苏如东农村商业银行股份有限公司：A份额、B份额、ZA份额、ZC份额、ZK份额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（45）江苏如皋农村商业银行股份有限公司：A份额、B份额、J份额、ZA份额、ZC份额、ZK份额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（46）江苏苏州农村商业银行股份有限公司：B份额、ZA份额、ZQ份额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（47）江苏泰兴农村商业银行股份有限公司：A份额、B份额、ZA份额、ZC份额、ZK份额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（48）江苏响水农村商业银行股份有限公司：ZA份额、ZC份额、ZK份额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（49）江苏新沂农村商业银行股份有限公司：A份额、B份额、ZA份额、ZC份额、ZK份额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（50）江苏兴化农村商业银行股份有限公司：ZC份额、ZK份额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（51）江苏盐城农村商业银行股份有限公司：ZA份额、ZC份额、ZK份额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（52）江苏扬中农村商业银行股份有限公司：A份额、B份额、ZA份额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（53）江苏扬州农村商业银行股份有限公司：A份额、B份额、ZA份额、ZC份额、ZK份额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（54）江苏仪征农村商业银行股份有限公司：A份额、B份额、ZA份额、ZC份额、ZK份额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（55）江苏宜兴农村商业银行股份有限公司：A份额、B份额、ZA份额、ZC份额、ZK份额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（56）江苏银行股份有限公司：A份额、B份额、D份额、J份额、C份额、J2份额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（57）江苏张家港农村商业银行股份有限公司：ZF份额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（58）江苏镇江农村商业银行股份有限公司：ZA份额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（59）江苏紫金农村商业银行股份有限公司：A份额、B份额、ZA份额、C份额、ZC份额、ZK份额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（60）江苏邳州农村商业银行股份有限公司：A份额、B份额、ZA份额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（61）江苏沭阳农村商业银行股份有限公司：A份额、B份额、ZA份额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（62）江苏泗洪农村商业银行股份有限公司：ZA份额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（63）江苏泗阳农村商业银行股份有限公司：ZA份额、ZC份额、ZK份额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（64）江苏溧水农村商业银行股份有限公司：A份额、B份额、ZA份额、ZC份额、ZK份额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（65）江苏盱眙农村商业银行股份有限公司：A份额、B份额、ZA份额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（66）江苏睢宁农村商业银行股份有限公司：ZA份额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（67）交通银行股份有限公司：F份额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（68）晋商银行股份有限公司：S1份额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（69）九江银行股份有限公司：A份额、F份额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（70）莱商银行股份有限公司：ZF份额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（71）连云港东方农村商业银行股份有限公司：ZA份额、ZC份额、ZK份额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（72）宁波慈溪农村商业银行股份有限公司：F份额、ZF份额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（73）宁波东海银行股份有限公司：A份额、B份额、ZA份额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（74）宁波通商银行股份有限公司：F份额、G份额、ZN份额、ZJ份额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（75）宁波余姚农村商业银行股份有限公司：F份额、ZF份额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（76）宁波镇海农村商业银行股份有限公司：F份额、ZF份额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（77）宁波甬城农村商业银行股份有限公司：ZF份额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（78）齐鲁银行股份有限公司：A份额、B份额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（79）秦皇岛银行股份有限公司：GS份额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（80）日照银行股份有限公司：GS份额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（81）山西银行股份有限公司：F份额、G份额、S1份额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（82）上海农村商业银行股份有限公司：A份额、Z份额、Z1份额、Z2份额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（83）上海浦东发展银行股份有限公司：F份额、Q份额、S份额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（84）上海银行股份有限公司：A份额、D份额、J份额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（85）深圳农村商业银行股份有限公司：F份额、G份额、L份额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（86）石嘴山银行股份有限公司：ZF2份额、ZF3份额、ZF4份额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（87）苏银理财有限责任公司：A份额、B份额、C份额、ZJ份额、天府·优选份额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（88）苏州银行股份有限公司：F份额、ZF份额、ZL份额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（89）台州银行股份有限公司：F份额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（90）泰安银行股份有限公司：F份额、P份额、ZJ份额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（91）天津滨海农村商业银行股份有限公司：F份额、GS份额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（92）威海银行股份有限公司：A份额、B份额、J份额、ZA份额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（93）潍坊银行股份有限公司：F份额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（94）厦门银行股份有限公司：ZF份额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（95）兴业银行股份有限公司：A份额、B份额、F份额、G份额、ZF份额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（96）徐州农村商业银行股份有限公司：A份额、B份额、ZA份额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（97）浙江安吉农村商业银行股份有限公司：ZJ份额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（98）浙江苍南农村商业银行股份有限公司：ZJ份额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（99）浙江长兴农村商业银行股份有限公司：F份额、ZJ份额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（100）浙江淳安农村商业银行股份有限公司：F份额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（101）浙江德清农村商业银行股份有限公司：F份额、G份额、ZF份额、ZF3份额、ZJ份额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（102）浙江东阳农村商业银行股份有限公司：ZF份额、ZF3份额、ZJ份额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（103）浙江海宁农村商业银行股份有限公司：F份额、G份额、ZJ份额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（104）浙江海盐农村商业银行股份有限公司：ZJ份额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（105）浙江杭州余杭农村商业银行股份有限公司：F份额、G份额、ZF份额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（106）浙江禾城农村商业银行股份有限公司：ZJ份额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（107）浙江嘉善农村商业银行股份有限公司：F份额、G份额、ZF份额、ZF3份额、ZJ份额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（108）浙江建德农村商业银行股份有限公司：ZF份额、ZF3份额、ZJ份额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（109）浙江江山农村商业银行股份有限公司：F份额、ZF份额、ZJ份额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（110）浙江金华成泰农村商业银行股份有限公司：ZJ份额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（111）浙江开化农村商业银行股份有限公司：F份额、ZF份额、ZF3份额、ZJ份额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（112）浙江兰溪农村商业银行股份有限公司：ZF份额、ZF3份额、ZJ份额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（113）浙江乐清农村商业银行股份有限公司：F份额、ZJ份额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（114）浙江临安农村商业银行股份有限公司：ZF份额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（115）浙江临海农村商业银行股份有限公司：F份额、ZF份额、ZF3份额、ZJ份额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（116）浙江龙泉农村商业银行股份有限公司：ZF份额、ZF3份额、ZJ份额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（117）浙江龙游农村商业银行股份有限公司：ZJ份额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（118）浙江南浔农村商业银行股份有限公司：ZF份额、ZF3份额、ZJ份额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（119）浙江平湖农村商业银行股份有限公司：ZJ份额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（120）浙江浦江农村商业银行股份有限公司：ZF份额、ZF3份额、ZJ份额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（121）浙江青田农村商业银行股份有限公司：F份额、ZF份额、ZF3份额、ZJ份额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（122）浙江瑞安农村商业银行股份有限公司：ZJ份额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（123）浙江上虞农村商业银行股份有限公司：F份额、ZF份额、ZF3份额、ZJ份额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（124）浙江绍兴恒信农村商业银行股份有限公司：ZJ份额、ZF3份额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（125）浙江绍兴瑞丰农村商业银行股份有限公司：F份额、G份额、ZJ份额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（126）浙江松阳农村商业银行股份有限公司：ZF3份额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（127）浙江遂昌农村商业银行股份有限公司：ZJ份额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（128）浙江台州黄岩农村商业银行股份有限公司：ZJ份额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（129）浙江台州路桥农村商业银行股份有限公司：ZJ份额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（130）浙江泰顺农村商业银行股份有限公司：F份额、ZF份额、ZF3份额、ZJ份额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（131）浙江天台农村商业银行股份有限公司：ZJ份额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（132）浙江桐庐农村商业银行股份有限公司：F份额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（133）浙江桐乡农村商业银行股份有限公司：ZJ份额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（134）浙江温岭农村商业银行股份有限公司：ZF份额、ZF3份额、ZJ份额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（135）浙江温州龙湾农村商业银行股份有限公司：F份额、ZF份额、ZJ份额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（136）浙江温州鹿城农村商业银行股份有限公司：ZJ份额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（137）浙江温州瓯海农村商业银行股份有限公司：F份额、G份额、ZF份额、ZF3份额、ZJ份额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（138）浙江文成农村商业银行股份有限公司：ZJ份额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（139）浙江武义农村商业银行股份有限公司：F份额、ZF份额、ZF3份额、ZJ份额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（140）浙江仙居农村商业银行股份有限公司：ZJ份额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（141）浙江萧山农村商业银行股份有限公司：F份额、G份额、ZF份额、ZN份额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（142）浙江新昌农村商业银行股份有限公司：ZF份额、ZF3份额、ZJ份额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（143）浙江义乌农村商业银行股份有限公司：F份额、ZF份额、ZJ份额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（144）浙江永嘉农村商业银行股份有限公司：F份额、ZJ份额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（145）浙江永康农村商业银行股份有限公司：F份额、ZF份额、ZF3份额、ZJ份额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（146）浙江舟山定海海洋农村商业银行股份有限公司：F份额、ZJ份额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（147）浙江舟山普陀农村商业银行股份有限公司：ZJ份额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（148）浙江诸暨农村商业银行股份有限公司：ZJ份额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（149）浙江岱山农村商业银行股份有限公司：F份额、ZF份额、ZF3份额、ZJ份额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（150）浙江嵊州农村商业银行股份有限公司：ZF份额、ZF3份额、ZJ份额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（151）浙江衢州柯城农村商业银行股份有限公司：ZF份额、ZF3份额、ZJ份额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（152）浙江缙云农村商业银行股份有限公司：ZJ份额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（153）浙商银行股份有限公司：F份额、G份额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（154）郑州银行股份有限公司：P份额、Z3份额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（155）中山农村商业银行股份有限公司：ZF3份额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color w:val="000000"/>
                <w:kern w:val="0"/>
                <w:sz w:val="20"/>
                <w:szCs w:val="20"/>
                <w:highlight w:val="none"/>
                <w:lang w:val="en-US" w:eastAsia="zh-CN"/>
              </w:rPr>
            </w:pPr>
            <w:r>
              <w:rPr>
                <w:rFonts w:hint="eastAsia" w:ascii="楷体" w:hAnsi="楷体" w:eastAsia="楷体" w:cs="楷体"/>
                <w:color w:val="000000"/>
                <w:kern w:val="0"/>
                <w:sz w:val="20"/>
                <w:szCs w:val="20"/>
                <w:highlight w:val="none"/>
                <w:lang w:val="en-US" w:eastAsia="zh-CN"/>
              </w:rPr>
              <w:t>（156）中邮邮惠万家银行有限责任公司：F份额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color w:val="000000"/>
                <w:kern w:val="0"/>
                <w:sz w:val="20"/>
                <w:szCs w:val="20"/>
                <w:highlight w:val="none"/>
                <w:lang w:val="en-US" w:eastAsia="zh-CN"/>
              </w:rPr>
            </w:pPr>
            <w:r>
              <w:rPr>
                <w:rFonts w:hint="eastAsia" w:ascii="楷体" w:hAnsi="楷体" w:eastAsia="楷体" w:cs="楷体"/>
                <w:color w:val="000000"/>
                <w:kern w:val="0"/>
                <w:sz w:val="20"/>
                <w:szCs w:val="20"/>
                <w:highlight w:val="none"/>
                <w:lang w:val="en-US" w:eastAsia="zh-CN"/>
              </w:rPr>
              <w:t>（157）兰州银行股份有限公司：GS份额</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sz w:val="20"/>
                <w:szCs w:val="20"/>
                <w:highlight w:val="none"/>
                <w:lang w:val="en-US" w:eastAsia="zh-CN"/>
              </w:rPr>
            </w:pPr>
            <w:r>
              <w:rPr>
                <w:rFonts w:hint="eastAsia" w:ascii="楷体" w:hAnsi="楷体" w:eastAsia="楷体" w:cs="楷体"/>
                <w:color w:val="000000"/>
                <w:kern w:val="0"/>
                <w:sz w:val="20"/>
                <w:szCs w:val="20"/>
                <w:highlight w:val="none"/>
                <w:lang w:val="en-US" w:eastAsia="zh-CN"/>
              </w:rPr>
              <w:t>（158）成都银行股份有限公司：芙蓉锦程·优选份额、芙蓉锦程·优选-尊享款份额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境内托管机构名称</w:t>
            </w:r>
          </w:p>
        </w:tc>
        <w:tc>
          <w:tcPr>
            <w:tcW w:w="7478" w:type="dxa"/>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sz w:val="20"/>
                <w:szCs w:val="20"/>
                <w:highlight w:val="none"/>
                <w:lang w:val="en-US"/>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江苏银行股份有限公司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themeColor="text1"/>
                <w:kern w:val="0"/>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境外托管机构名称</w:t>
            </w:r>
          </w:p>
        </w:tc>
        <w:tc>
          <w:tcPr>
            <w:tcW w:w="7478" w:type="dxa"/>
            <w:vAlign w:val="center"/>
          </w:tcPr>
          <w:p>
            <w:pPr>
              <w:keepNext w:val="0"/>
              <w:keepLines w:val="0"/>
              <w:pageBreakBefore w:val="0"/>
              <w:widowControl/>
              <w:kinsoku/>
              <w:wordWrap/>
              <w:overflowPunct/>
              <w:topLinePunct w:val="0"/>
              <w:autoSpaceDE/>
              <w:autoSpaceDN/>
              <w:bidi w:val="0"/>
              <w:adjustRightInd/>
              <w:snapToGrid/>
              <w:spacing w:line="240" w:lineRule="auto"/>
              <w:jc w:val="both"/>
              <w:rPr>
                <w:rFonts w:hint="eastAsia" w:ascii="楷体" w:hAnsi="楷体" w:eastAsia="楷体" w:cs="楷体"/>
                <w:bCs/>
                <w:color w:val="000000" w:themeColor="text1"/>
                <w:kern w:val="0"/>
                <w:sz w:val="20"/>
                <w:szCs w:val="20"/>
                <w:highlight w:val="none"/>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销售对象</w:t>
            </w:r>
          </w:p>
        </w:tc>
        <w:tc>
          <w:tcPr>
            <w:tcW w:w="7478" w:type="dxa"/>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themeColor="text1"/>
                <w:sz w:val="20"/>
                <w:szCs w:val="20"/>
                <w:highlight w:val="none"/>
                <w:lang w:val="en-US"/>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A份额：面向个人和机构投资者销售；</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sz w:val="20"/>
                <w:szCs w:val="20"/>
                <w:highlight w:val="none"/>
                <w:lang w:val="en-US"/>
              </w:rPr>
            </w:pPr>
            <w:r>
              <w:rPr>
                <w:rFonts w:hint="eastAsia" w:ascii="楷体" w:hAnsi="楷体" w:eastAsia="楷体" w:cs="楷体"/>
                <w:bCs/>
                <w:color w:val="000000"/>
                <w:kern w:val="0"/>
                <w:sz w:val="20"/>
                <w:szCs w:val="20"/>
                <w:highlight w:val="none"/>
                <w:lang w:val="en-US" w:eastAsia="zh-CN"/>
              </w:rPr>
              <w:t>B份额：面向个人和机构投资者销售；</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sz w:val="20"/>
                <w:szCs w:val="20"/>
                <w:highlight w:val="none"/>
                <w:lang w:val="en-US"/>
              </w:rPr>
            </w:pPr>
            <w:r>
              <w:rPr>
                <w:rFonts w:hint="eastAsia" w:ascii="楷体" w:hAnsi="楷体" w:eastAsia="楷体" w:cs="楷体"/>
                <w:bCs/>
                <w:color w:val="000000"/>
                <w:kern w:val="0"/>
                <w:sz w:val="20"/>
                <w:szCs w:val="20"/>
                <w:highlight w:val="none"/>
                <w:lang w:val="en-US" w:eastAsia="zh-CN"/>
              </w:rPr>
              <w:t>D份额：面向个人和机构投资者销售；销售机构江苏银行个人投资者仅限财富客户购买，江苏银行财富客户指在江苏银行日均资产大于等于200万元的个人客户；机构投资者具体以销售机构设置为准；</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sz w:val="20"/>
                <w:szCs w:val="20"/>
                <w:highlight w:val="none"/>
                <w:lang w:val="en-US"/>
              </w:rPr>
            </w:pPr>
            <w:r>
              <w:rPr>
                <w:rFonts w:hint="eastAsia" w:ascii="楷体" w:hAnsi="楷体" w:eastAsia="楷体" w:cs="楷体"/>
                <w:bCs/>
                <w:color w:val="000000"/>
                <w:kern w:val="0"/>
                <w:sz w:val="20"/>
                <w:szCs w:val="20"/>
                <w:highlight w:val="none"/>
                <w:lang w:val="en-US" w:eastAsia="zh-CN"/>
              </w:rPr>
              <w:t>F份额：面向个人和机构投资者销售；</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sz w:val="20"/>
                <w:szCs w:val="20"/>
                <w:highlight w:val="none"/>
                <w:lang w:val="en-US"/>
              </w:rPr>
            </w:pPr>
            <w:r>
              <w:rPr>
                <w:rFonts w:hint="eastAsia" w:ascii="楷体" w:hAnsi="楷体" w:eastAsia="楷体" w:cs="楷体"/>
                <w:bCs/>
                <w:color w:val="000000"/>
                <w:kern w:val="0"/>
                <w:sz w:val="20"/>
                <w:szCs w:val="20"/>
                <w:highlight w:val="none"/>
                <w:lang w:val="en-US" w:eastAsia="zh-CN"/>
              </w:rPr>
              <w:t>G份额：面向个人和机构投资者销售；</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sz w:val="20"/>
                <w:szCs w:val="20"/>
                <w:highlight w:val="none"/>
                <w:lang w:val="en-US"/>
              </w:rPr>
            </w:pPr>
            <w:r>
              <w:rPr>
                <w:rFonts w:hint="eastAsia" w:ascii="楷体" w:hAnsi="楷体" w:eastAsia="楷体" w:cs="楷体"/>
                <w:bCs/>
                <w:color w:val="000000"/>
                <w:kern w:val="0"/>
                <w:sz w:val="20"/>
                <w:szCs w:val="20"/>
                <w:highlight w:val="none"/>
                <w:lang w:val="en-US" w:eastAsia="zh-CN"/>
              </w:rPr>
              <w:t>J份额：面向个人和机构投资者销售；</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sz w:val="20"/>
                <w:szCs w:val="20"/>
                <w:highlight w:val="none"/>
                <w:lang w:val="en-US"/>
              </w:rPr>
            </w:pPr>
            <w:r>
              <w:rPr>
                <w:rFonts w:hint="eastAsia" w:ascii="楷体" w:hAnsi="楷体" w:eastAsia="楷体" w:cs="楷体"/>
                <w:bCs/>
                <w:color w:val="000000"/>
                <w:kern w:val="0"/>
                <w:sz w:val="20"/>
                <w:szCs w:val="20"/>
                <w:highlight w:val="none"/>
                <w:lang w:val="en-US" w:eastAsia="zh-CN"/>
              </w:rPr>
              <w:t>ZA份额：面向个人和机构投资者销售；</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sz w:val="20"/>
                <w:szCs w:val="20"/>
                <w:highlight w:val="none"/>
                <w:lang w:val="en-US"/>
              </w:rPr>
            </w:pPr>
            <w:r>
              <w:rPr>
                <w:rFonts w:hint="eastAsia" w:ascii="楷体" w:hAnsi="楷体" w:eastAsia="楷体" w:cs="楷体"/>
                <w:bCs/>
                <w:color w:val="000000"/>
                <w:kern w:val="0"/>
                <w:sz w:val="20"/>
                <w:szCs w:val="20"/>
                <w:highlight w:val="none"/>
                <w:lang w:val="en-US" w:eastAsia="zh-CN"/>
              </w:rPr>
              <w:t>ZF份额：面向个人和机构投资者销售；</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sz w:val="20"/>
                <w:szCs w:val="20"/>
                <w:highlight w:val="none"/>
                <w:lang w:val="en-US"/>
              </w:rPr>
            </w:pPr>
            <w:r>
              <w:rPr>
                <w:rFonts w:hint="eastAsia" w:ascii="楷体" w:hAnsi="楷体" w:eastAsia="楷体" w:cs="楷体"/>
                <w:bCs/>
                <w:color w:val="000000"/>
                <w:kern w:val="0"/>
                <w:sz w:val="20"/>
                <w:szCs w:val="20"/>
                <w:highlight w:val="none"/>
                <w:lang w:val="en-US" w:eastAsia="zh-CN"/>
              </w:rPr>
              <w:t>C份额：面向个人和机构投资者销售；销售机构江苏银行个人投资者仅限代发工资客户；新资金客户及新客户，新资金的达标条件为“客户前一日资产时点余额”较“前一月末资产月日均余额”的新增额大于5万元，新客户是指首次购买理财产品的客户；50周岁及以上客户；机构投资者具体以销售机构设置为准；</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sz w:val="20"/>
                <w:szCs w:val="20"/>
                <w:highlight w:val="none"/>
                <w:lang w:val="en-US"/>
              </w:rPr>
            </w:pPr>
            <w:r>
              <w:rPr>
                <w:rFonts w:hint="eastAsia" w:ascii="楷体" w:hAnsi="楷体" w:eastAsia="楷体" w:cs="楷体"/>
                <w:bCs/>
                <w:color w:val="000000"/>
                <w:kern w:val="0"/>
                <w:sz w:val="20"/>
                <w:szCs w:val="20"/>
                <w:highlight w:val="none"/>
                <w:lang w:val="en-US" w:eastAsia="zh-CN"/>
              </w:rPr>
              <w:t>P份额：面向个人和机构投资者销售；</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sz w:val="20"/>
                <w:szCs w:val="20"/>
                <w:highlight w:val="none"/>
                <w:lang w:val="en-US"/>
              </w:rPr>
            </w:pPr>
            <w:r>
              <w:rPr>
                <w:rFonts w:hint="eastAsia" w:ascii="楷体" w:hAnsi="楷体" w:eastAsia="楷体" w:cs="楷体"/>
                <w:bCs/>
                <w:color w:val="000000"/>
                <w:kern w:val="0"/>
                <w:sz w:val="20"/>
                <w:szCs w:val="20"/>
                <w:highlight w:val="none"/>
                <w:lang w:val="en-US" w:eastAsia="zh-CN"/>
              </w:rPr>
              <w:t>Q份额：面向个人和机构投资者销售；</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sz w:val="20"/>
                <w:szCs w:val="20"/>
                <w:highlight w:val="none"/>
                <w:lang w:val="en-US"/>
              </w:rPr>
            </w:pPr>
            <w:r>
              <w:rPr>
                <w:rFonts w:hint="eastAsia" w:ascii="楷体" w:hAnsi="楷体" w:eastAsia="楷体" w:cs="楷体"/>
                <w:bCs/>
                <w:color w:val="000000"/>
                <w:kern w:val="0"/>
                <w:sz w:val="20"/>
                <w:szCs w:val="20"/>
                <w:highlight w:val="none"/>
                <w:lang w:val="en-US" w:eastAsia="zh-CN"/>
              </w:rPr>
              <w:t>S份额：面向个人和机构投资者销售；</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sz w:val="20"/>
                <w:szCs w:val="20"/>
                <w:highlight w:val="none"/>
                <w:lang w:val="en-US"/>
              </w:rPr>
            </w:pPr>
            <w:r>
              <w:rPr>
                <w:rFonts w:hint="eastAsia" w:ascii="楷体" w:hAnsi="楷体" w:eastAsia="楷体" w:cs="楷体"/>
                <w:bCs/>
                <w:color w:val="000000"/>
                <w:kern w:val="0"/>
                <w:sz w:val="20"/>
                <w:szCs w:val="20"/>
                <w:highlight w:val="none"/>
                <w:lang w:val="en-US" w:eastAsia="zh-CN"/>
              </w:rPr>
              <w:t>ZN份额：面向个人和机构投资者销售；</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sz w:val="20"/>
                <w:szCs w:val="20"/>
                <w:highlight w:val="none"/>
                <w:lang w:val="en-US"/>
              </w:rPr>
            </w:pPr>
            <w:r>
              <w:rPr>
                <w:rFonts w:hint="eastAsia" w:ascii="楷体" w:hAnsi="楷体" w:eastAsia="楷体" w:cs="楷体"/>
                <w:bCs/>
                <w:color w:val="000000"/>
                <w:kern w:val="0"/>
                <w:sz w:val="20"/>
                <w:szCs w:val="20"/>
                <w:highlight w:val="none"/>
                <w:lang w:val="en-US" w:eastAsia="zh-CN"/>
              </w:rPr>
              <w:t>ZQ份额：面向个人和机构投资者销售；</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sz w:val="20"/>
                <w:szCs w:val="20"/>
                <w:highlight w:val="none"/>
                <w:lang w:val="en-US"/>
              </w:rPr>
            </w:pPr>
            <w:r>
              <w:rPr>
                <w:rFonts w:hint="eastAsia" w:ascii="楷体" w:hAnsi="楷体" w:eastAsia="楷体" w:cs="楷体"/>
                <w:bCs/>
                <w:color w:val="000000"/>
                <w:kern w:val="0"/>
                <w:sz w:val="20"/>
                <w:szCs w:val="20"/>
                <w:highlight w:val="none"/>
                <w:lang w:val="en-US" w:eastAsia="zh-CN"/>
              </w:rPr>
              <w:t>J2份额：面向个人和机构投资者销售；销售机构江苏银行仅限白名单客户；</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sz w:val="20"/>
                <w:szCs w:val="20"/>
                <w:highlight w:val="none"/>
                <w:lang w:val="en-US"/>
              </w:rPr>
            </w:pPr>
            <w:r>
              <w:rPr>
                <w:rFonts w:hint="eastAsia" w:ascii="楷体" w:hAnsi="楷体" w:eastAsia="楷体" w:cs="楷体"/>
                <w:bCs/>
                <w:color w:val="000000"/>
                <w:kern w:val="0"/>
                <w:sz w:val="20"/>
                <w:szCs w:val="20"/>
                <w:highlight w:val="none"/>
                <w:lang w:val="en-US" w:eastAsia="zh-CN"/>
              </w:rPr>
              <w:t>GS份额：面向个人和机构投资者销售；</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sz w:val="20"/>
                <w:szCs w:val="20"/>
                <w:highlight w:val="none"/>
                <w:lang w:val="en-US"/>
              </w:rPr>
            </w:pPr>
            <w:r>
              <w:rPr>
                <w:rFonts w:hint="eastAsia" w:ascii="楷体" w:hAnsi="楷体" w:eastAsia="楷体" w:cs="楷体"/>
                <w:bCs/>
                <w:color w:val="000000"/>
                <w:kern w:val="0"/>
                <w:sz w:val="20"/>
                <w:szCs w:val="20"/>
                <w:highlight w:val="none"/>
                <w:lang w:val="en-US" w:eastAsia="zh-CN"/>
              </w:rPr>
              <w:t>S1份额：面向个人和机构投资者销售；</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sz w:val="20"/>
                <w:szCs w:val="20"/>
                <w:highlight w:val="none"/>
                <w:lang w:val="en-US"/>
              </w:rPr>
            </w:pPr>
            <w:r>
              <w:rPr>
                <w:rFonts w:hint="eastAsia" w:ascii="楷体" w:hAnsi="楷体" w:eastAsia="楷体" w:cs="楷体"/>
                <w:bCs/>
                <w:color w:val="000000"/>
                <w:kern w:val="0"/>
                <w:sz w:val="20"/>
                <w:szCs w:val="20"/>
                <w:highlight w:val="none"/>
                <w:lang w:val="en-US" w:eastAsia="zh-CN"/>
              </w:rPr>
              <w:t>U份额：面向个人和机构投资者销售；</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sz w:val="20"/>
                <w:szCs w:val="20"/>
                <w:highlight w:val="none"/>
                <w:lang w:val="en-US"/>
              </w:rPr>
            </w:pPr>
            <w:r>
              <w:rPr>
                <w:rFonts w:hint="eastAsia" w:ascii="楷体" w:hAnsi="楷体" w:eastAsia="楷体" w:cs="楷体"/>
                <w:bCs/>
                <w:color w:val="000000"/>
                <w:kern w:val="0"/>
                <w:sz w:val="20"/>
                <w:szCs w:val="20"/>
                <w:highlight w:val="none"/>
                <w:lang w:val="en-US" w:eastAsia="zh-CN"/>
              </w:rPr>
              <w:t>L份额：面向个人和机构投资者销售；</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sz w:val="20"/>
                <w:szCs w:val="20"/>
                <w:highlight w:val="none"/>
                <w:lang w:val="en-US"/>
              </w:rPr>
            </w:pPr>
            <w:r>
              <w:rPr>
                <w:rFonts w:hint="eastAsia" w:ascii="楷体" w:hAnsi="楷体" w:eastAsia="楷体" w:cs="楷体"/>
                <w:bCs/>
                <w:color w:val="000000"/>
                <w:kern w:val="0"/>
                <w:sz w:val="20"/>
                <w:szCs w:val="20"/>
                <w:highlight w:val="none"/>
                <w:lang w:val="en-US" w:eastAsia="zh-CN"/>
              </w:rPr>
              <w:t>Z份额：面向个人和机构投资者销售；</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sz w:val="20"/>
                <w:szCs w:val="20"/>
                <w:highlight w:val="none"/>
                <w:lang w:val="en-US"/>
              </w:rPr>
            </w:pPr>
            <w:r>
              <w:rPr>
                <w:rFonts w:hint="eastAsia" w:ascii="楷体" w:hAnsi="楷体" w:eastAsia="楷体" w:cs="楷体"/>
                <w:bCs/>
                <w:color w:val="000000"/>
                <w:kern w:val="0"/>
                <w:sz w:val="20"/>
                <w:szCs w:val="20"/>
                <w:highlight w:val="none"/>
                <w:lang w:val="en-US" w:eastAsia="zh-CN"/>
              </w:rPr>
              <w:t>Z1份额：面向个人和机构投资者销售；</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sz w:val="20"/>
                <w:szCs w:val="20"/>
                <w:highlight w:val="none"/>
                <w:lang w:val="en-US"/>
              </w:rPr>
            </w:pPr>
            <w:r>
              <w:rPr>
                <w:rFonts w:hint="eastAsia" w:ascii="楷体" w:hAnsi="楷体" w:eastAsia="楷体" w:cs="楷体"/>
                <w:bCs/>
                <w:color w:val="000000"/>
                <w:kern w:val="0"/>
                <w:sz w:val="20"/>
                <w:szCs w:val="20"/>
                <w:highlight w:val="none"/>
                <w:lang w:val="en-US" w:eastAsia="zh-CN"/>
              </w:rPr>
              <w:t>Z2份额：面向个人和机构投资者销售；</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sz w:val="20"/>
                <w:szCs w:val="20"/>
                <w:highlight w:val="none"/>
                <w:lang w:val="en-US"/>
              </w:rPr>
            </w:pPr>
            <w:r>
              <w:rPr>
                <w:rFonts w:hint="eastAsia" w:ascii="楷体" w:hAnsi="楷体" w:eastAsia="楷体" w:cs="楷体"/>
                <w:bCs/>
                <w:color w:val="000000"/>
                <w:kern w:val="0"/>
                <w:sz w:val="20"/>
                <w:szCs w:val="20"/>
                <w:highlight w:val="none"/>
                <w:lang w:val="en-US" w:eastAsia="zh-CN"/>
              </w:rPr>
              <w:t>ZF2份额：面向个人和机构投资者销售；</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sz w:val="20"/>
                <w:szCs w:val="20"/>
                <w:highlight w:val="none"/>
                <w:lang w:val="en-US"/>
              </w:rPr>
            </w:pPr>
            <w:r>
              <w:rPr>
                <w:rFonts w:hint="eastAsia" w:ascii="楷体" w:hAnsi="楷体" w:eastAsia="楷体" w:cs="楷体"/>
                <w:bCs/>
                <w:color w:val="000000"/>
                <w:kern w:val="0"/>
                <w:sz w:val="20"/>
                <w:szCs w:val="20"/>
                <w:highlight w:val="none"/>
                <w:lang w:val="en-US" w:eastAsia="zh-CN"/>
              </w:rPr>
              <w:t>ZF3份额：面向个人和机构投资者销售；</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sz w:val="20"/>
                <w:szCs w:val="20"/>
                <w:highlight w:val="none"/>
                <w:lang w:val="en-US"/>
              </w:rPr>
            </w:pPr>
            <w:r>
              <w:rPr>
                <w:rFonts w:hint="eastAsia" w:ascii="楷体" w:hAnsi="楷体" w:eastAsia="楷体" w:cs="楷体"/>
                <w:bCs/>
                <w:color w:val="000000"/>
                <w:kern w:val="0"/>
                <w:sz w:val="20"/>
                <w:szCs w:val="20"/>
                <w:highlight w:val="none"/>
                <w:lang w:val="en-US" w:eastAsia="zh-CN"/>
              </w:rPr>
              <w:t>ZF4份额：面向个人和机构投资者销售；</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sz w:val="20"/>
                <w:szCs w:val="20"/>
                <w:highlight w:val="none"/>
                <w:lang w:val="en-US"/>
              </w:rPr>
            </w:pPr>
            <w:r>
              <w:rPr>
                <w:rFonts w:hint="eastAsia" w:ascii="楷体" w:hAnsi="楷体" w:eastAsia="楷体" w:cs="楷体"/>
                <w:bCs/>
                <w:color w:val="000000"/>
                <w:kern w:val="0"/>
                <w:sz w:val="20"/>
                <w:szCs w:val="20"/>
                <w:highlight w:val="none"/>
                <w:lang w:val="en-US" w:eastAsia="zh-CN"/>
              </w:rPr>
              <w:t>ZJ份额：面向个人和机构投资者销售；</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sz w:val="20"/>
                <w:szCs w:val="20"/>
                <w:highlight w:val="none"/>
                <w:lang w:val="en-US"/>
              </w:rPr>
            </w:pPr>
            <w:r>
              <w:rPr>
                <w:rFonts w:hint="eastAsia" w:ascii="楷体" w:hAnsi="楷体" w:eastAsia="楷体" w:cs="楷体"/>
                <w:bCs/>
                <w:color w:val="000000"/>
                <w:kern w:val="0"/>
                <w:sz w:val="20"/>
                <w:szCs w:val="20"/>
                <w:highlight w:val="none"/>
                <w:lang w:val="en-US" w:eastAsia="zh-CN"/>
              </w:rPr>
              <w:t>ZL份额：面向个人和机构投资者销售；</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sz w:val="20"/>
                <w:szCs w:val="20"/>
                <w:highlight w:val="none"/>
                <w:lang w:val="en-US"/>
              </w:rPr>
            </w:pPr>
            <w:r>
              <w:rPr>
                <w:rFonts w:hint="eastAsia" w:ascii="楷体" w:hAnsi="楷体" w:eastAsia="楷体" w:cs="楷体"/>
                <w:bCs/>
                <w:color w:val="000000"/>
                <w:kern w:val="0"/>
                <w:sz w:val="20"/>
                <w:szCs w:val="20"/>
                <w:highlight w:val="none"/>
                <w:lang w:val="en-US" w:eastAsia="zh-CN"/>
              </w:rPr>
              <w:t>天府·优选份额：面向个人和机构投资者销售；</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sz w:val="20"/>
                <w:szCs w:val="20"/>
                <w:highlight w:val="none"/>
                <w:lang w:val="en-US"/>
              </w:rPr>
            </w:pPr>
            <w:r>
              <w:rPr>
                <w:rFonts w:hint="eastAsia" w:ascii="楷体" w:hAnsi="楷体" w:eastAsia="楷体" w:cs="楷体"/>
                <w:bCs/>
                <w:color w:val="000000"/>
                <w:kern w:val="0"/>
                <w:sz w:val="20"/>
                <w:szCs w:val="20"/>
                <w:highlight w:val="none"/>
                <w:lang w:val="en-US" w:eastAsia="zh-CN"/>
              </w:rPr>
              <w:t>芙蓉锦程·优选份额：面向个人和机构投资者销售；</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sz w:val="20"/>
                <w:szCs w:val="20"/>
                <w:highlight w:val="none"/>
                <w:lang w:val="en-US"/>
              </w:rPr>
            </w:pPr>
            <w:r>
              <w:rPr>
                <w:rFonts w:hint="eastAsia" w:ascii="楷体" w:hAnsi="楷体" w:eastAsia="楷体" w:cs="楷体"/>
                <w:bCs/>
                <w:color w:val="000000"/>
                <w:kern w:val="0"/>
                <w:sz w:val="20"/>
                <w:szCs w:val="20"/>
                <w:highlight w:val="none"/>
                <w:lang w:val="en-US" w:eastAsia="zh-CN"/>
              </w:rPr>
              <w:t>芙蓉锦程·优选-尊享款份额：面向个人和机构投资者销售；</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sz w:val="20"/>
                <w:szCs w:val="20"/>
                <w:highlight w:val="none"/>
                <w:lang w:val="en-US"/>
              </w:rPr>
            </w:pPr>
            <w:r>
              <w:rPr>
                <w:rFonts w:hint="eastAsia" w:ascii="楷体" w:hAnsi="楷体" w:eastAsia="楷体" w:cs="楷体"/>
                <w:bCs/>
                <w:color w:val="000000"/>
                <w:kern w:val="0"/>
                <w:sz w:val="20"/>
                <w:szCs w:val="20"/>
                <w:highlight w:val="none"/>
                <w:lang w:val="en-US" w:eastAsia="zh-CN"/>
              </w:rPr>
              <w:t>ZC份额：面向个人和机构投资者销售；</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sz w:val="20"/>
                <w:szCs w:val="20"/>
                <w:highlight w:val="none"/>
                <w:lang w:val="en-US"/>
              </w:rPr>
            </w:pPr>
            <w:r>
              <w:rPr>
                <w:rFonts w:hint="eastAsia" w:ascii="楷体" w:hAnsi="楷体" w:eastAsia="楷体" w:cs="楷体"/>
                <w:bCs/>
                <w:color w:val="000000"/>
                <w:kern w:val="0"/>
                <w:sz w:val="20"/>
                <w:szCs w:val="20"/>
                <w:highlight w:val="none"/>
                <w:lang w:val="en-US" w:eastAsia="zh-CN"/>
              </w:rPr>
              <w:t>ZK份额：面向个人和机构投资者销售；</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sz w:val="20"/>
                <w:szCs w:val="20"/>
                <w:highlight w:val="none"/>
                <w:lang w:val="en-US"/>
              </w:rPr>
            </w:pPr>
            <w:r>
              <w:rPr>
                <w:rFonts w:hint="eastAsia" w:ascii="楷体" w:hAnsi="楷体" w:eastAsia="楷体" w:cs="楷体"/>
                <w:bCs/>
                <w:color w:val="000000"/>
                <w:kern w:val="0"/>
                <w:sz w:val="20"/>
                <w:szCs w:val="20"/>
                <w:highlight w:val="none"/>
                <w:lang w:val="en-US" w:eastAsia="zh-CN"/>
              </w:rPr>
              <w:t>Z3份额：面向个人和机构投资者销售。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56" w:type="dxa"/>
            <w:gridSpan w:val="2"/>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（二）交易规则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募集币种</w:t>
            </w:r>
          </w:p>
        </w:tc>
        <w:tc>
          <w:tcPr>
            <w:tcW w:w="7478" w:type="dxa"/>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起点销售金额</w:t>
            </w:r>
          </w:p>
        </w:tc>
        <w:tc>
          <w:tcPr>
            <w:tcW w:w="7478" w:type="dxa"/>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A份额：100元；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B份额：200,000元；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D份额：个人500,000元，机构30,000,000元；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F份额：100元；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G份额：200,000元；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J份额：500,000元；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ZA份额：100元；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ZF份额：100元；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C份额：10,000元；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P份额：100元；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Q份额：10,000元；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S份额：200,000元；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ZN份额：100元；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ZQ份额：100元；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J2份额：10,000元；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GS份额：100元；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S1份额：100元；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U份额：100元；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L份额：1,000,000元；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Z份额：100元；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Z1份额：10,000元；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Z2份额：500,000元；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ZF2份额：1,000元；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ZF3份额：100元；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ZF4份额：1,000元；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ZJ份额：100元；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ZL份额：个人500,000元，机构30,000,000元；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天府·优选份额：100元；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芙蓉锦程·优选份额：1元；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芙蓉锦程·优选-尊享款份额：1元；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ZC份额：10,000元；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ZK份额：个人500,000元，机构30,000,000元；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Z3份额：1元。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追加递增金额</w:t>
            </w:r>
          </w:p>
        </w:tc>
        <w:tc>
          <w:tcPr>
            <w:tcW w:w="7478" w:type="dxa"/>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A份额：100元；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B份额：10,000元；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D份额：个人10,000元，机构10,000元；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F份额：100元；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G份额：10,000元；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J份额：10,000元；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ZA份额：100元；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ZF份额：100元；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C份额：1元；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P份额：100元；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Q份额：1元；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S份额：1元；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ZN份额：100元；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ZQ份额：100元；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J2份额：1元；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GS份额：100元；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S1份额：100元；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U份额：100元；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L份额：10,000元；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Z份额：100元；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Z1份额：1元；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Z2份额：10,000元；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ZF2份额：1,000元；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ZF3份额：100元；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ZF4份额：1,000元；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ZJ份额：100元；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ZL份额：个人10,000元，机构10,000元；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天府·优选份额：100元；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芙蓉锦程·优选份额：1元；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芙蓉锦程·优选-尊享款份额：1元；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ZC份额：1元；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ZK份额：个人10,000元，机构10,000元；</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Z3份额：1元。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计划募集金额</w:t>
            </w:r>
          </w:p>
        </w:tc>
        <w:tc>
          <w:tcPr>
            <w:tcW w:w="7478" w:type="dxa"/>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10亿元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认购、申购、赎回安排</w:t>
            </w:r>
          </w:p>
        </w:tc>
        <w:tc>
          <w:tcPr>
            <w:tcW w:w="7478" w:type="dxa"/>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 w:val="0"/>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 w:val="0"/>
                <w:bCs/>
                <w:color w:val="000000" w:themeColor="text1"/>
                <w:kern w:val="0"/>
                <w:sz w:val="20"/>
                <w:szCs w:val="20"/>
                <w:highlight w:val="none"/>
                <w:lang w:val="en-US" w:eastAsia="zh-CN"/>
                <w14:textFill>
                  <w14:solidFill>
                    <w14:schemeClr w14:val="tx1"/>
                  </w14:solidFill>
                </w14:textFill>
              </w:rPr>
              <w:t>1.</w:t>
            </w:r>
            <w:r>
              <w:rPr>
                <w:rFonts w:hint="default" w:ascii="楷体" w:hAnsi="楷体" w:eastAsia="楷体" w:cs="楷体"/>
                <w:b w:val="0"/>
                <w:bCs/>
                <w:color w:val="000000" w:themeColor="text1"/>
                <w:kern w:val="0"/>
                <w:sz w:val="20"/>
                <w:szCs w:val="20"/>
                <w:highlight w:val="none"/>
                <w:lang w:val="en-US" w:eastAsia="zh-CN"/>
                <w14:textFill>
                  <w14:solidFill>
                    <w14:schemeClr w14:val="tx1"/>
                  </w14:solidFill>
                </w14:textFill>
              </w:rPr>
              <w:t>认购</w:t>
            </w:r>
            <w:r>
              <w:rPr>
                <w:rFonts w:hint="eastAsia" w:ascii="楷体" w:hAnsi="楷体" w:eastAsia="楷体" w:cs="楷体"/>
                <w:b w:val="0"/>
                <w:bCs/>
                <w:color w:val="000000" w:themeColor="text1"/>
                <w:kern w:val="0"/>
                <w:sz w:val="20"/>
                <w:szCs w:val="20"/>
                <w:highlight w:val="none"/>
                <w:lang w:val="en-US" w:eastAsia="zh-CN"/>
                <w14:textFill>
                  <w14:solidFill>
                    <w14:schemeClr w14:val="tx1"/>
                  </w14:solidFill>
                </w14:textFill>
              </w:rPr>
              <w:t>安排</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 w:val="0"/>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 w:val="0"/>
                <w:bCs/>
                <w:color w:val="000000" w:themeColor="text1"/>
                <w:kern w:val="0"/>
                <w:sz w:val="20"/>
                <w:szCs w:val="20"/>
                <w:highlight w:val="none"/>
                <w:lang w:val="en-US" w:eastAsia="zh-CN"/>
                <w14:textFill>
                  <w14:solidFill>
                    <w14:schemeClr w14:val="tx1"/>
                  </w14:solidFill>
                </w14:textFill>
              </w:rPr>
              <w:t>认购</w:t>
            </w:r>
            <w:r>
              <w:rPr>
                <w:rFonts w:hint="default" w:ascii="楷体" w:hAnsi="楷体" w:eastAsia="楷体" w:cs="楷体"/>
                <w:b w:val="0"/>
                <w:bCs/>
                <w:color w:val="000000" w:themeColor="text1"/>
                <w:kern w:val="0"/>
                <w:sz w:val="20"/>
                <w:szCs w:val="20"/>
                <w:highlight w:val="none"/>
                <w:lang w:val="en-US" w:eastAsia="zh-CN"/>
                <w14:textFill>
                  <w14:solidFill>
                    <w14:schemeClr w14:val="tx1"/>
                  </w14:solidFill>
                </w14:textFill>
              </w:rPr>
              <w:t>指在理财产品的募集期内，投资者申请购买理财产品份额的行为</w:t>
            </w:r>
            <w:r>
              <w:rPr>
                <w:rFonts w:hint="eastAsia" w:ascii="楷体" w:hAnsi="楷体" w:eastAsia="楷体" w:cs="楷体"/>
                <w:b w:val="0"/>
                <w:bCs/>
                <w:color w:val="000000" w:themeColor="text1"/>
                <w:kern w:val="0"/>
                <w:sz w:val="20"/>
                <w:szCs w:val="20"/>
                <w:highlight w:val="none"/>
                <w:lang w:val="en-US" w:eastAsia="zh-CN"/>
                <w14:textFill>
                  <w14:solidFill>
                    <w14:schemeClr w14:val="tx1"/>
                  </w14:solidFill>
                </w14:textFill>
              </w:rPr>
              <w:t>。</w:t>
            </w:r>
            <w:r>
              <w:rPr>
                <w:rFonts w:hint="default" w:ascii="楷体" w:hAnsi="楷体" w:eastAsia="楷体" w:cs="楷体"/>
                <w:b w:val="0"/>
                <w:bCs/>
                <w:color w:val="000000" w:themeColor="text1"/>
                <w:kern w:val="0"/>
                <w:sz w:val="20"/>
                <w:szCs w:val="20"/>
                <w:highlight w:val="none"/>
                <w:lang w:val="en-US" w:eastAsia="zh-CN"/>
                <w14:textFill>
                  <w14:solidFill>
                    <w14:schemeClr w14:val="tx1"/>
                  </w14:solidFill>
                </w14:textFill>
              </w:rPr>
              <w:t>本理财产品可在各销售机构指定渠道进行认购，投资者按规定提交认购申请，管理人在份额登记日对投资者的认购申请成功登记后并收到投资者全额交付的款项，视为投资者的认购申请生效。投资者应在理财产品成立后及时查询最终的成交情况。因投资者资金账户余额不足、司法冻结、不可抗力因素或其他不可归责于管理人和销售机构的事由出现，造成认购申请未被确认的，管理人和销售机构不承担任何责任。</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 w:val="0"/>
                <w:bCs/>
                <w:color w:val="000000" w:themeColor="text1"/>
                <w:kern w:val="0"/>
                <w:sz w:val="20"/>
                <w:szCs w:val="20"/>
                <w:highlight w:val="none"/>
                <w:lang w:val="en-US" w:eastAsia="zh-CN"/>
                <w14:textFill>
                  <w14:solidFill>
                    <w14:schemeClr w14:val="tx1"/>
                  </w14:solidFill>
                </w14:textFill>
              </w:rPr>
            </w:pPr>
            <w:r>
              <w:rPr>
                <w:rFonts w:hint="default" w:ascii="楷体" w:hAnsi="楷体" w:eastAsia="楷体" w:cs="楷体"/>
                <w:b w:val="0"/>
                <w:bCs/>
                <w:color w:val="000000" w:themeColor="text1"/>
                <w:kern w:val="0"/>
                <w:sz w:val="20"/>
                <w:szCs w:val="20"/>
                <w:highlight w:val="none"/>
                <w:lang w:val="en-US" w:eastAsia="zh-CN"/>
                <w14:textFill>
                  <w14:solidFill>
                    <w14:schemeClr w14:val="tx1"/>
                  </w14:solidFill>
                </w14:textFill>
              </w:rPr>
              <w:t>本理财产品采取金额</w:t>
            </w:r>
            <w:r>
              <w:rPr>
                <w:rFonts w:hint="eastAsia" w:ascii="楷体" w:hAnsi="楷体" w:eastAsia="楷体" w:cs="楷体"/>
                <w:b w:val="0"/>
                <w:bCs/>
                <w:color w:val="000000" w:themeColor="text1"/>
                <w:kern w:val="0"/>
                <w:sz w:val="20"/>
                <w:szCs w:val="20"/>
                <w:highlight w:val="none"/>
                <w:lang w:val="en-US" w:eastAsia="zh-CN"/>
                <w14:textFill>
                  <w14:solidFill>
                    <w14:schemeClr w14:val="tx1"/>
                  </w14:solidFill>
                </w14:textFill>
              </w:rPr>
              <w:t>认购的</w:t>
            </w:r>
            <w:r>
              <w:rPr>
                <w:rFonts w:hint="default" w:ascii="楷体" w:hAnsi="楷体" w:eastAsia="楷体" w:cs="楷体"/>
                <w:b w:val="0"/>
                <w:bCs/>
                <w:color w:val="000000" w:themeColor="text1"/>
                <w:kern w:val="0"/>
                <w:sz w:val="20"/>
                <w:szCs w:val="20"/>
                <w:highlight w:val="none"/>
                <w:lang w:val="en-US" w:eastAsia="zh-CN"/>
                <w14:textFill>
                  <w14:solidFill>
                    <w14:schemeClr w14:val="tx1"/>
                  </w14:solidFill>
                </w14:textFill>
              </w:rPr>
              <w:t>方式</w:t>
            </w:r>
            <w:r>
              <w:rPr>
                <w:rFonts w:hint="eastAsia" w:ascii="楷体" w:hAnsi="楷体" w:eastAsia="楷体" w:cs="楷体"/>
                <w:b w:val="0"/>
                <w:bCs/>
                <w:color w:val="000000" w:themeColor="text1"/>
                <w:kern w:val="0"/>
                <w:sz w:val="20"/>
                <w:szCs w:val="20"/>
                <w:highlight w:val="none"/>
                <w:lang w:val="en-US" w:eastAsia="zh-CN"/>
                <w14:textFill>
                  <w14:solidFill>
                    <w14:schemeClr w14:val="tx1"/>
                  </w14:solidFill>
                </w14:textFill>
              </w:rPr>
              <w:t>，认购时以产品份额面值为基准进行份额确认</w:t>
            </w:r>
            <w:r>
              <w:rPr>
                <w:rFonts w:hint="default" w:ascii="楷体" w:hAnsi="楷体" w:eastAsia="楷体" w:cs="楷体"/>
                <w:b w:val="0"/>
                <w:bCs/>
                <w:color w:val="000000" w:themeColor="text1"/>
                <w:kern w:val="0"/>
                <w:sz w:val="20"/>
                <w:szCs w:val="20"/>
                <w:highlight w:val="none"/>
                <w:lang w:val="en-US" w:eastAsia="zh-CN"/>
                <w14:textFill>
                  <w14:solidFill>
                    <w14:schemeClr w14:val="tx1"/>
                  </w14:solidFill>
                </w14:textFill>
              </w:rPr>
              <w:t>。认购份额=认购金额/产品份额面值，认购份额以四舍五入的方法保留到小数点后两位，份额面值为1元/份。</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 w:val="0"/>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 w:val="0"/>
                <w:bCs/>
                <w:color w:val="000000" w:themeColor="text1"/>
                <w:kern w:val="0"/>
                <w:sz w:val="20"/>
                <w:szCs w:val="20"/>
                <w:highlight w:val="none"/>
                <w:lang w:val="en-US" w:eastAsia="zh-CN"/>
                <w14:textFill>
                  <w14:solidFill>
                    <w14:schemeClr w14:val="tx1"/>
                  </w14:solidFill>
                </w14:textFill>
              </w:rPr>
              <w:t>本产品最低发行规模：3000万元</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sz w:val="20"/>
                <w:szCs w:val="20"/>
                <w:highlight w:val="none"/>
                <w:lang w:val="en-US" w:eastAsia="zh-CN"/>
              </w:rPr>
            </w:pP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 w:val="0"/>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 w:val="0"/>
                <w:bCs/>
                <w:color w:val="000000" w:themeColor="text1"/>
                <w:kern w:val="0"/>
                <w:sz w:val="20"/>
                <w:szCs w:val="20"/>
                <w:highlight w:val="none"/>
                <w:lang w:val="en-US" w:eastAsia="zh-CN"/>
                <w14:textFill>
                  <w14:solidFill>
                    <w14:schemeClr w14:val="tx1"/>
                  </w14:solidFill>
                </w14:textFill>
              </w:rPr>
              <w:t>2.</w:t>
            </w:r>
            <w:r>
              <w:rPr>
                <w:rFonts w:hint="default" w:ascii="楷体" w:hAnsi="楷体" w:eastAsia="楷体" w:cs="楷体"/>
                <w:b w:val="0"/>
                <w:bCs/>
                <w:color w:val="000000" w:themeColor="text1"/>
                <w:kern w:val="0"/>
                <w:sz w:val="20"/>
                <w:szCs w:val="20"/>
                <w:highlight w:val="none"/>
                <w:lang w:val="en-US" w:eastAsia="zh-CN"/>
                <w14:textFill>
                  <w14:solidFill>
                    <w14:schemeClr w14:val="tx1"/>
                  </w14:solidFill>
                </w14:textFill>
              </w:rPr>
              <w:t>申购</w:t>
            </w:r>
            <w:r>
              <w:rPr>
                <w:rFonts w:hint="eastAsia" w:ascii="楷体" w:hAnsi="楷体" w:eastAsia="楷体" w:cs="楷体"/>
                <w:b w:val="0"/>
                <w:bCs/>
                <w:color w:val="000000" w:themeColor="text1"/>
                <w:kern w:val="0"/>
                <w:sz w:val="20"/>
                <w:szCs w:val="20"/>
                <w:highlight w:val="none"/>
                <w:lang w:val="en-US" w:eastAsia="zh-CN"/>
                <w14:textFill>
                  <w14:solidFill>
                    <w14:schemeClr w14:val="tx1"/>
                  </w14:solidFill>
                </w14:textFill>
              </w:rPr>
              <w:t>、</w:t>
            </w:r>
            <w:r>
              <w:rPr>
                <w:rFonts w:hint="default" w:ascii="楷体" w:hAnsi="楷体" w:eastAsia="楷体" w:cs="楷体"/>
                <w:b w:val="0"/>
                <w:bCs/>
                <w:color w:val="000000" w:themeColor="text1"/>
                <w:kern w:val="0"/>
                <w:sz w:val="20"/>
                <w:szCs w:val="20"/>
                <w:highlight w:val="none"/>
                <w:lang w:val="en-US" w:eastAsia="zh-CN"/>
                <w14:textFill>
                  <w14:solidFill>
                    <w14:schemeClr w14:val="tx1"/>
                  </w14:solidFill>
                </w14:textFill>
              </w:rPr>
              <w:t>赎回</w:t>
            </w:r>
            <w:r>
              <w:rPr>
                <w:rFonts w:hint="eastAsia" w:ascii="楷体" w:hAnsi="楷体" w:eastAsia="楷体" w:cs="楷体"/>
                <w:b w:val="0"/>
                <w:bCs/>
                <w:color w:val="000000" w:themeColor="text1"/>
                <w:kern w:val="0"/>
                <w:sz w:val="20"/>
                <w:szCs w:val="20"/>
                <w:highlight w:val="none"/>
                <w:lang w:val="en-US" w:eastAsia="zh-CN"/>
                <w14:textFill>
                  <w14:solidFill>
                    <w14:schemeClr w14:val="tx1"/>
                  </w14:solidFill>
                </w14:textFill>
              </w:rPr>
              <w:t>安排</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 w:val="0"/>
                <w:bCs/>
                <w:color w:val="000000" w:themeColor="text1"/>
                <w:kern w:val="0"/>
                <w:sz w:val="20"/>
                <w:szCs w:val="20"/>
                <w:highlight w:val="none"/>
                <w:lang w:val="en-US" w:eastAsia="zh-CN"/>
                <w14:textFill>
                  <w14:solidFill>
                    <w14:schemeClr w14:val="tx1"/>
                  </w14:solidFill>
                </w14:textFill>
              </w:rPr>
            </w:pPr>
            <w:r>
              <w:rPr>
                <w:rFonts w:hint="default" w:ascii="楷体" w:hAnsi="楷体" w:eastAsia="楷体" w:cs="楷体"/>
                <w:b w:val="0"/>
                <w:bCs/>
                <w:color w:val="000000" w:themeColor="text1"/>
                <w:kern w:val="0"/>
                <w:sz w:val="20"/>
                <w:szCs w:val="20"/>
                <w:highlight w:val="none"/>
                <w:lang w:val="en-US" w:eastAsia="zh-CN"/>
                <w14:textFill>
                  <w14:solidFill>
                    <w14:schemeClr w14:val="tx1"/>
                  </w14:solidFill>
                </w14:textFill>
              </w:rPr>
              <w:t>申购/赎回指在理财产品的开放期内，投资者申请购买或卖出理财产品份额的行为</w:t>
            </w:r>
            <w:r>
              <w:rPr>
                <w:rFonts w:hint="eastAsia" w:ascii="楷体" w:hAnsi="楷体" w:eastAsia="楷体" w:cs="楷体"/>
                <w:b w:val="0"/>
                <w:bCs/>
                <w:color w:val="000000" w:themeColor="text1"/>
                <w:kern w:val="0"/>
                <w:sz w:val="20"/>
                <w:szCs w:val="20"/>
                <w:highlight w:val="none"/>
                <w:lang w:val="en-US" w:eastAsia="zh-CN"/>
                <w14:textFill>
                  <w14:solidFill>
                    <w14:schemeClr w14:val="tx1"/>
                  </w14:solidFill>
                </w14:textFill>
              </w:rPr>
              <w:t>。</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 w:val="0"/>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 w:val="0"/>
                <w:bCs/>
                <w:color w:val="000000" w:themeColor="text1"/>
                <w:kern w:val="0"/>
                <w:sz w:val="20"/>
                <w:szCs w:val="20"/>
                <w:highlight w:val="none"/>
                <w:lang w:val="en-US" w:eastAsia="zh-CN"/>
                <w14:textFill>
                  <w14:solidFill>
                    <w14:schemeClr w14:val="tx1"/>
                  </w14:solidFill>
                </w14:textFill>
              </w:rPr>
              <w:t>开放计划</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 w:val="0"/>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 w:val="0"/>
                <w:bCs/>
                <w:color w:val="000000" w:themeColor="text1"/>
                <w:kern w:val="0"/>
                <w:sz w:val="20"/>
                <w:szCs w:val="20"/>
                <w:highlight w:val="none"/>
                <w:lang w:val="en-US" w:eastAsia="zh-CN"/>
                <w14:textFill>
                  <w14:solidFill>
                    <w14:schemeClr w14:val="tx1"/>
                  </w14:solidFill>
                </w14:textFill>
              </w:rPr>
              <w:t>本产品按投资周期开放申购与赎回，</w:t>
            </w:r>
            <w:r>
              <w:rPr>
                <w:rFonts w:hint="eastAsia" w:ascii="楷体" w:hAnsi="楷体" w:eastAsia="楷体" w:cs="楷体"/>
                <w:b w:val="0"/>
                <w:bCs/>
                <w:color w:val="000000" w:themeColor="text1"/>
                <w:sz w:val="20"/>
                <w:szCs w:val="20"/>
                <w:highlight w:val="none"/>
                <w:lang w:val="en-US" w:eastAsia="zh-CN"/>
                <w14:textFill>
                  <w14:solidFill>
                    <w14:schemeClr w14:val="tx1"/>
                  </w14:solidFill>
                </w14:textFill>
              </w:rPr>
              <w:t>最新投资周期（2026年09月09日-2027年09月29日）开放申购与赎回时间为：2026年08月31日至2026年09月08日（以各销售机构设置的时间为准）。投资者可在此期间提交申购/赎回申请，投资者未赎回的部分自动进入下一个投资周期。(其中ZA份额/ZF份额/ZF2份额/ZF3份额/ZF4份额/ZJ份额/ZL份额/天府·优选份额/芙蓉锦程·优选份额/芙蓉锦程·优选-尊享款份额/ZC份额/ZK份额/ZN份额/ZQ份额由系统主动发起赎回申请，投资者无须发起赎回申请。由系统主动发起赎回申请，投资者无须发起赎回申请。)除开放计划外的其他时间，管理人不接受投资者申购、赎回申请。详见下文“产品申购、赎回”。</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sz w:val="20"/>
                <w:szCs w:val="20"/>
                <w:highlight w:val="none"/>
                <w:lang w:val="en-US" w:eastAsia="zh-CN"/>
              </w:rPr>
            </w:pPr>
            <w:r>
              <w:rPr>
                <w:rFonts w:hint="eastAsia" w:ascii="楷体" w:hAnsi="楷体" w:eastAsia="楷体" w:cs="楷体"/>
                <w:b w:val="0"/>
                <w:bCs/>
                <w:color w:val="000000" w:themeColor="text1"/>
                <w:kern w:val="0"/>
                <w:sz w:val="20"/>
                <w:szCs w:val="20"/>
                <w:highlight w:val="none"/>
                <w:lang w:val="en-US" w:eastAsia="zh-CN"/>
                <w14:textFill>
                  <w14:solidFill>
                    <w14:schemeClr w14:val="tx1"/>
                  </w14:solidFill>
                </w14:textFill>
              </w:rPr>
              <w:t>管理人有权根据资产运作情况、节假日安排调整开放计划，并在调整前进行公告。</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 w:val="0"/>
                <w:bCs/>
                <w:color w:val="000000" w:themeColor="text1"/>
                <w:kern w:val="0"/>
                <w:sz w:val="20"/>
                <w:szCs w:val="20"/>
                <w:highlight w:val="none"/>
                <w:lang w:val="en-US" w:eastAsia="zh-CN"/>
                <w14:textFill>
                  <w14:solidFill>
                    <w14:schemeClr w14:val="tx1"/>
                  </w14:solidFill>
                </w14:textFill>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default" w:ascii="楷体" w:hAnsi="楷体" w:eastAsia="楷体" w:cs="楷体"/>
                <w:b w:val="0"/>
                <w:bCs/>
                <w:color w:val="000000" w:themeColor="text1"/>
                <w:kern w:val="0"/>
                <w:sz w:val="20"/>
                <w:szCs w:val="20"/>
                <w:highlight w:val="none"/>
                <w:lang w:val="en-US"/>
                <w14:textFill>
                  <w14:solidFill>
                    <w14:schemeClr w14:val="tx1"/>
                  </w14:solidFill>
                </w14:textFill>
              </w:rPr>
            </w:pPr>
            <w:r>
              <w:rPr>
                <w:rFonts w:hint="default" w:ascii="楷体" w:hAnsi="楷体" w:eastAsia="楷体" w:cs="楷体"/>
                <w:b w:val="0"/>
                <w:bCs/>
                <w:color w:val="000000" w:themeColor="text1"/>
                <w:kern w:val="0"/>
                <w:sz w:val="20"/>
                <w:szCs w:val="20"/>
                <w:highlight w:val="none"/>
                <w:lang w:val="en-US"/>
                <w14:textFill>
                  <w14:solidFill>
                    <w14:schemeClr w14:val="tx1"/>
                  </w14:solidFill>
                </w14:textFill>
              </w:rPr>
              <w:t>3.其他约定</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default" w:ascii="楷体" w:hAnsi="楷体" w:eastAsia="楷体" w:cs="楷体"/>
                <w:b w:val="0"/>
                <w:bCs/>
                <w:color w:val="000000" w:themeColor="text1"/>
                <w:kern w:val="0"/>
                <w:sz w:val="20"/>
                <w:szCs w:val="20"/>
                <w:highlight w:val="none"/>
                <w:lang w:val="en-US"/>
                <w14:textFill>
                  <w14:solidFill>
                    <w14:schemeClr w14:val="tx1"/>
                  </w14:solidFill>
                </w14:textFill>
              </w:rPr>
            </w:pPr>
            <w:r>
              <w:rPr>
                <w:rFonts w:hint="default" w:ascii="楷体" w:hAnsi="楷体" w:eastAsia="楷体" w:cs="楷体"/>
                <w:b w:val="0"/>
                <w:bCs/>
                <w:color w:val="000000" w:themeColor="text1"/>
                <w:kern w:val="0"/>
                <w:sz w:val="20"/>
                <w:szCs w:val="20"/>
                <w:highlight w:val="none"/>
                <w:lang w:val="en-US"/>
                <w14:textFill>
                  <w14:solidFill>
                    <w14:schemeClr w14:val="tx1"/>
                  </w14:solidFill>
                </w14:textFill>
              </w:rPr>
              <w:t>（1）单个投资者持有</w:t>
            </w:r>
            <w:r>
              <w:rPr>
                <w:rFonts w:hint="eastAsia" w:ascii="楷体" w:hAnsi="楷体" w:eastAsia="楷体" w:cs="楷体"/>
                <w:b w:val="0"/>
                <w:bCs/>
                <w:color w:val="000000" w:themeColor="text1"/>
                <w:kern w:val="0"/>
                <w:sz w:val="20"/>
                <w:szCs w:val="20"/>
                <w:highlight w:val="none"/>
                <w:lang w:val="en-US" w:eastAsia="zh-CN"/>
                <w14:textFill>
                  <w14:solidFill>
                    <w14:schemeClr w14:val="tx1"/>
                  </w14:solidFill>
                </w14:textFill>
              </w:rPr>
              <w:t>份额</w:t>
            </w:r>
            <w:r>
              <w:rPr>
                <w:rFonts w:hint="default" w:ascii="楷体" w:hAnsi="楷体" w:eastAsia="楷体" w:cs="楷体"/>
                <w:b w:val="0"/>
                <w:bCs/>
                <w:color w:val="000000" w:themeColor="text1"/>
                <w:kern w:val="0"/>
                <w:sz w:val="20"/>
                <w:szCs w:val="20"/>
                <w:highlight w:val="none"/>
                <w:lang w:val="en-US"/>
                <w14:textFill>
                  <w14:solidFill>
                    <w14:schemeClr w14:val="tx1"/>
                  </w14:solidFill>
                </w14:textFill>
              </w:rPr>
              <w:t>上限：单一投资者持有份额不得超过总份额50%；非因主观因素导致突破前款规定比例限制的，在单一投资者持有份额占理财产品总份额比例降至50%以下之前，不再接受该单一投资者对理财产品的购买申请。</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default" w:ascii="楷体" w:hAnsi="楷体" w:eastAsia="楷体" w:cs="楷体"/>
                <w:b w:val="0"/>
                <w:bCs/>
                <w:color w:val="000000" w:themeColor="text1"/>
                <w:kern w:val="0"/>
                <w:sz w:val="20"/>
                <w:szCs w:val="20"/>
                <w:highlight w:val="none"/>
                <w:lang w:val="en-US"/>
                <w14:textFill>
                  <w14:solidFill>
                    <w14:schemeClr w14:val="tx1"/>
                  </w14:solidFill>
                </w14:textFill>
              </w:rPr>
            </w:pPr>
            <w:r>
              <w:rPr>
                <w:rFonts w:hint="default" w:ascii="楷体" w:hAnsi="楷体" w:eastAsia="楷体" w:cs="楷体"/>
                <w:b w:val="0"/>
                <w:bCs/>
                <w:color w:val="000000" w:themeColor="text1"/>
                <w:kern w:val="0"/>
                <w:sz w:val="20"/>
                <w:szCs w:val="20"/>
                <w:highlight w:val="none"/>
                <w:lang w:val="en-US"/>
                <w14:textFill>
                  <w14:solidFill>
                    <w14:schemeClr w14:val="tx1"/>
                  </w14:solidFill>
                </w14:textFill>
              </w:rPr>
              <w:t>（2）单个投资者单笔购买上限：10000万元。超过购买上限时，管理人有权拒绝投资者购买申请。产品存续期内管理人有权根据实际情况调整单个投资者单笔购买上限。</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default" w:ascii="楷体" w:hAnsi="楷体" w:eastAsia="楷体" w:cs="楷体"/>
                <w:b w:val="0"/>
                <w:bCs/>
                <w:color w:val="000000" w:themeColor="text1"/>
                <w:kern w:val="0"/>
                <w:sz w:val="20"/>
                <w:szCs w:val="20"/>
                <w:highlight w:val="none"/>
                <w:lang w:val="en-US"/>
                <w14:textFill>
                  <w14:solidFill>
                    <w14:schemeClr w14:val="tx1"/>
                  </w14:solidFill>
                </w14:textFill>
              </w:rPr>
            </w:pPr>
            <w:r>
              <w:rPr>
                <w:rFonts w:hint="default" w:ascii="楷体" w:hAnsi="楷体" w:eastAsia="楷体" w:cs="楷体"/>
                <w:b w:val="0"/>
                <w:bCs/>
                <w:color w:val="000000" w:themeColor="text1"/>
                <w:kern w:val="0"/>
                <w:sz w:val="20"/>
                <w:szCs w:val="20"/>
                <w:highlight w:val="none"/>
                <w:lang w:val="en-US"/>
                <w14:textFill>
                  <w14:solidFill>
                    <w14:schemeClr w14:val="tx1"/>
                  </w14:solidFill>
                </w14:textFill>
              </w:rPr>
              <w:t>（3）单个投资者单笔赎回上限：10000万份。超过赎回上限时，管理人有权拒绝投资者赎回申请。产品存续期内管理人有权根据实际情况调整单个投资者单笔赎回上限。</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default" w:ascii="楷体" w:hAnsi="楷体" w:eastAsia="楷体" w:cs="楷体"/>
                <w:b w:val="0"/>
                <w:bCs/>
                <w:color w:val="000000" w:themeColor="text1"/>
                <w:kern w:val="0"/>
                <w:sz w:val="20"/>
                <w:szCs w:val="20"/>
                <w:highlight w:val="none"/>
                <w:lang w:val="en-US"/>
                <w14:textFill>
                  <w14:solidFill>
                    <w14:schemeClr w14:val="tx1"/>
                  </w14:solidFill>
                </w14:textFill>
              </w:rPr>
            </w:pPr>
            <w:r>
              <w:rPr>
                <w:rFonts w:hint="default" w:ascii="楷体" w:hAnsi="楷体" w:eastAsia="楷体" w:cs="楷体"/>
                <w:b w:val="0"/>
                <w:bCs/>
                <w:color w:val="000000" w:themeColor="text1"/>
                <w:kern w:val="0"/>
                <w:sz w:val="20"/>
                <w:szCs w:val="20"/>
                <w:highlight w:val="none"/>
                <w:lang w:val="en-US"/>
                <w14:textFill>
                  <w14:solidFill>
                    <w14:schemeClr w14:val="tx1"/>
                  </w14:solidFill>
                </w14:textFill>
              </w:rPr>
              <w:t>（4）巨额申购：本产品单个开放日投资者净申购额（申购申请份额总数扣除赎回申请份额总数）超过上一日日终份额20%时，即认为发生了巨额申购。当出现巨额申购时，管理人有权拒绝投资者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巨额赎回</w:t>
            </w:r>
          </w:p>
        </w:tc>
        <w:tc>
          <w:tcPr>
            <w:tcW w:w="7478" w:type="dxa"/>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本产品单个开放日投资者净赎回额（赎回申请份额总数扣除申购申请份额总数）超过上一日日终份额10%时，即认为发生了巨额赎回。管理人可以根据本产品当时的资产组合状况决定采取全额赎回、部分赎回、延期办理巨额赎回等措施。</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1.全额赎回：当管理人有能力兑付投资者的全部赎回申请时，将在申请确认日按投资者申请赎回份额执行正常赎回程序。</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2.部分赎回：当管理人认为兑付投资者的赎回申请可能会对产品的资产净值造成较大波动时，当日办理的赎回份额不得低于前一日日终理财产品总份额的10%，对其余赎回申请管理人有权暂停接受或延期办理。对该产品单个投资者的赎回申请，按照其申请占当日申请赎回总份额的比例，确定该投资者当日办理的赎回份额。（示例：某投资者当日申请赎回份额5万份，当日全部赎回申请10000万份，假设前一日日终总份额50000万份，发生巨额赎回，管理人当日办理的赎回份额5000万份，则该投资者当日确认办理的份额为5/10000*5000=2.5万份。）</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3.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4.延缓支付赎回款项：连续2个以上开放日发生巨额赎回的，管理人除有权选择全额赎回或部分赎回等措施外，对于已经接受的赎回申请，管理人可以延缓支付赎回款项，但延缓期限不得超过20个工作日。</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当采取非全额赎回措施时，管理人将在采取相关措施后3个工作日内进行信息披露。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收益分配方式</w:t>
            </w:r>
          </w:p>
        </w:tc>
        <w:tc>
          <w:tcPr>
            <w:tcW w:w="7478" w:type="dxa"/>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 w:val="0"/>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 w:val="0"/>
                <w:bCs/>
                <w:color w:val="000000" w:themeColor="text1"/>
                <w:kern w:val="0"/>
                <w:sz w:val="20"/>
                <w:szCs w:val="20"/>
                <w:highlight w:val="none"/>
                <w:lang w:val="en-US" w:eastAsia="zh-CN"/>
                <w14:textFill>
                  <w14:solidFill>
                    <w14:schemeClr w14:val="tx1"/>
                  </w14:solidFill>
                </w14:textFill>
              </w:rPr>
              <w:t>1.</w:t>
            </w:r>
            <w:r>
              <w:rPr>
                <w:rFonts w:hint="default" w:ascii="楷体" w:hAnsi="楷体" w:eastAsia="楷体" w:cs="楷体"/>
                <w:b w:val="0"/>
                <w:bCs/>
                <w:color w:val="000000" w:themeColor="text1"/>
                <w:kern w:val="0"/>
                <w:sz w:val="20"/>
                <w:szCs w:val="20"/>
                <w:highlight w:val="none"/>
                <w:lang w:val="en-US" w:eastAsia="zh-CN"/>
                <w14:textFill>
                  <w14:solidFill>
                    <w14:schemeClr w14:val="tx1"/>
                  </w14:solidFill>
                </w14:textFill>
              </w:rPr>
              <w:t>收益构成</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 w:val="0"/>
                <w:bCs/>
                <w:color w:val="000000" w:themeColor="text1"/>
                <w:kern w:val="0"/>
                <w:sz w:val="20"/>
                <w:szCs w:val="20"/>
                <w:highlight w:val="none"/>
                <w:lang w:val="en-US" w:eastAsia="zh-CN"/>
                <w14:textFill>
                  <w14:solidFill>
                    <w14:schemeClr w14:val="tx1"/>
                  </w14:solidFill>
                </w14:textFill>
              </w:rPr>
            </w:pPr>
            <w:r>
              <w:rPr>
                <w:rFonts w:hint="default" w:ascii="楷体" w:hAnsi="楷体" w:eastAsia="楷体" w:cs="楷体"/>
                <w:b w:val="0"/>
                <w:bCs/>
                <w:color w:val="000000" w:themeColor="text1"/>
                <w:kern w:val="0"/>
                <w:sz w:val="20"/>
                <w:szCs w:val="20"/>
                <w:highlight w:val="none"/>
                <w:lang w:val="en-US" w:eastAsia="zh-CN"/>
                <w14:textFill>
                  <w14:solidFill>
                    <w14:schemeClr w14:val="tx1"/>
                  </w14:solidFill>
                </w14:textFill>
              </w:rPr>
              <w:t>本理财产品的收益包括</w:t>
            </w:r>
            <w:r>
              <w:rPr>
                <w:rFonts w:hint="eastAsia" w:ascii="楷体" w:hAnsi="楷体" w:eastAsia="楷体" w:cs="楷体"/>
                <w:b w:val="0"/>
                <w:bCs/>
                <w:color w:val="000000" w:themeColor="text1"/>
                <w:kern w:val="0"/>
                <w:sz w:val="20"/>
                <w:szCs w:val="20"/>
                <w:highlight w:val="none"/>
                <w:lang w:val="en-US" w:eastAsia="zh-CN"/>
                <w14:textFill>
                  <w14:solidFill>
                    <w14:schemeClr w14:val="tx1"/>
                  </w14:solidFill>
                </w14:textFill>
              </w:rPr>
              <w:t>期间收益分配（如有）与终止收益分配（如有）</w:t>
            </w:r>
            <w:r>
              <w:rPr>
                <w:rFonts w:hint="default" w:ascii="楷体" w:hAnsi="楷体" w:eastAsia="楷体" w:cs="楷体"/>
                <w:b w:val="0"/>
                <w:bCs/>
                <w:color w:val="000000" w:themeColor="text1"/>
                <w:kern w:val="0"/>
                <w:sz w:val="20"/>
                <w:szCs w:val="20"/>
                <w:highlight w:val="none"/>
                <w:lang w:val="en-US" w:eastAsia="zh-CN"/>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 w:val="0"/>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 w:val="0"/>
                <w:bCs/>
                <w:color w:val="000000" w:themeColor="text1"/>
                <w:kern w:val="0"/>
                <w:sz w:val="20"/>
                <w:szCs w:val="20"/>
                <w:highlight w:val="none"/>
                <w:lang w:val="en-US" w:eastAsia="zh-CN"/>
                <w14:textFill>
                  <w14:solidFill>
                    <w14:schemeClr w14:val="tx1"/>
                  </w14:solidFill>
                </w14:textFill>
              </w:rPr>
              <w:t>（1）期间分配</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 w:val="0"/>
                <w:bCs/>
                <w:color w:val="000000" w:themeColor="text1"/>
                <w:kern w:val="0"/>
                <w:sz w:val="20"/>
                <w:szCs w:val="20"/>
                <w:highlight w:val="none"/>
                <w:lang w:val="en-US" w:eastAsia="zh-CN"/>
                <w14:textFill>
                  <w14:solidFill>
                    <w14:schemeClr w14:val="tx1"/>
                  </w14:solidFill>
                </w14:textFill>
              </w:rPr>
            </w:pPr>
            <w:r>
              <w:rPr>
                <w:rFonts w:hint="default" w:ascii="楷体" w:hAnsi="楷体" w:eastAsia="楷体" w:cs="楷体"/>
                <w:b w:val="0"/>
                <w:bCs/>
                <w:color w:val="000000" w:themeColor="text1"/>
                <w:kern w:val="0"/>
                <w:sz w:val="20"/>
                <w:szCs w:val="20"/>
                <w:highlight w:val="none"/>
                <w:lang w:val="en-US" w:eastAsia="zh-CN"/>
                <w14:textFill>
                  <w14:solidFill>
                    <w14:schemeClr w14:val="tx1"/>
                  </w14:solidFill>
                </w14:textFill>
              </w:rPr>
              <w:t>本产品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投资者资金账户。详见下文“</w:t>
            </w:r>
            <w:r>
              <w:rPr>
                <w:rFonts w:hint="eastAsia" w:ascii="楷体" w:hAnsi="楷体" w:eastAsia="楷体" w:cs="楷体"/>
                <w:b w:val="0"/>
                <w:bCs/>
                <w:color w:val="000000" w:themeColor="text1"/>
                <w:kern w:val="0"/>
                <w:sz w:val="20"/>
                <w:szCs w:val="20"/>
                <w:highlight w:val="none"/>
                <w:lang w:val="en-US" w:eastAsia="zh-CN"/>
                <w14:textFill>
                  <w14:solidFill>
                    <w14:schemeClr w14:val="tx1"/>
                  </w14:solidFill>
                </w14:textFill>
              </w:rPr>
              <w:t>期间</w:t>
            </w:r>
            <w:r>
              <w:rPr>
                <w:rFonts w:hint="default" w:ascii="楷体" w:hAnsi="楷体" w:eastAsia="楷体" w:cs="楷体"/>
                <w:b w:val="0"/>
                <w:bCs/>
                <w:color w:val="000000" w:themeColor="text1"/>
                <w:kern w:val="0"/>
                <w:sz w:val="20"/>
                <w:szCs w:val="20"/>
                <w:highlight w:val="none"/>
                <w:lang w:val="en-US" w:eastAsia="zh-CN"/>
                <w14:textFill>
                  <w14:solidFill>
                    <w14:schemeClr w14:val="tx1"/>
                  </w14:solidFill>
                </w14:textFill>
              </w:rPr>
              <w:t>收益分配”。</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 w:val="0"/>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 w:val="0"/>
                <w:bCs/>
                <w:color w:val="000000" w:themeColor="text1"/>
                <w:kern w:val="0"/>
                <w:sz w:val="20"/>
                <w:szCs w:val="20"/>
                <w:highlight w:val="none"/>
                <w:lang w:val="en-US" w:eastAsia="zh-CN"/>
                <w14:textFill>
                  <w14:solidFill>
                    <w14:schemeClr w14:val="tx1"/>
                  </w14:solidFill>
                </w14:textFill>
              </w:rPr>
              <w:t>（2）终止分配</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 w:val="0"/>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 w:val="0"/>
                <w:bCs/>
                <w:color w:val="000000" w:themeColor="text1"/>
                <w:kern w:val="0"/>
                <w:sz w:val="20"/>
                <w:szCs w:val="20"/>
                <w:highlight w:val="none"/>
                <w:lang w:val="en-US" w:eastAsia="zh-CN"/>
                <w14:textFill>
                  <w14:solidFill>
                    <w14:schemeClr w14:val="tx1"/>
                  </w14:solidFill>
                </w14:textFill>
              </w:rPr>
              <w:t>产品投资运作到期，投资收益扣除相关费用后，全部分配给投资者。产品管理人将按“产品终止”中的相关约定向投资者分配理财利益（如有）。</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 w:val="0"/>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 w:val="0"/>
                <w:bCs/>
                <w:color w:val="000000" w:themeColor="text1"/>
                <w:kern w:val="0"/>
                <w:sz w:val="20"/>
                <w:szCs w:val="20"/>
                <w:highlight w:val="none"/>
                <w:lang w:val="en-US" w:eastAsia="zh-CN"/>
                <w14:textFill>
                  <w14:solidFill>
                    <w14:schemeClr w14:val="tx1"/>
                  </w14:solidFill>
                </w14:textFill>
              </w:rPr>
              <w:t>2.</w:t>
            </w:r>
            <w:r>
              <w:rPr>
                <w:rFonts w:hint="default" w:ascii="楷体" w:hAnsi="楷体" w:eastAsia="楷体" w:cs="楷体"/>
                <w:b w:val="0"/>
                <w:bCs/>
                <w:color w:val="000000" w:themeColor="text1"/>
                <w:kern w:val="0"/>
                <w:sz w:val="20"/>
                <w:szCs w:val="20"/>
                <w:highlight w:val="none"/>
                <w:lang w:val="en-US" w:eastAsia="zh-CN"/>
                <w14:textFill>
                  <w14:solidFill>
                    <w14:schemeClr w14:val="tx1"/>
                  </w14:solidFill>
                </w14:textFill>
              </w:rPr>
              <w:t>收益分配原则</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 w:val="0"/>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 w:val="0"/>
                <w:bCs/>
                <w:color w:val="000000" w:themeColor="text1"/>
                <w:kern w:val="0"/>
                <w:sz w:val="20"/>
                <w:szCs w:val="20"/>
                <w:highlight w:val="none"/>
                <w:lang w:val="en-US" w:eastAsia="zh-CN"/>
                <w14:textFill>
                  <w14:solidFill>
                    <w14:schemeClr w14:val="tx1"/>
                  </w14:solidFill>
                </w14:textFill>
              </w:rPr>
              <w:t>（1）</w:t>
            </w:r>
            <w:r>
              <w:rPr>
                <w:rFonts w:hint="default" w:ascii="楷体" w:hAnsi="楷体" w:eastAsia="楷体" w:cs="楷体"/>
                <w:b w:val="0"/>
                <w:bCs/>
                <w:color w:val="000000" w:themeColor="text1"/>
                <w:kern w:val="0"/>
                <w:sz w:val="20"/>
                <w:szCs w:val="20"/>
                <w:highlight w:val="none"/>
                <w:lang w:val="en-US" w:eastAsia="zh-CN"/>
                <w14:textFill>
                  <w14:solidFill>
                    <w14:schemeClr w14:val="tx1"/>
                  </w14:solidFill>
                </w14:textFill>
              </w:rPr>
              <w:t>收益</w:t>
            </w:r>
            <w:r>
              <w:rPr>
                <w:rFonts w:hint="eastAsia" w:ascii="楷体" w:hAnsi="楷体" w:eastAsia="楷体" w:cs="楷体"/>
                <w:b w:val="0"/>
                <w:bCs/>
                <w:color w:val="000000" w:themeColor="text1"/>
                <w:kern w:val="0"/>
                <w:sz w:val="20"/>
                <w:szCs w:val="20"/>
                <w:highlight w:val="none"/>
                <w:lang w:val="en-US" w:eastAsia="zh-CN"/>
                <w14:textFill>
                  <w14:solidFill>
                    <w14:schemeClr w14:val="tx1"/>
                  </w14:solidFill>
                </w14:textFill>
              </w:rPr>
              <w:t>分配</w:t>
            </w:r>
            <w:r>
              <w:rPr>
                <w:rFonts w:hint="default" w:ascii="楷体" w:hAnsi="楷体" w:eastAsia="楷体" w:cs="楷体"/>
                <w:b w:val="0"/>
                <w:bCs/>
                <w:color w:val="000000" w:themeColor="text1"/>
                <w:kern w:val="0"/>
                <w:sz w:val="20"/>
                <w:szCs w:val="20"/>
                <w:highlight w:val="none"/>
                <w:lang w:val="en-US" w:eastAsia="zh-CN"/>
                <w14:textFill>
                  <w14:solidFill>
                    <w14:schemeClr w14:val="tx1"/>
                  </w14:solidFill>
                </w14:textFill>
              </w:rPr>
              <w:t>采用现金分配方式；</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 w:val="0"/>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 w:val="0"/>
                <w:bCs/>
                <w:color w:val="000000" w:themeColor="text1"/>
                <w:kern w:val="0"/>
                <w:sz w:val="20"/>
                <w:szCs w:val="20"/>
                <w:highlight w:val="none"/>
                <w:lang w:val="en-US" w:eastAsia="zh-CN"/>
                <w14:textFill>
                  <w14:solidFill>
                    <w14:schemeClr w14:val="tx1"/>
                  </w14:solidFill>
                </w14:textFill>
              </w:rPr>
              <w:t>（2）</w:t>
            </w:r>
            <w:r>
              <w:rPr>
                <w:rFonts w:hint="default" w:ascii="楷体" w:hAnsi="楷体" w:eastAsia="楷体" w:cs="楷体"/>
                <w:b w:val="0"/>
                <w:bCs/>
                <w:color w:val="000000" w:themeColor="text1"/>
                <w:kern w:val="0"/>
                <w:sz w:val="20"/>
                <w:szCs w:val="20"/>
                <w:highlight w:val="none"/>
                <w:lang w:val="en-US" w:eastAsia="zh-CN"/>
                <w14:textFill>
                  <w14:solidFill>
                    <w14:schemeClr w14:val="tx1"/>
                  </w14:solidFill>
                </w14:textFill>
              </w:rPr>
              <w:t>每一产品同一份额享有同等分配权。</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 w:val="0"/>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 w:val="0"/>
                <w:bCs/>
                <w:color w:val="000000" w:themeColor="text1"/>
                <w:kern w:val="0"/>
                <w:sz w:val="20"/>
                <w:szCs w:val="20"/>
                <w:highlight w:val="none"/>
                <w:lang w:val="en-US" w:eastAsia="zh-CN"/>
                <w14:textFill>
                  <w14:solidFill>
                    <w14:schemeClr w14:val="tx1"/>
                  </w14:solidFill>
                </w14:textFill>
              </w:rPr>
              <w:t>3.收益分配的披露</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sz w:val="20"/>
                <w:szCs w:val="20"/>
                <w:highlight w:val="none"/>
                <w14:textFill>
                  <w14:solidFill>
                    <w14:schemeClr w14:val="tx1"/>
                  </w14:solidFill>
                </w14:textFill>
              </w:rPr>
            </w:pPr>
            <w:r>
              <w:rPr>
                <w:rFonts w:hint="default" w:ascii="楷体" w:hAnsi="楷体" w:eastAsia="楷体" w:cs="楷体"/>
                <w:b w:val="0"/>
                <w:bCs/>
                <w:color w:val="000000" w:themeColor="text1"/>
                <w:kern w:val="0"/>
                <w:sz w:val="20"/>
                <w:szCs w:val="20"/>
                <w:highlight w:val="none"/>
                <w:lang w:val="en-US" w:eastAsia="zh-CN"/>
                <w14:textFill>
                  <w14:solidFill>
                    <w14:schemeClr w14:val="tx1"/>
                  </w14:solidFill>
                </w14:textFill>
              </w:rPr>
              <w:t>如</w:t>
            </w:r>
            <w:r>
              <w:rPr>
                <w:rFonts w:hint="eastAsia" w:ascii="楷体" w:hAnsi="楷体" w:eastAsia="楷体" w:cs="楷体"/>
                <w:b w:val="0"/>
                <w:bCs/>
                <w:color w:val="000000" w:themeColor="text1"/>
                <w:kern w:val="0"/>
                <w:sz w:val="20"/>
                <w:szCs w:val="20"/>
                <w:highlight w:val="none"/>
                <w:lang w:val="en-US" w:eastAsia="zh-CN"/>
                <w14:textFill>
                  <w14:solidFill>
                    <w14:schemeClr w14:val="tx1"/>
                  </w14:solidFill>
                </w14:textFill>
              </w:rPr>
              <w:t>本</w:t>
            </w:r>
            <w:r>
              <w:rPr>
                <w:rFonts w:hint="default" w:ascii="楷体" w:hAnsi="楷体" w:eastAsia="楷体" w:cs="楷体"/>
                <w:b w:val="0"/>
                <w:bCs/>
                <w:color w:val="000000" w:themeColor="text1"/>
                <w:kern w:val="0"/>
                <w:sz w:val="20"/>
                <w:szCs w:val="20"/>
                <w:highlight w:val="none"/>
                <w:lang w:val="en-US" w:eastAsia="zh-CN"/>
                <w14:textFill>
                  <w14:solidFill>
                    <w14:schemeClr w14:val="tx1"/>
                  </w14:solidFill>
                </w14:textFill>
              </w:rPr>
              <w:t>产品</w:t>
            </w:r>
            <w:r>
              <w:rPr>
                <w:rFonts w:hint="eastAsia" w:ascii="楷体" w:hAnsi="楷体" w:eastAsia="楷体" w:cs="楷体"/>
                <w:b w:val="0"/>
                <w:bCs/>
                <w:color w:val="000000" w:themeColor="text1"/>
                <w:kern w:val="0"/>
                <w:sz w:val="20"/>
                <w:szCs w:val="20"/>
                <w:highlight w:val="none"/>
                <w:lang w:val="en-US" w:eastAsia="zh-CN"/>
                <w14:textFill>
                  <w14:solidFill>
                    <w14:schemeClr w14:val="tx1"/>
                  </w14:solidFill>
                </w14:textFill>
              </w:rPr>
              <w:t>进行</w:t>
            </w:r>
            <w:r>
              <w:rPr>
                <w:rFonts w:hint="default" w:ascii="楷体" w:hAnsi="楷体" w:eastAsia="楷体" w:cs="楷体"/>
                <w:b w:val="0"/>
                <w:bCs/>
                <w:color w:val="000000" w:themeColor="text1"/>
                <w:kern w:val="0"/>
                <w:sz w:val="20"/>
                <w:szCs w:val="20"/>
                <w:highlight w:val="none"/>
                <w:lang w:val="en-US" w:eastAsia="zh-CN"/>
                <w14:textFill>
                  <w14:solidFill>
                    <w14:schemeClr w14:val="tx1"/>
                  </w14:solidFill>
                </w14:textFill>
              </w:rPr>
              <w:t>收益分配</w:t>
            </w:r>
            <w:r>
              <w:rPr>
                <w:rFonts w:hint="eastAsia" w:ascii="楷体" w:hAnsi="楷体" w:eastAsia="楷体" w:cs="楷体"/>
                <w:b w:val="0"/>
                <w:bCs/>
                <w:color w:val="000000" w:themeColor="text1"/>
                <w:kern w:val="0"/>
                <w:sz w:val="20"/>
                <w:szCs w:val="20"/>
                <w:highlight w:val="none"/>
                <w:lang w:val="en-US" w:eastAsia="zh-CN"/>
                <w14:textFill>
                  <w14:solidFill>
                    <w14:schemeClr w14:val="tx1"/>
                  </w14:solidFill>
                </w14:textFill>
              </w:rPr>
              <w:t>，或产品存续期内收益分配方案发生变更，管理人将按“信息披露”约定的方式向投资者进行披露。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56" w:type="dxa"/>
            <w:gridSpan w:val="2"/>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（三）产品性质与类型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产品募集方式</w:t>
            </w:r>
          </w:p>
        </w:tc>
        <w:tc>
          <w:tcPr>
            <w:tcW w:w="7478" w:type="dxa"/>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产品投资性质</w:t>
            </w:r>
          </w:p>
        </w:tc>
        <w:tc>
          <w:tcPr>
            <w:tcW w:w="7478" w:type="dxa"/>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产品运作模式</w:t>
            </w:r>
          </w:p>
        </w:tc>
        <w:tc>
          <w:tcPr>
            <w:tcW w:w="7478" w:type="dxa"/>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产品运作模式（二级）</w:t>
            </w:r>
          </w:p>
        </w:tc>
        <w:tc>
          <w:tcPr>
            <w:tcW w:w="7478" w:type="dxa"/>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定开型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产品风险等级</w:t>
            </w:r>
          </w:p>
        </w:tc>
        <w:tc>
          <w:tcPr>
            <w:tcW w:w="7478" w:type="dxa"/>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14:textFill>
                  <w14:solidFill>
                    <w14:schemeClr w14:val="tx1"/>
                  </w14:solidFill>
                </w14:textFill>
              </w:rPr>
            </w:pPr>
            <w:r>
              <w:rPr>
                <w:rFonts w:hint="eastAsia" w:ascii="楷体" w:hAnsi="楷体" w:eastAsia="楷体" w:cs="楷体"/>
                <w:bCs/>
                <w:color w:val="000000" w:themeColor="text1"/>
                <w:kern w:val="0"/>
                <w:sz w:val="20"/>
                <w:szCs w:val="20"/>
                <w:highlight w:val="none"/>
                <w14:textFill>
                  <w14:solidFill>
                    <w14:schemeClr w14:val="tx1"/>
                  </w14:solidFill>
                </w14:textFill>
              </w:rPr>
              <w:t>二级</w:t>
            </w:r>
          </w:p>
          <w:p>
            <w:pPr>
              <w:pStyle w:val="15"/>
              <w:keepNext w:val="0"/>
              <w:keepLines w:val="0"/>
              <w:pageBreakBefore w:val="0"/>
              <w:widowControl w:val="0"/>
              <w:kinsoku/>
              <w:wordWrap/>
              <w:overflowPunct/>
              <w:topLinePunct w:val="0"/>
              <w:autoSpaceDE/>
              <w:autoSpaceDN/>
              <w:bidi w:val="0"/>
              <w:adjustRightInd/>
              <w:snapToGrid/>
              <w:spacing w:line="240" w:lineRule="auto"/>
              <w:ind w:left="0" w:firstLine="0"/>
              <w:textAlignment w:val="auto"/>
              <w:rPr>
                <w:rFonts w:hint="eastAsia" w:ascii="楷体" w:hAnsi="楷体" w:eastAsia="楷体" w:cs="楷体"/>
                <w:color w:val="auto"/>
                <w:kern w:val="2"/>
                <w:sz w:val="20"/>
                <w:szCs w:val="20"/>
                <w:highlight w:val="none"/>
                <w:lang w:val="en-US" w:eastAsia="zh-CN" w:bidi="ar-SA"/>
              </w:rPr>
            </w:pPr>
            <w:r>
              <w:rPr>
                <w:rFonts w:hint="eastAsia" w:ascii="楷体" w:hAnsi="楷体" w:eastAsia="楷体" w:cs="楷体"/>
                <w:color w:val="auto"/>
                <w:kern w:val="2"/>
                <w:sz w:val="20"/>
                <w:szCs w:val="20"/>
                <w:highlight w:val="none"/>
                <w:lang w:val="en-US" w:eastAsia="zh-CN" w:bidi="ar-SA"/>
              </w:rPr>
              <w:t>（重要提示：该等级为理财产品发行机构评定结果，该产品通过代理销售机构渠道销售的，理财产品评级应当以代理销售机构最终披露的评级结果为准。）</w:t>
            </w:r>
          </w:p>
          <w:p>
            <w:pPr>
              <w:keepNext w:val="0"/>
              <w:keepLines w:val="0"/>
              <w:pageBreakBefore w:val="0"/>
              <w:numPr>
                <w:ilvl w:val="0"/>
                <w:numId w:val="0"/>
              </w:numPr>
              <w:kinsoku/>
              <w:wordWrap/>
              <w:overflowPunct w:val="0"/>
              <w:topLinePunct w:val="0"/>
              <w:autoSpaceDE w:val="0"/>
              <w:autoSpaceDN w:val="0"/>
              <w:bidi w:val="0"/>
              <w:adjustRightInd/>
              <w:snapToGrid w:val="0"/>
              <w:spacing w:line="240" w:lineRule="auto"/>
              <w:ind w:left="0" w:leftChars="0" w:right="0" w:firstLine="0" w:firstLineChars="0"/>
              <w:textAlignment w:val="auto"/>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lang w:val="en-US" w:eastAsia="zh-CN"/>
              </w:rPr>
              <w:t>1.</w:t>
            </w:r>
            <w:r>
              <w:rPr>
                <w:rFonts w:hint="eastAsia" w:ascii="楷体" w:hAnsi="楷体" w:eastAsia="楷体" w:cs="楷体"/>
                <w:color w:val="auto"/>
                <w:sz w:val="20"/>
                <w:szCs w:val="20"/>
                <w:highlight w:val="none"/>
              </w:rPr>
              <w:t>本理财产品经苏银理财内部风险评级为</w:t>
            </w:r>
            <w:r>
              <w:rPr>
                <w:rFonts w:hint="eastAsia" w:ascii="楷体" w:hAnsi="楷体" w:eastAsia="楷体" w:cs="楷体"/>
                <w:b/>
                <w:color w:val="auto"/>
                <w:sz w:val="20"/>
                <w:szCs w:val="20"/>
                <w:highlight w:val="none"/>
                <w:u w:val="single"/>
                <w:lang w:val="en-US" w:eastAsia="zh-CN"/>
              </w:rPr>
              <w:t>★★二级，适合中低风险型投资者，适合投资策略为稳健发展的投资者</w:t>
            </w:r>
            <w:r>
              <w:rPr>
                <w:rFonts w:hint="eastAsia" w:ascii="楷体" w:hAnsi="楷体" w:eastAsia="楷体" w:cs="楷体"/>
                <w:color w:val="auto"/>
                <w:sz w:val="20"/>
                <w:szCs w:val="20"/>
                <w:highlight w:val="none"/>
              </w:rPr>
              <w:t>。本评级为管理人内部评级，由管理人根据理财产品的投资组合、同类产品过往业绩和风险状况等因素，对理财产品进行评级，仅供投资者参考。理财产品存续期间，若市场环境等因素发生变化，在符合监管政策要求的前提下管理人可对产品风险评级进行调整，并及时将调整情况向投资者披露。</w:t>
            </w:r>
          </w:p>
          <w:tbl>
            <w:tblPr>
              <w:tblStyle w:val="16"/>
              <w:tblW w:w="67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8"/>
              <w:gridCol w:w="1439"/>
              <w:gridCol w:w="2040"/>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58" w:type="dxa"/>
                  <w:vAlign w:val="center"/>
                </w:tcPr>
                <w:p>
                  <w:pPr>
                    <w:keepNext w:val="0"/>
                    <w:keepLines w:val="0"/>
                    <w:pageBreakBefore w:val="0"/>
                    <w:kinsoku/>
                    <w:wordWrap/>
                    <w:overflowPunct w:val="0"/>
                    <w:topLinePunct w:val="0"/>
                    <w:autoSpaceDE w:val="0"/>
                    <w:autoSpaceDN w:val="0"/>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风险星级</w:t>
                  </w:r>
                </w:p>
              </w:tc>
              <w:tc>
                <w:tcPr>
                  <w:tcW w:w="1439" w:type="dxa"/>
                  <w:vAlign w:val="center"/>
                </w:tcPr>
                <w:p>
                  <w:pPr>
                    <w:keepNext w:val="0"/>
                    <w:keepLines w:val="0"/>
                    <w:pageBreakBefore w:val="0"/>
                    <w:kinsoku/>
                    <w:wordWrap/>
                    <w:overflowPunct w:val="0"/>
                    <w:topLinePunct w:val="0"/>
                    <w:autoSpaceDE w:val="0"/>
                    <w:autoSpaceDN w:val="0"/>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风险级别</w:t>
                  </w:r>
                </w:p>
              </w:tc>
              <w:tc>
                <w:tcPr>
                  <w:tcW w:w="2040" w:type="dxa"/>
                  <w:vAlign w:val="center"/>
                </w:tcPr>
                <w:p>
                  <w:pPr>
                    <w:keepNext w:val="0"/>
                    <w:keepLines w:val="0"/>
                    <w:pageBreakBefore w:val="0"/>
                    <w:kinsoku/>
                    <w:wordWrap/>
                    <w:overflowPunct w:val="0"/>
                    <w:topLinePunct w:val="0"/>
                    <w:autoSpaceDE w:val="0"/>
                    <w:autoSpaceDN w:val="0"/>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适合的投资者类别</w:t>
                  </w:r>
                </w:p>
              </w:tc>
              <w:tc>
                <w:tcPr>
                  <w:tcW w:w="1680" w:type="dxa"/>
                  <w:vAlign w:val="center"/>
                </w:tcPr>
                <w:p>
                  <w:pPr>
                    <w:keepNext w:val="0"/>
                    <w:keepLines w:val="0"/>
                    <w:pageBreakBefore w:val="0"/>
                    <w:kinsoku/>
                    <w:wordWrap/>
                    <w:overflowPunct w:val="0"/>
                    <w:topLinePunct w:val="0"/>
                    <w:autoSpaceDE w:val="0"/>
                    <w:autoSpaceDN w:val="0"/>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58" w:type="dxa"/>
                  <w:tcBorders>
                    <w:bottom w:val="single" w:color="auto" w:sz="4" w:space="0"/>
                  </w:tcBorders>
                  <w:vAlign w:val="center"/>
                </w:tcPr>
                <w:p>
                  <w:pPr>
                    <w:keepNext w:val="0"/>
                    <w:keepLines w:val="0"/>
                    <w:pageBreakBefore w:val="0"/>
                    <w:kinsoku/>
                    <w:wordWrap/>
                    <w:overflowPunct w:val="0"/>
                    <w:topLinePunct w:val="0"/>
                    <w:autoSpaceDE w:val="0"/>
                    <w:autoSpaceDN w:val="0"/>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w:t>
                  </w:r>
                </w:p>
              </w:tc>
              <w:tc>
                <w:tcPr>
                  <w:tcW w:w="1439" w:type="dxa"/>
                  <w:tcBorders>
                    <w:bottom w:val="single" w:color="auto" w:sz="4" w:space="0"/>
                  </w:tcBorders>
                  <w:vAlign w:val="center"/>
                </w:tcPr>
                <w:p>
                  <w:pPr>
                    <w:keepNext w:val="0"/>
                    <w:keepLines w:val="0"/>
                    <w:pageBreakBefore w:val="0"/>
                    <w:kinsoku/>
                    <w:wordWrap/>
                    <w:overflowPunct w:val="0"/>
                    <w:topLinePunct w:val="0"/>
                    <w:autoSpaceDE w:val="0"/>
                    <w:autoSpaceDN w:val="0"/>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一级（PR1）</w:t>
                  </w:r>
                </w:p>
              </w:tc>
              <w:tc>
                <w:tcPr>
                  <w:tcW w:w="2040" w:type="dxa"/>
                  <w:tcBorders>
                    <w:bottom w:val="single" w:color="auto" w:sz="4" w:space="0"/>
                  </w:tcBorders>
                  <w:vAlign w:val="center"/>
                </w:tcPr>
                <w:p>
                  <w:pPr>
                    <w:keepNext w:val="0"/>
                    <w:keepLines w:val="0"/>
                    <w:pageBreakBefore w:val="0"/>
                    <w:kinsoku/>
                    <w:wordWrap/>
                    <w:overflowPunct w:val="0"/>
                    <w:topLinePunct w:val="0"/>
                    <w:autoSpaceDE w:val="0"/>
                    <w:autoSpaceDN w:val="0"/>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低风险型</w:t>
                  </w:r>
                </w:p>
              </w:tc>
              <w:tc>
                <w:tcPr>
                  <w:tcW w:w="1680" w:type="dxa"/>
                  <w:tcBorders>
                    <w:bottom w:val="single" w:color="auto" w:sz="4" w:space="0"/>
                  </w:tcBorders>
                  <w:vAlign w:val="center"/>
                </w:tcPr>
                <w:p>
                  <w:pPr>
                    <w:keepNext w:val="0"/>
                    <w:keepLines w:val="0"/>
                    <w:pageBreakBefore w:val="0"/>
                    <w:kinsoku/>
                    <w:wordWrap/>
                    <w:overflowPunct w:val="0"/>
                    <w:topLinePunct w:val="0"/>
                    <w:autoSpaceDE w:val="0"/>
                    <w:autoSpaceDN w:val="0"/>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58" w:type="dxa"/>
                  <w:vAlign w:val="center"/>
                </w:tcPr>
                <w:p>
                  <w:pPr>
                    <w:keepNext w:val="0"/>
                    <w:keepLines w:val="0"/>
                    <w:pageBreakBefore w:val="0"/>
                    <w:kinsoku/>
                    <w:wordWrap/>
                    <w:overflowPunct w:val="0"/>
                    <w:topLinePunct w:val="0"/>
                    <w:autoSpaceDE w:val="0"/>
                    <w:autoSpaceDN w:val="0"/>
                    <w:bidi w:val="0"/>
                    <w:adjustRightInd/>
                    <w:snapToGrid w:val="0"/>
                    <w:spacing w:line="240" w:lineRule="auto"/>
                    <w:ind w:left="0" w:right="0" w:firstLine="0" w:firstLineChars="0"/>
                    <w:jc w:val="center"/>
                    <w:textAlignment w:val="auto"/>
                    <w:rPr>
                      <w:rFonts w:hint="eastAsia" w:ascii="楷体" w:hAnsi="楷体" w:eastAsia="楷体" w:cs="楷体"/>
                      <w:b w:val="0"/>
                      <w:bCs/>
                      <w:color w:val="auto"/>
                      <w:kern w:val="0"/>
                      <w:sz w:val="20"/>
                      <w:szCs w:val="20"/>
                      <w:highlight w:val="none"/>
                    </w:rPr>
                  </w:pPr>
                  <w:r>
                    <w:rPr>
                      <w:rFonts w:hint="eastAsia" w:ascii="楷体" w:hAnsi="楷体" w:eastAsia="楷体" w:cs="楷体"/>
                      <w:b w:val="0"/>
                      <w:bCs/>
                      <w:color w:val="auto"/>
                      <w:kern w:val="0"/>
                      <w:sz w:val="20"/>
                      <w:szCs w:val="20"/>
                      <w:highlight w:val="none"/>
                    </w:rPr>
                    <w:t>★★</w:t>
                  </w:r>
                </w:p>
              </w:tc>
              <w:tc>
                <w:tcPr>
                  <w:tcW w:w="1439" w:type="dxa"/>
                  <w:vAlign w:val="center"/>
                </w:tcPr>
                <w:p>
                  <w:pPr>
                    <w:keepNext w:val="0"/>
                    <w:keepLines w:val="0"/>
                    <w:pageBreakBefore w:val="0"/>
                    <w:kinsoku/>
                    <w:wordWrap/>
                    <w:overflowPunct w:val="0"/>
                    <w:topLinePunct w:val="0"/>
                    <w:autoSpaceDE w:val="0"/>
                    <w:autoSpaceDN w:val="0"/>
                    <w:bidi w:val="0"/>
                    <w:adjustRightInd/>
                    <w:snapToGrid w:val="0"/>
                    <w:spacing w:line="240" w:lineRule="auto"/>
                    <w:ind w:left="0" w:right="0" w:firstLine="0" w:firstLineChars="0"/>
                    <w:jc w:val="center"/>
                    <w:textAlignment w:val="auto"/>
                    <w:rPr>
                      <w:rFonts w:hint="eastAsia" w:ascii="楷体" w:hAnsi="楷体" w:eastAsia="楷体" w:cs="楷体"/>
                      <w:b w:val="0"/>
                      <w:bCs/>
                      <w:color w:val="auto"/>
                      <w:kern w:val="0"/>
                      <w:sz w:val="20"/>
                      <w:szCs w:val="20"/>
                      <w:highlight w:val="none"/>
                    </w:rPr>
                  </w:pPr>
                  <w:r>
                    <w:rPr>
                      <w:rFonts w:hint="eastAsia" w:ascii="楷体" w:hAnsi="楷体" w:eastAsia="楷体" w:cs="楷体"/>
                      <w:b w:val="0"/>
                      <w:bCs/>
                      <w:color w:val="auto"/>
                      <w:kern w:val="0"/>
                      <w:sz w:val="20"/>
                      <w:szCs w:val="20"/>
                      <w:highlight w:val="none"/>
                    </w:rPr>
                    <w:t>二级（PR2）</w:t>
                  </w:r>
                </w:p>
              </w:tc>
              <w:tc>
                <w:tcPr>
                  <w:tcW w:w="2040" w:type="dxa"/>
                  <w:vAlign w:val="center"/>
                </w:tcPr>
                <w:p>
                  <w:pPr>
                    <w:keepNext w:val="0"/>
                    <w:keepLines w:val="0"/>
                    <w:pageBreakBefore w:val="0"/>
                    <w:kinsoku/>
                    <w:wordWrap/>
                    <w:overflowPunct w:val="0"/>
                    <w:topLinePunct w:val="0"/>
                    <w:autoSpaceDE w:val="0"/>
                    <w:autoSpaceDN w:val="0"/>
                    <w:bidi w:val="0"/>
                    <w:adjustRightInd/>
                    <w:snapToGrid w:val="0"/>
                    <w:spacing w:line="240" w:lineRule="auto"/>
                    <w:ind w:left="0" w:right="0" w:firstLine="0" w:firstLineChars="0"/>
                    <w:jc w:val="center"/>
                    <w:textAlignment w:val="auto"/>
                    <w:rPr>
                      <w:rFonts w:hint="eastAsia" w:ascii="楷体" w:hAnsi="楷体" w:eastAsia="楷体" w:cs="楷体"/>
                      <w:b w:val="0"/>
                      <w:bCs/>
                      <w:color w:val="auto"/>
                      <w:kern w:val="0"/>
                      <w:sz w:val="20"/>
                      <w:szCs w:val="20"/>
                      <w:highlight w:val="none"/>
                    </w:rPr>
                  </w:pPr>
                  <w:r>
                    <w:rPr>
                      <w:rFonts w:hint="eastAsia" w:ascii="楷体" w:hAnsi="楷体" w:eastAsia="楷体" w:cs="楷体"/>
                      <w:b w:val="0"/>
                      <w:bCs/>
                      <w:color w:val="auto"/>
                      <w:kern w:val="0"/>
                      <w:sz w:val="20"/>
                      <w:szCs w:val="20"/>
                      <w:highlight w:val="none"/>
                    </w:rPr>
                    <w:t>中低风险型</w:t>
                  </w:r>
                </w:p>
              </w:tc>
              <w:tc>
                <w:tcPr>
                  <w:tcW w:w="1680" w:type="dxa"/>
                  <w:vAlign w:val="center"/>
                </w:tcPr>
                <w:p>
                  <w:pPr>
                    <w:keepNext w:val="0"/>
                    <w:keepLines w:val="0"/>
                    <w:pageBreakBefore w:val="0"/>
                    <w:kinsoku/>
                    <w:wordWrap/>
                    <w:overflowPunct w:val="0"/>
                    <w:topLinePunct w:val="0"/>
                    <w:autoSpaceDE w:val="0"/>
                    <w:autoSpaceDN w:val="0"/>
                    <w:bidi w:val="0"/>
                    <w:adjustRightInd/>
                    <w:snapToGrid w:val="0"/>
                    <w:spacing w:line="240" w:lineRule="auto"/>
                    <w:ind w:left="0" w:right="0" w:firstLine="0" w:firstLineChars="0"/>
                    <w:jc w:val="center"/>
                    <w:textAlignment w:val="auto"/>
                    <w:rPr>
                      <w:rFonts w:hint="eastAsia" w:ascii="楷体" w:hAnsi="楷体" w:eastAsia="楷体" w:cs="楷体"/>
                      <w:b w:val="0"/>
                      <w:bCs/>
                      <w:color w:val="auto"/>
                      <w:kern w:val="0"/>
                      <w:sz w:val="20"/>
                      <w:szCs w:val="20"/>
                      <w:highlight w:val="none"/>
                    </w:rPr>
                  </w:pPr>
                  <w:r>
                    <w:rPr>
                      <w:rFonts w:hint="eastAsia" w:ascii="楷体" w:hAnsi="楷体" w:eastAsia="楷体" w:cs="楷体"/>
                      <w:b w:val="0"/>
                      <w:bCs/>
                      <w:color w:val="auto"/>
                      <w:kern w:val="0"/>
                      <w:sz w:val="20"/>
                      <w:szCs w:val="20"/>
                      <w:highlight w:val="none"/>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58" w:type="dxa"/>
                  <w:vAlign w:val="center"/>
                </w:tcPr>
                <w:p>
                  <w:pPr>
                    <w:keepNext w:val="0"/>
                    <w:keepLines w:val="0"/>
                    <w:pageBreakBefore w:val="0"/>
                    <w:kinsoku/>
                    <w:wordWrap/>
                    <w:overflowPunct w:val="0"/>
                    <w:topLinePunct w:val="0"/>
                    <w:autoSpaceDE w:val="0"/>
                    <w:autoSpaceDN w:val="0"/>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w:t>
                  </w:r>
                </w:p>
              </w:tc>
              <w:tc>
                <w:tcPr>
                  <w:tcW w:w="1439" w:type="dxa"/>
                  <w:vAlign w:val="center"/>
                </w:tcPr>
                <w:p>
                  <w:pPr>
                    <w:keepNext w:val="0"/>
                    <w:keepLines w:val="0"/>
                    <w:pageBreakBefore w:val="0"/>
                    <w:kinsoku/>
                    <w:wordWrap/>
                    <w:overflowPunct w:val="0"/>
                    <w:topLinePunct w:val="0"/>
                    <w:autoSpaceDE w:val="0"/>
                    <w:autoSpaceDN w:val="0"/>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三级（PR3）</w:t>
                  </w:r>
                </w:p>
              </w:tc>
              <w:tc>
                <w:tcPr>
                  <w:tcW w:w="2040" w:type="dxa"/>
                  <w:vAlign w:val="center"/>
                </w:tcPr>
                <w:p>
                  <w:pPr>
                    <w:keepNext w:val="0"/>
                    <w:keepLines w:val="0"/>
                    <w:pageBreakBefore w:val="0"/>
                    <w:kinsoku/>
                    <w:wordWrap/>
                    <w:overflowPunct w:val="0"/>
                    <w:topLinePunct w:val="0"/>
                    <w:autoSpaceDE w:val="0"/>
                    <w:autoSpaceDN w:val="0"/>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中风险型</w:t>
                  </w:r>
                </w:p>
              </w:tc>
              <w:tc>
                <w:tcPr>
                  <w:tcW w:w="1680" w:type="dxa"/>
                  <w:vAlign w:val="center"/>
                </w:tcPr>
                <w:p>
                  <w:pPr>
                    <w:keepNext w:val="0"/>
                    <w:keepLines w:val="0"/>
                    <w:pageBreakBefore w:val="0"/>
                    <w:kinsoku/>
                    <w:wordWrap/>
                    <w:overflowPunct w:val="0"/>
                    <w:topLinePunct w:val="0"/>
                    <w:autoSpaceDE w:val="0"/>
                    <w:autoSpaceDN w:val="0"/>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58" w:type="dxa"/>
                  <w:vAlign w:val="center"/>
                </w:tcPr>
                <w:p>
                  <w:pPr>
                    <w:keepNext w:val="0"/>
                    <w:keepLines w:val="0"/>
                    <w:pageBreakBefore w:val="0"/>
                    <w:kinsoku/>
                    <w:wordWrap/>
                    <w:overflowPunct w:val="0"/>
                    <w:topLinePunct w:val="0"/>
                    <w:autoSpaceDE w:val="0"/>
                    <w:autoSpaceDN w:val="0"/>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w:t>
                  </w:r>
                </w:p>
              </w:tc>
              <w:tc>
                <w:tcPr>
                  <w:tcW w:w="1439" w:type="dxa"/>
                  <w:vAlign w:val="center"/>
                </w:tcPr>
                <w:p>
                  <w:pPr>
                    <w:keepNext w:val="0"/>
                    <w:keepLines w:val="0"/>
                    <w:pageBreakBefore w:val="0"/>
                    <w:kinsoku/>
                    <w:wordWrap/>
                    <w:overflowPunct w:val="0"/>
                    <w:topLinePunct w:val="0"/>
                    <w:autoSpaceDE w:val="0"/>
                    <w:autoSpaceDN w:val="0"/>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四级（PR4）</w:t>
                  </w:r>
                </w:p>
              </w:tc>
              <w:tc>
                <w:tcPr>
                  <w:tcW w:w="2040" w:type="dxa"/>
                  <w:vAlign w:val="center"/>
                </w:tcPr>
                <w:p>
                  <w:pPr>
                    <w:keepNext w:val="0"/>
                    <w:keepLines w:val="0"/>
                    <w:pageBreakBefore w:val="0"/>
                    <w:kinsoku/>
                    <w:wordWrap/>
                    <w:overflowPunct w:val="0"/>
                    <w:topLinePunct w:val="0"/>
                    <w:autoSpaceDE w:val="0"/>
                    <w:autoSpaceDN w:val="0"/>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中高风险型</w:t>
                  </w:r>
                </w:p>
              </w:tc>
              <w:tc>
                <w:tcPr>
                  <w:tcW w:w="1680" w:type="dxa"/>
                  <w:vAlign w:val="center"/>
                </w:tcPr>
                <w:p>
                  <w:pPr>
                    <w:keepNext w:val="0"/>
                    <w:keepLines w:val="0"/>
                    <w:pageBreakBefore w:val="0"/>
                    <w:kinsoku/>
                    <w:wordWrap/>
                    <w:overflowPunct w:val="0"/>
                    <w:topLinePunct w:val="0"/>
                    <w:autoSpaceDE w:val="0"/>
                    <w:autoSpaceDN w:val="0"/>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58" w:type="dxa"/>
                  <w:vAlign w:val="center"/>
                </w:tcPr>
                <w:p>
                  <w:pPr>
                    <w:keepNext w:val="0"/>
                    <w:keepLines w:val="0"/>
                    <w:pageBreakBefore w:val="0"/>
                    <w:kinsoku/>
                    <w:wordWrap/>
                    <w:overflowPunct w:val="0"/>
                    <w:topLinePunct w:val="0"/>
                    <w:autoSpaceDE w:val="0"/>
                    <w:autoSpaceDN w:val="0"/>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w:t>
                  </w:r>
                </w:p>
              </w:tc>
              <w:tc>
                <w:tcPr>
                  <w:tcW w:w="1439" w:type="dxa"/>
                  <w:vAlign w:val="center"/>
                </w:tcPr>
                <w:p>
                  <w:pPr>
                    <w:keepNext w:val="0"/>
                    <w:keepLines w:val="0"/>
                    <w:pageBreakBefore w:val="0"/>
                    <w:kinsoku/>
                    <w:wordWrap/>
                    <w:overflowPunct w:val="0"/>
                    <w:topLinePunct w:val="0"/>
                    <w:autoSpaceDE w:val="0"/>
                    <w:autoSpaceDN w:val="0"/>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五级（PR5）</w:t>
                  </w:r>
                </w:p>
              </w:tc>
              <w:tc>
                <w:tcPr>
                  <w:tcW w:w="2040" w:type="dxa"/>
                  <w:vAlign w:val="center"/>
                </w:tcPr>
                <w:p>
                  <w:pPr>
                    <w:keepNext w:val="0"/>
                    <w:keepLines w:val="0"/>
                    <w:pageBreakBefore w:val="0"/>
                    <w:kinsoku/>
                    <w:wordWrap/>
                    <w:overflowPunct w:val="0"/>
                    <w:topLinePunct w:val="0"/>
                    <w:autoSpaceDE w:val="0"/>
                    <w:autoSpaceDN w:val="0"/>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高风险型</w:t>
                  </w:r>
                </w:p>
              </w:tc>
              <w:tc>
                <w:tcPr>
                  <w:tcW w:w="1680" w:type="dxa"/>
                  <w:vAlign w:val="center"/>
                </w:tcPr>
                <w:p>
                  <w:pPr>
                    <w:keepNext w:val="0"/>
                    <w:keepLines w:val="0"/>
                    <w:pageBreakBefore w:val="0"/>
                    <w:kinsoku/>
                    <w:wordWrap/>
                    <w:overflowPunct w:val="0"/>
                    <w:topLinePunct w:val="0"/>
                    <w:autoSpaceDE w:val="0"/>
                    <w:autoSpaceDN w:val="0"/>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风险承受</w:t>
                  </w:r>
                </w:p>
              </w:tc>
            </w:tr>
          </w:tbl>
          <w:p>
            <w:pPr>
              <w:keepNext w:val="0"/>
              <w:keepLines w:val="0"/>
              <w:pageBreakBefore w:val="0"/>
              <w:numPr>
                <w:ilvl w:val="0"/>
                <w:numId w:val="0"/>
              </w:numPr>
              <w:kinsoku/>
              <w:wordWrap/>
              <w:overflowPunct w:val="0"/>
              <w:topLinePunct w:val="0"/>
              <w:autoSpaceDE w:val="0"/>
              <w:autoSpaceDN w:val="0"/>
              <w:bidi w:val="0"/>
              <w:adjustRightInd/>
              <w:snapToGrid w:val="0"/>
              <w:spacing w:line="240" w:lineRule="auto"/>
              <w:ind w:left="0" w:leftChars="0" w:right="0" w:firstLine="0" w:firstLineChars="0"/>
              <w:textAlignment w:val="auto"/>
              <w:rPr>
                <w:rFonts w:hint="eastAsia" w:ascii="楷体" w:hAnsi="楷体" w:eastAsia="楷体" w:cs="楷体"/>
                <w:b/>
                <w:sz w:val="20"/>
                <w:szCs w:val="20"/>
                <w:highlight w:val="none"/>
                <w:u w:val="single"/>
              </w:rPr>
            </w:pPr>
            <w:r>
              <w:rPr>
                <w:rFonts w:hint="eastAsia" w:ascii="楷体" w:hAnsi="楷体" w:eastAsia="楷体" w:cs="楷体"/>
                <w:sz w:val="20"/>
                <w:szCs w:val="20"/>
                <w:highlight w:val="none"/>
                <w:lang w:val="en-US" w:eastAsia="zh-CN"/>
              </w:rPr>
              <w:t>2.</w:t>
            </w:r>
            <w:r>
              <w:rPr>
                <w:rFonts w:hint="eastAsia" w:ascii="楷体" w:hAnsi="楷体" w:eastAsia="楷体" w:cs="楷体"/>
                <w:sz w:val="20"/>
                <w:szCs w:val="20"/>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p>
          <w:p>
            <w:pPr>
              <w:keepNext w:val="0"/>
              <w:keepLines w:val="0"/>
              <w:pageBreakBefore w:val="0"/>
              <w:widowControl/>
              <w:kinsoku/>
              <w:wordWrap/>
              <w:overflowPunct/>
              <w:topLinePunct w:val="0"/>
              <w:autoSpaceDE/>
              <w:autoSpaceDN/>
              <w:bidi w:val="0"/>
              <w:adjustRightInd/>
              <w:snapToGrid/>
              <w:spacing w:line="240" w:lineRule="auto"/>
              <w:ind w:left="0" w:right="0"/>
              <w:jc w:val="both"/>
              <w:textAlignment w:val="center"/>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3.</w:t>
            </w:r>
            <w:r>
              <w:rPr>
                <w:rFonts w:hint="eastAsia" w:ascii="楷体" w:hAnsi="楷体" w:eastAsia="楷体" w:cs="楷体"/>
                <w:bCs/>
                <w:color w:val="000000" w:themeColor="text1"/>
                <w:kern w:val="0"/>
                <w:sz w:val="20"/>
                <w:szCs w:val="20"/>
                <w:highlight w:val="none"/>
                <w14:textFill>
                  <w14:solidFill>
                    <w14:schemeClr w14:val="tx1"/>
                  </w14:solidFill>
                </w14:textFill>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themeColor="text1"/>
                <w:kern w:val="0"/>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是否为现金管理类产品</w:t>
            </w:r>
          </w:p>
        </w:tc>
        <w:tc>
          <w:tcPr>
            <w:tcW w:w="7478" w:type="dxa"/>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56" w:type="dxa"/>
            <w:gridSpan w:val="2"/>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
                <w:color w:val="000000" w:themeColor="text1"/>
                <w:kern w:val="0"/>
                <w:sz w:val="20"/>
                <w:szCs w:val="20"/>
                <w:highlight w:val="none"/>
                <w14:textFill>
                  <w14:solidFill>
                    <w14:schemeClr w14:val="tx1"/>
                  </w14:solidFill>
                </w14:textFill>
              </w:rPr>
              <w:t>（四）产品期限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募集起始日期</w:t>
            </w:r>
          </w:p>
        </w:tc>
        <w:tc>
          <w:tcPr>
            <w:tcW w:w="7478" w:type="dxa"/>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2021年6月30日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募集结束日期</w:t>
            </w:r>
          </w:p>
        </w:tc>
        <w:tc>
          <w:tcPr>
            <w:tcW w:w="7478" w:type="dxa"/>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2021年7月6日</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投资者可于募集结束日交易闭市前撤销认购申请，该时点后不得撤销。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产品成立日期</w:t>
            </w:r>
          </w:p>
        </w:tc>
        <w:tc>
          <w:tcPr>
            <w:tcW w:w="7478" w:type="dxa"/>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2021年7月7日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themeColor="text1"/>
                <w:kern w:val="0"/>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产品终止日期</w:t>
            </w:r>
          </w:p>
        </w:tc>
        <w:tc>
          <w:tcPr>
            <w:tcW w:w="7478" w:type="dxa"/>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2031年7月8日</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如遇节假日，顺延至下一工作日。产品</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t>终止</w:t>
            </w:r>
            <w:r>
              <w:rPr>
                <w:rFonts w:hint="eastAsia" w:ascii="楷体" w:hAnsi="楷体" w:eastAsia="楷体" w:cs="楷体"/>
                <w:bCs/>
                <w:color w:val="000000" w:themeColor="text1"/>
                <w:sz w:val="20"/>
                <w:szCs w:val="20"/>
                <w:highlight w:val="none"/>
                <w14:textFill>
                  <w14:solidFill>
                    <w14:schemeClr w14:val="tx1"/>
                  </w14:solidFill>
                </w14:textFill>
              </w:rPr>
              <w:t>日受制于提前终止、延期终止条款。详见下文“产品终止”。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资金到账日</w:t>
            </w:r>
          </w:p>
        </w:tc>
        <w:tc>
          <w:tcPr>
            <w:tcW w:w="7478" w:type="dxa"/>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对于产品终止情形：T+5（此处T指产品实际终止日，5指5个工作日）。</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对于赎回情形：T+2（此处T指产品赎回确认日，2指2个工作日）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7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最短持有期限</w:t>
            </w:r>
          </w:p>
        </w:tc>
        <w:tc>
          <w:tcPr>
            <w:tcW w:w="7478" w:type="dxa"/>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themeColor="text1"/>
                <w:kern w:val="0"/>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定期开放周期</w:t>
            </w:r>
          </w:p>
        </w:tc>
        <w:tc>
          <w:tcPr>
            <w:tcW w:w="7478" w:type="dxa"/>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sz w:val="20"/>
                <w:szCs w:val="20"/>
                <w:highlight w:val="none"/>
                <w:lang w:val="en-US" w:eastAsia="zh-CN"/>
              </w:rPr>
            </w:pPr>
            <w:r>
              <w:rPr>
                <w:rFonts w:hint="eastAsia" w:ascii="楷体" w:hAnsi="楷体" w:eastAsia="楷体" w:cs="楷体"/>
                <w:b w:val="0"/>
                <w:bCs/>
                <w:color w:val="000000" w:themeColor="text1"/>
                <w:sz w:val="20"/>
                <w:szCs w:val="20"/>
                <w:highlight w:val="none"/>
                <w:lang w:val="en-US" w:eastAsia="zh-CN"/>
                <w14:textFill>
                  <w14:solidFill>
                    <w14:schemeClr w14:val="tx1"/>
                  </w14:solidFill>
                </w14:textFill>
              </w:rPr>
              <w:t>1年左右，具体以实际投资周期为准。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投资周期</w:t>
            </w:r>
          </w:p>
        </w:tc>
        <w:tc>
          <w:tcPr>
            <w:tcW w:w="7478" w:type="dxa"/>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 w:val="0"/>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 w:val="0"/>
                <w:bCs/>
                <w:color w:val="000000" w:themeColor="text1"/>
                <w:sz w:val="20"/>
                <w:szCs w:val="20"/>
                <w:highlight w:val="none"/>
                <w:lang w:val="en-US" w:eastAsia="zh-CN"/>
                <w14:textFill>
                  <w14:solidFill>
                    <w14:schemeClr w14:val="tx1"/>
                  </w14:solidFill>
                </w14:textFill>
              </w:rPr>
              <w:t>最新投资周期（2026年09月09日-2027年09月29日）</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如遇节假日，顺延至下一工作日，以理财产品实际投资周期天数为准。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56" w:type="dxa"/>
            <w:gridSpan w:val="2"/>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（五）产品费用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销售服务费率（年化）</w:t>
            </w:r>
          </w:p>
        </w:tc>
        <w:tc>
          <w:tcPr>
            <w:tcW w:w="7478" w:type="dxa"/>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eastAsia="zh-CN"/>
                <w14:textFill>
                  <w14:solidFill>
                    <w14:schemeClr w14:val="tx1"/>
                  </w14:solidFill>
                </w14:textFill>
              </w:rPr>
              <w:t>A份额：0.55%；</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eastAsia="zh-CN"/>
                <w14:textFill>
                  <w14:solidFill>
                    <w14:schemeClr w14:val="tx1"/>
                  </w14:solidFill>
                </w14:textFill>
              </w:rPr>
              <w:t>B份额：0.55%；</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eastAsia="zh-CN"/>
                <w14:textFill>
                  <w14:solidFill>
                    <w14:schemeClr w14:val="tx1"/>
                  </w14:solidFill>
                </w14:textFill>
              </w:rPr>
              <w:t>D份额：0.55%；</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eastAsia="zh-CN"/>
                <w14:textFill>
                  <w14:solidFill>
                    <w14:schemeClr w14:val="tx1"/>
                  </w14:solidFill>
                </w14:textFill>
              </w:rPr>
              <w:t>F份额：0.65%；</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eastAsia="zh-CN"/>
                <w14:textFill>
                  <w14:solidFill>
                    <w14:schemeClr w14:val="tx1"/>
                  </w14:solidFill>
                </w14:textFill>
              </w:rPr>
              <w:t>G份额：0.55%；</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eastAsia="zh-CN"/>
                <w14:textFill>
                  <w14:solidFill>
                    <w14:schemeClr w14:val="tx1"/>
                  </w14:solidFill>
                </w14:textFill>
              </w:rPr>
              <w:t>J份额：0.55%；</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eastAsia="zh-CN"/>
                <w14:textFill>
                  <w14:solidFill>
                    <w14:schemeClr w14:val="tx1"/>
                  </w14:solidFill>
                </w14:textFill>
              </w:rPr>
              <w:t>ZA份额：0.65%；</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eastAsia="zh-CN"/>
                <w14:textFill>
                  <w14:solidFill>
                    <w14:schemeClr w14:val="tx1"/>
                  </w14:solidFill>
                </w14:textFill>
              </w:rPr>
              <w:t>ZF份额：0.65%；</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eastAsia="zh-CN"/>
                <w14:textFill>
                  <w14:solidFill>
                    <w14:schemeClr w14:val="tx1"/>
                  </w14:solidFill>
                </w14:textFill>
              </w:rPr>
              <w:t>C份额：0.55%；</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eastAsia="zh-CN"/>
                <w14:textFill>
                  <w14:solidFill>
                    <w14:schemeClr w14:val="tx1"/>
                  </w14:solidFill>
                </w14:textFill>
              </w:rPr>
              <w:t>P份额：0.45%；</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eastAsia="zh-CN"/>
                <w14:textFill>
                  <w14:solidFill>
                    <w14:schemeClr w14:val="tx1"/>
                  </w14:solidFill>
                </w14:textFill>
              </w:rPr>
              <w:t>Q份额：0.55%；</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eastAsia="zh-CN"/>
                <w14:textFill>
                  <w14:solidFill>
                    <w14:schemeClr w14:val="tx1"/>
                  </w14:solidFill>
                </w14:textFill>
              </w:rPr>
              <w:t>S份额：0.67%；</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eastAsia="zh-CN"/>
                <w14:textFill>
                  <w14:solidFill>
                    <w14:schemeClr w14:val="tx1"/>
                  </w14:solidFill>
                </w14:textFill>
              </w:rPr>
              <w:t>ZN份额：0.55%；</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eastAsia="zh-CN"/>
                <w14:textFill>
                  <w14:solidFill>
                    <w14:schemeClr w14:val="tx1"/>
                  </w14:solidFill>
                </w14:textFill>
              </w:rPr>
              <w:t>ZQ份额：0.65%；</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eastAsia="zh-CN"/>
                <w14:textFill>
                  <w14:solidFill>
                    <w14:schemeClr w14:val="tx1"/>
                  </w14:solidFill>
                </w14:textFill>
              </w:rPr>
              <w:t>J2份额：0.55%；</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eastAsia="zh-CN"/>
                <w14:textFill>
                  <w14:solidFill>
                    <w14:schemeClr w14:val="tx1"/>
                  </w14:solidFill>
                </w14:textFill>
              </w:rPr>
              <w:t>GS份额：0.55%；</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eastAsia="zh-CN"/>
                <w14:textFill>
                  <w14:solidFill>
                    <w14:schemeClr w14:val="tx1"/>
                  </w14:solidFill>
                </w14:textFill>
              </w:rPr>
              <w:t>S1份额：0.65%；</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eastAsia="zh-CN"/>
                <w14:textFill>
                  <w14:solidFill>
                    <w14:schemeClr w14:val="tx1"/>
                  </w14:solidFill>
                </w14:textFill>
              </w:rPr>
              <w:t>U份额：0.60%；</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eastAsia="zh-CN"/>
                <w14:textFill>
                  <w14:solidFill>
                    <w14:schemeClr w14:val="tx1"/>
                  </w14:solidFill>
                </w14:textFill>
              </w:rPr>
              <w:t>L份额：0.52%；</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eastAsia="zh-CN"/>
                <w14:textFill>
                  <w14:solidFill>
                    <w14:schemeClr w14:val="tx1"/>
                  </w14:solidFill>
                </w14:textFill>
              </w:rPr>
              <w:t>Z份额：0.70%；</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eastAsia="zh-CN"/>
                <w14:textFill>
                  <w14:solidFill>
                    <w14:schemeClr w14:val="tx1"/>
                  </w14:solidFill>
                </w14:textFill>
              </w:rPr>
              <w:t>Z1份额：0.60%；</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eastAsia="zh-CN"/>
                <w14:textFill>
                  <w14:solidFill>
                    <w14:schemeClr w14:val="tx1"/>
                  </w14:solidFill>
                </w14:textFill>
              </w:rPr>
              <w:t>Z2份额：0.55%；</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eastAsia="zh-CN"/>
                <w14:textFill>
                  <w14:solidFill>
                    <w14:schemeClr w14:val="tx1"/>
                  </w14:solidFill>
                </w14:textFill>
              </w:rPr>
              <w:t>ZF2份额：0.60%；</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eastAsia="zh-CN"/>
                <w14:textFill>
                  <w14:solidFill>
                    <w14:schemeClr w14:val="tx1"/>
                  </w14:solidFill>
                </w14:textFill>
              </w:rPr>
              <w:t>ZF3份额：0.65%；</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eastAsia="zh-CN"/>
                <w14:textFill>
                  <w14:solidFill>
                    <w14:schemeClr w14:val="tx1"/>
                  </w14:solidFill>
                </w14:textFill>
              </w:rPr>
              <w:t>ZF4份额：0.55%；</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eastAsia="zh-CN"/>
                <w14:textFill>
                  <w14:solidFill>
                    <w14:schemeClr w14:val="tx1"/>
                  </w14:solidFill>
                </w14:textFill>
              </w:rPr>
              <w:t>ZJ份额：0.45%；</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eastAsia="zh-CN"/>
                <w14:textFill>
                  <w14:solidFill>
                    <w14:schemeClr w14:val="tx1"/>
                  </w14:solidFill>
                </w14:textFill>
              </w:rPr>
              <w:t>ZL份额：0.50%；</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eastAsia="zh-CN"/>
                <w14:textFill>
                  <w14:solidFill>
                    <w14:schemeClr w14:val="tx1"/>
                  </w14:solidFill>
                </w14:textFill>
              </w:rPr>
              <w:t>天府·优选份额：0.50%；</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eastAsia="zh-CN"/>
                <w14:textFill>
                  <w14:solidFill>
                    <w14:schemeClr w14:val="tx1"/>
                  </w14:solidFill>
                </w14:textFill>
              </w:rPr>
              <w:t>芙蓉锦程·优选份额：0.50%；</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eastAsia="zh-CN"/>
                <w14:textFill>
                  <w14:solidFill>
                    <w14:schemeClr w14:val="tx1"/>
                  </w14:solidFill>
                </w14:textFill>
              </w:rPr>
              <w:t>芙蓉锦程·优选-尊享款份额：0.40%；</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eastAsia="zh-CN"/>
                <w14:textFill>
                  <w14:solidFill>
                    <w14:schemeClr w14:val="tx1"/>
                  </w14:solidFill>
                </w14:textFill>
              </w:rPr>
              <w:t>ZC份额：0.60%；</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eastAsia="zh-CN"/>
                <w14:textFill>
                  <w14:solidFill>
                    <w14:schemeClr w14:val="tx1"/>
                  </w14:solidFill>
                </w14:textFill>
              </w:rPr>
              <w:t>ZK份额：0.50%；</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kern w:val="0"/>
                <w:sz w:val="20"/>
                <w:szCs w:val="20"/>
                <w:highlight w:val="none"/>
                <w:lang w:eastAsia="zh-CN"/>
                <w14:textFill>
                  <w14:solidFill>
                    <w14:schemeClr w14:val="tx1"/>
                  </w14:solidFill>
                </w14:textFill>
              </w:rPr>
              <w:t>Z3份额：0.60%。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托管费率（年化）</w:t>
            </w:r>
          </w:p>
        </w:tc>
        <w:tc>
          <w:tcPr>
            <w:tcW w:w="7478" w:type="dxa"/>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固定管理费率（年化）</w:t>
            </w:r>
          </w:p>
        </w:tc>
        <w:tc>
          <w:tcPr>
            <w:tcW w:w="7478" w:type="dxa"/>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A份额：0.80%；</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B份额：0.77%；</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D份额：0.65%；</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F份额：0.70%；</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G份额：0.77%；</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J份额：0.70%；</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ZA份额：0.70%；</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ZF份额：0.70%；</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C份额：0.75%；</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P份额：0.65%；</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Q份额：0.75%；</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S份额：0.65%；</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ZN份额：0.65%；</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ZQ份额：0.70%；</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J2份额：0.65%；</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GS份额：0.65%；</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S1份额：0.60%；</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U份额：0.75%；</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L份额：0.73%；</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Z份额：0.65%；</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Z1份额：0.65%；</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Z2份额：0.65%；</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ZF2份额：0.60%；</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ZF3份额：0.65%；</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ZF4份额：0.60%；</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ZJ份额：0.60%；</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ZL份额：0.70%；</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天府·优选份额：0.55%；</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芙蓉锦程·优选份额：0.55%；</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芙蓉锦程·优选-尊享款份额：0.55%；</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ZC份额：0.70%；</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ZK份额：0.70%；</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Z3份额：0.65%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浮动管理费</w:t>
            </w:r>
          </w:p>
        </w:tc>
        <w:tc>
          <w:tcPr>
            <w:tcW w:w="7478" w:type="dxa"/>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管理人按投资周期收取超额业绩报酬。若单一投资周期产品各份额实际投资收益在扣除托管费、销售服务费、投资管理费等费用后超过各份额业绩比较基准下限，则该投资周期终止日后管理人将按照超出部分的50%收取超额业绩报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认购费率</w:t>
            </w:r>
          </w:p>
        </w:tc>
        <w:tc>
          <w:tcPr>
            <w:tcW w:w="7478" w:type="dxa"/>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申购费率</w:t>
            </w:r>
          </w:p>
        </w:tc>
        <w:tc>
          <w:tcPr>
            <w:tcW w:w="7478" w:type="dxa"/>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赎回费率</w:t>
            </w:r>
          </w:p>
        </w:tc>
        <w:tc>
          <w:tcPr>
            <w:tcW w:w="7478" w:type="dxa"/>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其他费用说明</w:t>
            </w:r>
          </w:p>
        </w:tc>
        <w:tc>
          <w:tcPr>
            <w:tcW w:w="7478" w:type="dxa"/>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（一）收费项目</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本产品费用包括托管费、销售服务费、固定管理费、浮动管理费（如有）以及产品运作和清算中产生的其他费用等。</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（二）收费条件、收费标准和收费方式</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
                <w:bCs w:val="0"/>
                <w:color w:val="000000" w:themeColor="text1"/>
                <w:kern w:val="0"/>
                <w:sz w:val="20"/>
                <w:szCs w:val="20"/>
                <w:highlight w:val="none"/>
                <w:u w:val="single"/>
                <w:lang w:val="en-US" w:eastAsia="zh-CN"/>
                <w14:textFill>
                  <w14:solidFill>
                    <w14:schemeClr w14:val="tx1"/>
                  </w14:solidFill>
                </w14:textFill>
              </w:rPr>
            </w:pPr>
            <w:r>
              <w:rPr>
                <w:rFonts w:hint="eastAsia" w:ascii="楷体" w:hAnsi="楷体" w:eastAsia="楷体" w:cs="楷体"/>
                <w:b/>
                <w:bCs w:val="0"/>
                <w:color w:val="000000" w:themeColor="text1"/>
                <w:kern w:val="0"/>
                <w:sz w:val="20"/>
                <w:szCs w:val="20"/>
                <w:highlight w:val="none"/>
                <w:u w:val="single"/>
                <w:lang w:val="en-US" w:eastAsia="zh-CN"/>
                <w14:textFill>
                  <w14:solidFill>
                    <w14:schemeClr w14:val="tx1"/>
                  </w14:solidFill>
                </w14:textFill>
              </w:rPr>
              <w:t>销售服务费</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以前一自然日资产净值为基数，每日计提模式；</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公式如下：</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每日计提模式：每日计提，按管理人与销售机构约定的时间支付，每日应计提的销售服务费＝计提基数×销售服务费率÷365。</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一次性提取模式：成立日一次性提取，按管理人与销售机构约定的时间支付，每日摊销，销售服务费＝计提基数×销售服务费率×产品投资期限天数÷365。</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
                <w:bCs w:val="0"/>
                <w:color w:val="000000" w:themeColor="text1"/>
                <w:kern w:val="0"/>
                <w:sz w:val="20"/>
                <w:szCs w:val="20"/>
                <w:highlight w:val="none"/>
                <w:u w:val="single"/>
                <w:lang w:val="en-US" w:eastAsia="zh-CN"/>
                <w14:textFill>
                  <w14:solidFill>
                    <w14:schemeClr w14:val="tx1"/>
                  </w14:solidFill>
                </w14:textFill>
              </w:rPr>
            </w:pPr>
            <w:r>
              <w:rPr>
                <w:rFonts w:hint="eastAsia" w:ascii="楷体" w:hAnsi="楷体" w:eastAsia="楷体" w:cs="楷体"/>
                <w:b/>
                <w:bCs w:val="0"/>
                <w:color w:val="000000" w:themeColor="text1"/>
                <w:kern w:val="0"/>
                <w:sz w:val="20"/>
                <w:szCs w:val="20"/>
                <w:highlight w:val="none"/>
                <w:u w:val="single"/>
                <w:lang w:val="en-US" w:eastAsia="zh-CN"/>
                <w14:textFill>
                  <w14:solidFill>
                    <w14:schemeClr w14:val="tx1"/>
                  </w14:solidFill>
                </w14:textFill>
              </w:rPr>
              <w:t>托管费</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以前一自然日资产净值为基数，每日计提模式。</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公式如下：</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每日计提模式：每日计提</w:t>
            </w:r>
            <w:r>
              <w:rPr>
                <w:rFonts w:hint="eastAsia" w:ascii="楷体" w:hAnsi="楷体" w:eastAsia="楷体" w:cs="楷体"/>
                <w:color w:val="auto"/>
                <w:sz w:val="20"/>
                <w:szCs w:val="20"/>
                <w:highlight w:val="none"/>
                <w:lang w:eastAsia="zh-CN"/>
              </w:rPr>
              <w:t>，</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按管理人与托管机构约定的时间支付</w:t>
            </w:r>
            <w:r>
              <w:rPr>
                <w:rFonts w:hint="eastAsia" w:ascii="楷体" w:hAnsi="楷体" w:eastAsia="楷体" w:cs="楷体"/>
                <w:color w:val="auto"/>
                <w:sz w:val="20"/>
                <w:szCs w:val="20"/>
                <w:highlight w:val="none"/>
              </w:rPr>
              <w:t>，每日应计提的托管费＝计提基数×托管费率÷365。</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一次性提取模式：成立日一次性提取，</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按管理人与托管机构约定的时间支付，</w:t>
            </w:r>
            <w:r>
              <w:rPr>
                <w:rFonts w:hint="eastAsia" w:ascii="楷体" w:hAnsi="楷体" w:eastAsia="楷体" w:cs="楷体"/>
                <w:color w:val="auto"/>
                <w:sz w:val="20"/>
                <w:szCs w:val="20"/>
                <w:highlight w:val="none"/>
              </w:rPr>
              <w:t>每日摊销，托管费＝计提基数×托管费率×产品投资期限天数÷365。</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color w:val="auto"/>
                <w:sz w:val="20"/>
                <w:szCs w:val="20"/>
                <w:highlight w:val="none"/>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default" w:ascii="楷体" w:hAnsi="楷体" w:eastAsia="楷体" w:cs="楷体"/>
                <w:b/>
                <w:bCs w:val="0"/>
                <w:color w:val="000000" w:themeColor="text1"/>
                <w:kern w:val="0"/>
                <w:sz w:val="20"/>
                <w:szCs w:val="20"/>
                <w:highlight w:val="none"/>
                <w:u w:val="single"/>
                <w:lang w:val="en-US" w:eastAsia="zh-CN"/>
                <w14:textFill>
                  <w14:solidFill>
                    <w14:schemeClr w14:val="tx1"/>
                  </w14:solidFill>
                </w14:textFill>
              </w:rPr>
            </w:pPr>
            <w:r>
              <w:rPr>
                <w:rFonts w:hint="eastAsia" w:ascii="楷体" w:hAnsi="楷体" w:eastAsia="楷体" w:cs="楷体"/>
                <w:b/>
                <w:bCs w:val="0"/>
                <w:color w:val="000000" w:themeColor="text1"/>
                <w:kern w:val="0"/>
                <w:sz w:val="20"/>
                <w:szCs w:val="20"/>
                <w:highlight w:val="none"/>
                <w:u w:val="single"/>
                <w:lang w:val="en-US" w:eastAsia="zh-CN"/>
                <w14:textFill>
                  <w14:solidFill>
                    <w14:schemeClr w14:val="tx1"/>
                  </w14:solidFill>
                </w14:textFill>
              </w:rPr>
              <w:t>固定管理费</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color w:val="auto"/>
                <w:sz w:val="20"/>
                <w:szCs w:val="20"/>
                <w:highlight w:val="none"/>
                <w:lang w:val="en-US" w:eastAsia="zh-CN"/>
              </w:rPr>
            </w:pPr>
            <w:r>
              <w:rPr>
                <w:rFonts w:hint="eastAsia" w:ascii="楷体" w:hAnsi="楷体" w:eastAsia="楷体" w:cs="楷体"/>
                <w:color w:val="auto"/>
                <w:sz w:val="20"/>
                <w:szCs w:val="20"/>
                <w:highlight w:val="none"/>
                <w:lang w:val="en-US" w:eastAsia="zh-CN"/>
              </w:rPr>
              <w:t>以前一自然日资产净值为基数，每日计提模式；</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公式如下：</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每日计提模式：每日计提</w:t>
            </w:r>
            <w:r>
              <w:rPr>
                <w:rFonts w:hint="eastAsia" w:ascii="楷体" w:hAnsi="楷体" w:eastAsia="楷体" w:cs="楷体"/>
                <w:color w:val="auto"/>
                <w:sz w:val="20"/>
                <w:szCs w:val="20"/>
                <w:highlight w:val="none"/>
                <w:lang w:eastAsia="zh-CN"/>
              </w:rPr>
              <w:t>，</w:t>
            </w:r>
            <w:r>
              <w:rPr>
                <w:rFonts w:hint="eastAsia" w:ascii="楷体" w:hAnsi="楷体" w:eastAsia="楷体" w:cs="楷体"/>
                <w:color w:val="auto"/>
                <w:sz w:val="20"/>
                <w:szCs w:val="20"/>
                <w:highlight w:val="none"/>
                <w:lang w:val="en-US" w:eastAsia="zh-CN"/>
              </w:rPr>
              <w:t>定期支付</w:t>
            </w:r>
            <w:r>
              <w:rPr>
                <w:rFonts w:hint="eastAsia" w:ascii="楷体" w:hAnsi="楷体" w:eastAsia="楷体" w:cs="楷体"/>
                <w:color w:val="auto"/>
                <w:sz w:val="20"/>
                <w:szCs w:val="20"/>
                <w:highlight w:val="none"/>
              </w:rPr>
              <w:t>，每日应计提的固定管理费＝计提基数×固定管理费率÷365。</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sz w:val="20"/>
                <w:szCs w:val="20"/>
                <w:highlight w:val="none"/>
                <w:lang w:val="en-US" w:eastAsia="zh-CN"/>
                <w14:textFill>
                  <w14:solidFill>
                    <w14:schemeClr w14:val="tx1"/>
                  </w14:solidFill>
                </w14:textFill>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center"/>
              <w:rPr>
                <w:rFonts w:hint="default" w:ascii="楷体" w:hAnsi="楷体" w:eastAsia="楷体" w:cs="楷体"/>
                <w:b/>
                <w:bCs w:val="0"/>
                <w:color w:val="000000" w:themeColor="text1"/>
                <w:sz w:val="20"/>
                <w:szCs w:val="20"/>
                <w:highlight w:val="none"/>
                <w:u w:val="single"/>
                <w:lang w:val="en-US" w:eastAsia="zh-CN"/>
                <w14:textFill>
                  <w14:solidFill>
                    <w14:schemeClr w14:val="tx1"/>
                  </w14:solidFill>
                </w14:textFill>
              </w:rPr>
            </w:pPr>
            <w:r>
              <w:rPr>
                <w:rFonts w:hint="eastAsia" w:ascii="楷体" w:hAnsi="楷体" w:eastAsia="楷体" w:cs="楷体"/>
                <w:b/>
                <w:bCs w:val="0"/>
                <w:color w:val="000000" w:themeColor="text1"/>
                <w:sz w:val="20"/>
                <w:szCs w:val="20"/>
                <w:highlight w:val="none"/>
                <w:u w:val="single"/>
                <w:lang w:val="en-US" w:eastAsia="zh-CN"/>
                <w14:textFill>
                  <w14:solidFill>
                    <w14:schemeClr w14:val="tx1"/>
                  </w14:solidFill>
                </w14:textFill>
              </w:rPr>
              <w:t>浮动管理费</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eastAsia="楷体"/>
                <w:sz w:val="20"/>
                <w:szCs w:val="20"/>
                <w:highlight w:val="none"/>
                <w:lang w:val="en-US" w:eastAsia="zh-CN"/>
              </w:rPr>
            </w:pPr>
            <w:r>
              <w:rPr>
                <w:rFonts w:hint="eastAsia" w:ascii="楷体" w:hAnsi="楷体" w:eastAsia="楷体" w:cs="楷体"/>
                <w:bCs/>
                <w:color w:val="000000" w:themeColor="text1"/>
                <w:kern w:val="0"/>
                <w:sz w:val="20"/>
                <w:szCs w:val="20"/>
                <w:highlight w:val="none"/>
                <w14:textFill>
                  <w14:solidFill>
                    <w14:schemeClr w14:val="tx1"/>
                  </w14:solidFill>
                </w14:textFill>
              </w:rPr>
              <w:t>单一投资周期运作期间内理财产品将每日暂估超额业绩报酬，仅用于理财产品会计核算，并将扣除“暂估超额业绩报酬”后的理财产品份额净值按照说明书约定向投资者进行披露。理财产品实际收取的超额业绩报酬以投资周期终止日计提核算的数值为准。计算超额业绩报酬时，1年按365日计算。</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sz w:val="20"/>
                <w:szCs w:val="20"/>
                <w:highlight w:val="none"/>
                <w:lang w:val="en-US" w:eastAsia="zh-CN"/>
                <w14:textFill>
                  <w14:solidFill>
                    <w14:schemeClr w14:val="tx1"/>
                  </w14:solidFill>
                </w14:textFill>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default" w:ascii="楷体" w:hAnsi="楷体" w:eastAsia="楷体" w:cs="楷体"/>
                <w:b/>
                <w:bCs w:val="0"/>
                <w:color w:val="000000" w:themeColor="text1"/>
                <w:sz w:val="20"/>
                <w:szCs w:val="20"/>
                <w:highlight w:val="none"/>
                <w:u w:val="single"/>
                <w:lang w:val="en-US" w:eastAsia="zh-CN"/>
                <w14:textFill>
                  <w14:solidFill>
                    <w14:schemeClr w14:val="tx1"/>
                  </w14:solidFill>
                </w14:textFill>
              </w:rPr>
            </w:pPr>
            <w:r>
              <w:rPr>
                <w:rFonts w:hint="eastAsia" w:ascii="楷体" w:hAnsi="楷体" w:eastAsia="楷体" w:cs="楷体"/>
                <w:b/>
                <w:bCs w:val="0"/>
                <w:color w:val="000000" w:themeColor="text1"/>
                <w:sz w:val="20"/>
                <w:szCs w:val="20"/>
                <w:highlight w:val="none"/>
                <w:u w:val="single"/>
                <w:lang w:val="en-US" w:eastAsia="zh-CN"/>
                <w14:textFill>
                  <w14:solidFill>
                    <w14:schemeClr w14:val="tx1"/>
                  </w14:solidFill>
                </w14:textFill>
              </w:rPr>
              <w:t>其它费用</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color w:val="auto"/>
                <w:sz w:val="20"/>
                <w:szCs w:val="20"/>
                <w:highlight w:val="none"/>
              </w:rPr>
              <w:t>产品运作和清算中产生的交易手续费、注册登记费、账户服务费、审计费及其他应由本产品承担的费用从产品中列支</w:t>
            </w:r>
            <w:r>
              <w:rPr>
                <w:rFonts w:hint="eastAsia" w:ascii="楷体" w:hAnsi="楷体" w:eastAsia="楷体" w:cs="楷体"/>
                <w:color w:val="auto"/>
                <w:sz w:val="20"/>
                <w:szCs w:val="20"/>
                <w:highlight w:val="none"/>
                <w:lang w:eastAsia="zh-CN"/>
              </w:rPr>
              <w:t>。</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sz w:val="20"/>
                <w:szCs w:val="20"/>
                <w:highlight w:val="none"/>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（三）其它说明</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1.费用计算四舍五入保留至小数点后两位。</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
                <w:bCs w:val="0"/>
                <w:color w:val="000000" w:themeColor="text1"/>
                <w:sz w:val="20"/>
                <w:szCs w:val="20"/>
                <w:highlight w:val="none"/>
                <w:u w:val="single"/>
                <w:lang w:val="en-US" w:eastAsia="zh-CN"/>
                <w14:textFill>
                  <w14:solidFill>
                    <w14:schemeClr w14:val="tx1"/>
                  </w14:solidFill>
                </w14:textFill>
              </w:rPr>
              <w:t>2.本产品各类份额实际收取的销售服务费率、固定管理费率等可能存在差异，投资者应根据各类份额收费情况自主选择购买。</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3.产品管理人有权根据市场情况等调整上述各项费用费率和超额业绩报酬收取方式及比例，产品管理人将于调整事项生效前2个工作日通过短信、苏银理财有限责任公司官方网站（www.suyinwealth.com）、销售机构电子渠道和营业网点等方式进行信息披露。此种情况下产品管理人将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
                <w:bCs w:val="0"/>
                <w:color w:val="000000" w:themeColor="text1"/>
                <w:sz w:val="20"/>
                <w:szCs w:val="20"/>
                <w:highlight w:val="none"/>
                <w:u w:val="single"/>
                <w:lang w:val="en-US" w:eastAsia="zh-CN"/>
                <w14:textFill>
                  <w14:solidFill>
                    <w14:schemeClr w14:val="tx1"/>
                  </w14:solidFill>
                </w14:textFill>
              </w:rPr>
              <w:t>4.产品存续期内管理人有权根据产品运行情况制定费率优惠措施，优惠后实际执行的费率以管理人公告为准。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56" w:type="dxa"/>
            <w:gridSpan w:val="2"/>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（六）业绩比较基准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业绩比较基准</w:t>
            </w:r>
          </w:p>
        </w:tc>
        <w:tc>
          <w:tcPr>
            <w:tcW w:w="7478" w:type="dxa"/>
            <w:vAlign w:val="center"/>
          </w:tcPr>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A份额：2.35%-2.95%（年化）；</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B份额：2.38%-2.98%（年化）；</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D份额：2.50%-3.10%（年化）；</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F份额：2.35%-2.95%（年化）；</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G份额：2.38%-2.98%（年化）；</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J份额：2.45%-3.05%（年化）；</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ZA份额：2.35%-2.95%（年化）；</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ZF份额：2.35%-2.95%（年化）；</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C份额：2.40%-3.00%（年化）；</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P份额：2.60%-3.20%（年化）；</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Q份额：2.40%-3.00%（年化）；</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S份额：2.38%-2.98%（年化）；</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ZN份额：2.50%-3.10%（年化）；</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ZQ份额：2.35%-2.95%（年化）；</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J2份额：2.50%-3.10%（年化）；</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GS份额：2.50%-3.10%（年化）；</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S1份额：2.45%-3.05%（年化）；</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U份额：2.35%-2.95%（年化）；</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L份额：2.45%-3.05%（年化）；</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Z份额：2.35%-2.95%（年化）；</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Z1份额：2.45%-3.05%（年化）；</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Z2份额：2.50%-3.10%（年化）；</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ZF2份额：2.50%-3.10%（年化）；</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ZF3份额：2.40%-3.00%（年化）；</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ZF4份额：2.55%-3.15%（年化）；</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ZJ份额：2.65%-3.25%（年化）；</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ZL份额：2.50%-3.10%（年化）；</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天府·优选份额：2.65%-3.25%（年化）；</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芙蓉锦程·优选份额：2.65%-3.25%（年化）；</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芙蓉锦程·优选-尊享款份额：2.75%-3.35%（年化）；</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ZC份额：2.40%-3.00%（年化）；</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ZK份额：2.50%-3.10%（年化）；</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Z3份额：2.45%-3.05%（年化）。</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14:textFill>
                  <w14:solidFill>
                    <w14:schemeClr w14:val="tx1"/>
                  </w14:solidFill>
                </w14:textFill>
              </w:rPr>
            </w:pP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1.业绩比较基准测算依据：</w:t>
            </w:r>
            <w:r>
              <w:rPr>
                <w:rFonts w:hint="eastAsia" w:ascii="楷体" w:hAnsi="楷体" w:eastAsia="楷体" w:cs="楷体"/>
                <w:b/>
                <w:bCs w:val="0"/>
                <w:color w:val="000000" w:themeColor="text1"/>
                <w:kern w:val="0"/>
                <w:sz w:val="20"/>
                <w:szCs w:val="20"/>
                <w:highlight w:val="none"/>
                <w:u w:val="single"/>
                <w:lang w:val="en-US" w:eastAsia="zh-CN"/>
                <w14:textFill>
                  <w14:solidFill>
                    <w14:schemeClr w14:val="tx1"/>
                  </w14:solidFill>
                </w14:textFill>
              </w:rPr>
              <w:t>管理人参考过往投资经验，依据近期货币市场工具、银行存款（含结构性存款）、债券、非标准化债权等资产投资收益水平，在产品说明书约定的投资范围和投资比例内，综合考虑各类份额收取的销售服务费和投资管理费等费用情况，模拟测算得出业绩比较基准。</w:t>
            </w:r>
            <w:r>
              <w:rPr>
                <w:rFonts w:hint="eastAsia" w:ascii="楷体" w:hAnsi="楷体" w:eastAsia="楷体" w:cs="楷体"/>
                <w:b/>
                <w:bCs w:val="0"/>
                <w:color w:val="000000" w:themeColor="text1"/>
                <w:kern w:val="0"/>
                <w:sz w:val="20"/>
                <w:szCs w:val="20"/>
                <w:highlight w:val="none"/>
                <w:u w:val="single"/>
                <w14:textFill>
                  <w14:solidFill>
                    <w14:schemeClr w14:val="tx1"/>
                  </w14:solidFill>
                </w14:textFill>
              </w:rPr>
              <w:t>业绩比较基准不是预期收益率，不代表产品的未来表现和实际收益，不构成对产品收益的承诺。</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14:textFill>
                  <w14:solidFill>
                    <w14:schemeClr w14:val="tx1"/>
                  </w14:solidFill>
                </w14:textFill>
              </w:rPr>
            </w:pPr>
            <w:r>
              <w:rPr>
                <w:rFonts w:hint="eastAsia" w:ascii="楷体" w:hAnsi="楷体" w:eastAsia="楷体" w:cs="楷体"/>
                <w:bCs/>
                <w:color w:val="000000" w:themeColor="text1"/>
                <w:kern w:val="0"/>
                <w:sz w:val="20"/>
                <w:szCs w:val="20"/>
                <w:highlight w:val="none"/>
                <w14:textFill>
                  <w14:solidFill>
                    <w14:schemeClr w14:val="tx1"/>
                  </w14:solidFill>
                </w14:textFill>
              </w:rPr>
              <w:t>2.本产品各类份额可能因收取的销售服务费和</w:t>
            </w:r>
            <w:r>
              <w:rPr>
                <w:rFonts w:hint="eastAsia" w:ascii="楷体" w:hAnsi="楷体" w:eastAsia="楷体" w:cs="楷体"/>
                <w:bCs/>
                <w:color w:val="000000" w:themeColor="text1"/>
                <w:kern w:val="0"/>
                <w:sz w:val="20"/>
                <w:szCs w:val="20"/>
                <w:highlight w:val="none"/>
                <w:lang w:val="en-US" w:eastAsia="zh-CN"/>
                <w14:textFill>
                  <w14:solidFill>
                    <w14:schemeClr w14:val="tx1"/>
                  </w14:solidFill>
                </w14:textFill>
              </w:rPr>
              <w:t>固定</w:t>
            </w:r>
            <w:r>
              <w:rPr>
                <w:rFonts w:hint="eastAsia" w:ascii="楷体" w:hAnsi="楷体" w:eastAsia="楷体" w:cs="楷体"/>
                <w:bCs/>
                <w:color w:val="000000" w:themeColor="text1"/>
                <w:kern w:val="0"/>
                <w:sz w:val="20"/>
                <w:szCs w:val="20"/>
                <w:highlight w:val="none"/>
                <w14:textFill>
                  <w14:solidFill>
                    <w14:schemeClr w14:val="tx1"/>
                  </w14:solidFill>
                </w14:textFill>
              </w:rPr>
              <w:t>管理费存在差异，业绩比较基准设置有所不同。</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
                <w:bCs w:val="0"/>
                <w:color w:val="000000" w:themeColor="text1"/>
                <w:kern w:val="0"/>
                <w:sz w:val="20"/>
                <w:szCs w:val="20"/>
                <w:highlight w:val="none"/>
                <w:u w:val="single"/>
                <w14:textFill>
                  <w14:solidFill>
                    <w14:schemeClr w14:val="tx1"/>
                  </w14:solidFill>
                </w14:textFill>
              </w:rPr>
            </w:pPr>
            <w:r>
              <w:rPr>
                <w:rFonts w:hint="eastAsia" w:ascii="楷体" w:hAnsi="楷体" w:eastAsia="楷体" w:cs="楷体"/>
                <w:b/>
                <w:bCs w:val="0"/>
                <w:color w:val="000000" w:themeColor="text1"/>
                <w:kern w:val="0"/>
                <w:sz w:val="20"/>
                <w:szCs w:val="20"/>
                <w:highlight w:val="none"/>
                <w:u w:val="single"/>
                <w14:textFill>
                  <w14:solidFill>
                    <w14:schemeClr w14:val="tx1"/>
                  </w14:solidFill>
                </w14:textFill>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kern w:val="0"/>
                <w:sz w:val="20"/>
                <w:szCs w:val="20"/>
                <w:highlight w:val="none"/>
                <w14:textFill>
                  <w14:solidFill>
                    <w14:schemeClr w14:val="tx1"/>
                  </w14:solidFill>
                </w14:textFill>
              </w:rPr>
            </w:pPr>
            <w:r>
              <w:rPr>
                <w:rFonts w:hint="eastAsia" w:ascii="楷体" w:hAnsi="楷体" w:eastAsia="楷体" w:cs="楷体"/>
                <w:b/>
                <w:bCs w:val="0"/>
                <w:color w:val="000000" w:themeColor="text1"/>
                <w:kern w:val="0"/>
                <w:sz w:val="20"/>
                <w:szCs w:val="20"/>
                <w:highlight w:val="none"/>
                <w:u w:val="single"/>
                <w:lang w:val="en-US" w:eastAsia="zh-CN"/>
                <w14:textFill>
                  <w14:solidFill>
                    <w14:schemeClr w14:val="tx1"/>
                  </w14:solidFill>
                </w14:textFill>
              </w:rPr>
              <w:t>4.</w:t>
            </w:r>
            <w:r>
              <w:rPr>
                <w:rFonts w:hint="eastAsia" w:ascii="楷体" w:hAnsi="楷体" w:eastAsia="楷体" w:cs="楷体"/>
                <w:b/>
                <w:bCs w:val="0"/>
                <w:color w:val="000000" w:themeColor="text1"/>
                <w:kern w:val="0"/>
                <w:sz w:val="20"/>
                <w:szCs w:val="20"/>
                <w:highlight w:val="none"/>
                <w:u w:val="single"/>
                <w14:textFill>
                  <w14:solidFill>
                    <w14:schemeClr w14:val="tx1"/>
                  </w14:solidFill>
                </w14:textFill>
              </w:rPr>
              <w:t>产品存续期内管理人有权根据市场情况调整业绩比较基准，如有调整以管理人公告为准。</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 w:val="0"/>
                <w:bCs/>
                <w:color w:val="000000" w:themeColor="text1"/>
                <w:kern w:val="0"/>
                <w:sz w:val="20"/>
                <w:szCs w:val="20"/>
                <w:highlight w:val="none"/>
                <w:u w:val="none"/>
                <w:lang w:val="en-US" w:eastAsia="zh-CN"/>
                <w14:textFill>
                  <w14:solidFill>
                    <w14:schemeClr w14:val="tx1"/>
                  </w14:solidFill>
                </w14:textFill>
              </w:rPr>
            </w:pPr>
            <w:r>
              <w:rPr>
                <w:rFonts w:hint="eastAsia" w:ascii="楷体" w:hAnsi="楷体" w:eastAsia="楷体" w:cs="楷体"/>
                <w:b w:val="0"/>
                <w:bCs/>
                <w:color w:val="000000" w:themeColor="text1"/>
                <w:kern w:val="0"/>
                <w:sz w:val="20"/>
                <w:szCs w:val="20"/>
                <w:highlight w:val="none"/>
                <w:u w:val="none"/>
                <w:lang w:val="en-US" w:eastAsia="zh-CN"/>
                <w14:textFill>
                  <w14:solidFill>
                    <w14:schemeClr w14:val="tx1"/>
                  </w14:solidFill>
                </w14:textFill>
              </w:rPr>
              <w:t>5.历次业绩比较基准调整情况（2026年9月1日之后）</w:t>
            </w:r>
          </w:p>
          <w:p>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default"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 w:val="0"/>
                <w:bCs/>
                <w:color w:val="000000" w:themeColor="text1"/>
                <w:kern w:val="0"/>
                <w:sz w:val="20"/>
                <w:szCs w:val="20"/>
                <w:highlight w:val="none"/>
                <w:u w:val="none"/>
                <w:lang w:val="en-US" w:eastAsia="zh-CN"/>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56" w:type="dxa"/>
            <w:gridSpan w:val="2"/>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
                <w:color w:val="000000" w:themeColor="text1"/>
                <w:kern w:val="0"/>
                <w:sz w:val="20"/>
                <w:szCs w:val="20"/>
                <w:highlight w:val="none"/>
                <w14:textFill>
                  <w14:solidFill>
                    <w14:schemeClr w14:val="tx1"/>
                  </w14:solidFill>
                </w14:textFill>
              </w:rPr>
              <w:t>（七）投资范围与策略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投资范围</w:t>
            </w:r>
          </w:p>
        </w:tc>
        <w:tc>
          <w:tcPr>
            <w:tcW w:w="7478" w:type="dxa"/>
            <w:vAlign w:val="center"/>
          </w:tcPr>
          <w:p>
            <w:pPr>
              <w:keepNext w:val="0"/>
              <w:keepLines w:val="0"/>
              <w:pageBreakBefore w:val="0"/>
              <w:widowControl/>
              <w:bidi w:val="0"/>
              <w:spacing w:line="240" w:lineRule="auto"/>
              <w:jc w:val="left"/>
              <w:rPr>
                <w:rFonts w:hint="default" w:ascii="楷体" w:hAnsi="楷体" w:eastAsia="楷体" w:cs="楷体"/>
                <w:bCs/>
                <w:color w:val="000000" w:themeColor="text1"/>
                <w:sz w:val="20"/>
                <w:szCs w:val="20"/>
                <w:highlight w:val="none"/>
                <w:lang w:val="en-US"/>
                <w14:textFill>
                  <w14:solidFill>
                    <w14:schemeClr w14:val="tx1"/>
                  </w14:solidFill>
                </w14:textFill>
              </w:rPr>
            </w:pPr>
            <w:r>
              <w:rPr>
                <w:rFonts w:hint="default" w:ascii="楷体" w:hAnsi="楷体" w:eastAsia="楷体" w:cs="楷体"/>
                <w:bCs/>
                <w:color w:val="000000" w:themeColor="text1"/>
                <w:sz w:val="20"/>
                <w:szCs w:val="20"/>
                <w:highlight w:val="none"/>
                <w:lang w:val="en-US"/>
                <w14:textFill>
                  <w14:solidFill>
                    <w14:schemeClr w14:val="tx1"/>
                  </w14:solidFill>
                </w14:textFill>
              </w:rPr>
              <w:t>本理财产品直接或间接投资于货币市场工具类资产、银行存款（含结构性存款）、标准化债权类资产、非标准化债权类资产和监管机构允许投资的其他资产。具体资产投资比例为：货币市场工具、银行存款（含结构性存款）、债券以及符合监管要求的固定收益类资产占产品资产总值比例为80%-100%，符合监管要求的其他资产占产品资产总值比例0%-20%，其中非标准化债权类资产合计投资比例不高于产品净资产50%。</w:t>
            </w:r>
          </w:p>
          <w:p>
            <w:pPr>
              <w:keepNext w:val="0"/>
              <w:keepLines w:val="0"/>
              <w:pageBreakBefore w:val="0"/>
              <w:widowControl/>
              <w:bidi w:val="0"/>
              <w:spacing w:line="240" w:lineRule="auto"/>
              <w:jc w:val="left"/>
              <w:rPr>
                <w:rFonts w:hint="default" w:ascii="楷体" w:hAnsi="楷体" w:eastAsia="楷体" w:cs="楷体"/>
                <w:bCs/>
                <w:color w:val="000000" w:themeColor="text1"/>
                <w:sz w:val="20"/>
                <w:szCs w:val="20"/>
                <w:highlight w:val="none"/>
                <w:lang w:val="en-US"/>
                <w14:textFill>
                  <w14:solidFill>
                    <w14:schemeClr w14:val="tx1"/>
                  </w14:solidFill>
                </w14:textFill>
              </w:rPr>
            </w:pPr>
            <w:r>
              <w:rPr>
                <w:rFonts w:hint="default" w:ascii="楷体" w:hAnsi="楷体" w:eastAsia="楷体" w:cs="楷体"/>
                <w:bCs/>
                <w:color w:val="000000" w:themeColor="text1"/>
                <w:sz w:val="20"/>
                <w:szCs w:val="20"/>
                <w:highlight w:val="none"/>
                <w:lang w:val="en-US"/>
                <w14:textFill>
                  <w14:solidFill>
                    <w14:schemeClr w14:val="tx1"/>
                  </w14:solidFill>
                </w14:textFill>
              </w:rPr>
              <w:t>本理财产品在开放日及开放日前7个工作日内持有不低于产品资产净值5%的现金或者到期日在一年以内的国债、中央银行票据和政策性金融债券；直接投资于流动性受限资产的市值在开放日不得超过产品资产净值的15%；在开放日前一工作日内，7个工作日可变现资产的可变现价值应当不低于产品资产净值的10%；每日确认且需当日支付的净赎回申请不超过前一工作日理财产品7个工作日可变现资产的可变现价值。</w:t>
            </w:r>
          </w:p>
          <w:p>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投资策略</w:t>
            </w:r>
          </w:p>
        </w:tc>
        <w:tc>
          <w:tcPr>
            <w:tcW w:w="7478" w:type="dxa"/>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本理财产品计划通过债券、非标准化债权类资产的配置获取稳健收益，同时适时适量配置银行存款，包括同业存款、结构性存款等。其中，拟开展的结构性存款主要为信用挂钩型结构性存款，该产品本质是内嵌收益互换合约的存款，挂钩标的包括优质同业存单、高评级信用债等资产，相关挂钩主体均需严格通过我司风险评估，在严控信用风险的前提下实现产品收益增厚的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56" w:type="dxa"/>
            <w:gridSpan w:val="2"/>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
                <w:color w:val="000000" w:themeColor="text1"/>
                <w:kern w:val="0"/>
                <w:sz w:val="20"/>
                <w:szCs w:val="20"/>
                <w:highlight w:val="none"/>
                <w14:textFill>
                  <w14:solidFill>
                    <w14:schemeClr w14:val="tx1"/>
                  </w14:solidFill>
                </w14:textFill>
              </w:rPr>
              <w:t>（八）其他约定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楷体" w:hAnsi="楷体" w:eastAsia="楷体" w:cs="楷体"/>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kern w:val="0"/>
                <w:sz w:val="20"/>
                <w:szCs w:val="20"/>
                <w:highlight w:val="none"/>
                <w14:textFill>
                  <w14:solidFill>
                    <w14:schemeClr w14:val="tx1"/>
                  </w14:solidFill>
                </w14:textFill>
              </w:rPr>
              <w:t>其他约定</w:t>
            </w:r>
          </w:p>
        </w:tc>
        <w:tc>
          <w:tcPr>
            <w:tcW w:w="7478" w:type="dxa"/>
            <w:vAlign w:val="center"/>
          </w:tcPr>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center"/>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color w:val="auto"/>
                <w:spacing w:val="-2"/>
                <w:sz w:val="20"/>
                <w:szCs w:val="20"/>
                <w:highlight w:val="none"/>
                <w:lang w:val="en-US" w:eastAsia="zh-CN"/>
              </w:rPr>
              <w:t>1.税款：</w:t>
            </w:r>
            <w:r>
              <w:rPr>
                <w:rFonts w:hint="eastAsia" w:ascii="楷体" w:hAnsi="楷体" w:eastAsia="楷体" w:cs="楷体"/>
                <w:color w:val="auto"/>
                <w:spacing w:val="-2"/>
                <w:sz w:val="20"/>
                <w:szCs w:val="20"/>
                <w:highlight w:val="none"/>
              </w:rPr>
              <w:t>根据中国增值税等税收相关法律法规、税收政策等要求，产品应缴纳的增值税及附加税费（包括但不限于城市维护建设税、教育费附加及地方教育附加等）</w:t>
            </w:r>
            <w:r>
              <w:rPr>
                <w:rFonts w:hint="eastAsia" w:ascii="楷体" w:hAnsi="楷体" w:eastAsia="楷体" w:cs="楷体"/>
                <w:color w:val="auto"/>
                <w:spacing w:val="-2"/>
                <w:sz w:val="20"/>
                <w:szCs w:val="20"/>
                <w:highlight w:val="none"/>
                <w:lang w:eastAsia="zh-CN"/>
              </w:rPr>
              <w:t>、</w:t>
            </w:r>
            <w:r>
              <w:rPr>
                <w:rFonts w:hint="eastAsia" w:ascii="楷体" w:hAnsi="楷体" w:eastAsia="楷体" w:cs="楷体"/>
                <w:color w:val="auto"/>
                <w:spacing w:val="-2"/>
                <w:sz w:val="20"/>
                <w:szCs w:val="20"/>
                <w:highlight w:val="none"/>
                <w:lang w:val="en-US" w:eastAsia="zh-CN"/>
              </w:rPr>
              <w:t>印花税等</w:t>
            </w:r>
            <w:r>
              <w:rPr>
                <w:rFonts w:hint="eastAsia" w:ascii="楷体" w:hAnsi="楷体" w:eastAsia="楷体" w:cs="楷体"/>
                <w:color w:val="auto"/>
                <w:spacing w:val="-2"/>
                <w:sz w:val="20"/>
                <w:szCs w:val="20"/>
                <w:highlight w:val="none"/>
              </w:rPr>
              <w:t>由管理人从理财产品财产中支付，由此可能会使理财产品净值或实际收益降低。</w:t>
            </w:r>
            <w:r>
              <w:rPr>
                <w:rFonts w:hint="eastAsia" w:ascii="楷体" w:hAnsi="楷体" w:eastAsia="楷体" w:cs="楷体"/>
                <w:b/>
                <w:bCs/>
                <w:color w:val="auto"/>
                <w:spacing w:val="-2"/>
                <w:sz w:val="20"/>
                <w:szCs w:val="20"/>
                <w:highlight w:val="none"/>
                <w:u w:val="single"/>
              </w:rPr>
              <w:t>投资者从理财产品取得的收益应缴纳的税款，由投资者自行申报及缴纳。</w:t>
            </w:r>
          </w:p>
        </w:tc>
      </w:tr>
    </w:tbl>
    <w:p>
      <w:pPr>
        <w:keepNext w:val="0"/>
        <w:keepLines w:val="0"/>
        <w:pageBreakBefore w:val="0"/>
        <w:numPr>
          <w:ilvl w:val="0"/>
          <w:numId w:val="1"/>
        </w:numPr>
        <w:tabs>
          <w:tab w:val="left" w:pos="1134"/>
        </w:tabs>
        <w:kinsoku/>
        <w:wordWrap/>
        <w:overflowPunct w:val="0"/>
        <w:topLinePunct w:val="0"/>
        <w:autoSpaceDE w:val="0"/>
        <w:autoSpaceDN w:val="0"/>
        <w:bidi w:val="0"/>
        <w:spacing w:line="310" w:lineRule="exact"/>
        <w:ind w:left="0" w:leftChars="0" w:firstLine="422" w:firstLineChars="200"/>
        <w:textAlignment w:val="auto"/>
        <w:outlineLvl w:val="1"/>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产品管理人</w:t>
      </w:r>
    </w:p>
    <w:p>
      <w:pPr>
        <w:keepNext w:val="0"/>
        <w:keepLines w:val="0"/>
        <w:pageBreakBefore w:val="0"/>
        <w:widowControl w:val="0"/>
        <w:numPr>
          <w:ilvl w:val="0"/>
          <w:numId w:val="0"/>
        </w:numPr>
        <w:tabs>
          <w:tab w:val="left" w:pos="993"/>
        </w:tabs>
        <w:kinsoku/>
        <w:wordWrap/>
        <w:overflowPunct w:val="0"/>
        <w:topLinePunct w:val="0"/>
        <w:autoSpaceDE w:val="0"/>
        <w:autoSpaceDN w:val="0"/>
        <w:bidi w:val="0"/>
        <w:adjustRightInd/>
        <w:snapToGrid/>
        <w:spacing w:line="310" w:lineRule="exact"/>
        <w:ind w:leftChars="200"/>
        <w:textAlignment w:val="auto"/>
        <w:rPr>
          <w:rFonts w:hint="eastAsia"/>
          <w:sz w:val="21"/>
          <w:szCs w:val="21"/>
          <w:highlight w:val="none"/>
        </w:rPr>
      </w:pPr>
      <w:r>
        <w:rPr>
          <w:rFonts w:hint="eastAsia" w:ascii="楷体" w:hAnsi="楷体" w:eastAsia="楷体" w:cs="楷体"/>
          <w:sz w:val="21"/>
          <w:szCs w:val="21"/>
          <w:highlight w:val="none"/>
          <w:lang w:val="en-US" w:eastAsia="zh-CN"/>
        </w:rPr>
        <w:t>（一）主要职责</w:t>
      </w:r>
    </w:p>
    <w:p>
      <w:pPr>
        <w:keepNext w:val="0"/>
        <w:keepLines w:val="0"/>
        <w:pageBreakBefore w:val="0"/>
        <w:numPr>
          <w:ilvl w:val="0"/>
          <w:numId w:val="0"/>
        </w:numPr>
        <w:kinsoku/>
        <w:wordWrap/>
        <w:overflowPunct w:val="0"/>
        <w:topLinePunct w:val="0"/>
        <w:autoSpaceDE w:val="0"/>
        <w:autoSpaceDN w:val="0"/>
        <w:bidi w:val="0"/>
        <w:spacing w:line="310" w:lineRule="exact"/>
        <w:ind w:firstLine="420" w:firstLineChars="200"/>
        <w:textAlignment w:val="auto"/>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rPr>
        <w:t>按照法律法规、监管规定及理财产品销售文件的约定，发行并管理理财产品；根据理财产品的投资组合、同类产品过往业绩和风险状况等因素，对理财产品进行评级；按照法律法规、监管规定及与投资者约定的信息披露渠道及时披露理财产品相关信息；按照理财产品销售文件约定的投资范围和权限，负责理财产品资金的运用和管理，向投资者进行收益分配；审慎选择理财产品销售机构，切实履行对销售机构的管理责任；根据法律法规、监管规定建立健全投资者权益保护管理体系；国务院银行业监督管理机构规定及本理财产品销售文件中约定的其他职责。</w:t>
      </w:r>
    </w:p>
    <w:p>
      <w:pPr>
        <w:keepNext w:val="0"/>
        <w:keepLines w:val="0"/>
        <w:pageBreakBefore w:val="0"/>
        <w:numPr>
          <w:ilvl w:val="0"/>
          <w:numId w:val="0"/>
        </w:numPr>
        <w:kinsoku/>
        <w:wordWrap/>
        <w:overflowPunct w:val="0"/>
        <w:topLinePunct w:val="0"/>
        <w:autoSpaceDE w:val="0"/>
        <w:autoSpaceDN w:val="0"/>
        <w:bidi w:val="0"/>
        <w:spacing w:line="310" w:lineRule="exact"/>
        <w:ind w:firstLine="420" w:firstLineChars="200"/>
        <w:textAlignment w:val="auto"/>
        <w:rPr>
          <w:rFonts w:hint="default"/>
          <w:sz w:val="21"/>
          <w:szCs w:val="21"/>
          <w:highlight w:val="none"/>
          <w:lang w:val="en-US" w:eastAsia="zh-CN"/>
        </w:rPr>
      </w:pPr>
      <w:r>
        <w:rPr>
          <w:rFonts w:hint="eastAsia" w:ascii="楷体" w:hAnsi="楷体" w:eastAsia="楷体" w:cs="楷体"/>
          <w:color w:val="auto"/>
          <w:sz w:val="21"/>
          <w:szCs w:val="21"/>
          <w:highlight w:val="none"/>
          <w:lang w:val="en-US" w:eastAsia="zh-CN"/>
        </w:rPr>
        <w:t>（二）基本信息</w:t>
      </w:r>
    </w:p>
    <w:p>
      <w:pPr>
        <w:keepNext w:val="0"/>
        <w:keepLines w:val="0"/>
        <w:pageBreakBefore w:val="0"/>
        <w:numPr>
          <w:ilvl w:val="0"/>
          <w:numId w:val="0"/>
        </w:numPr>
        <w:kinsoku/>
        <w:wordWrap/>
        <w:overflowPunct w:val="0"/>
        <w:topLinePunct w:val="0"/>
        <w:autoSpaceDE w:val="0"/>
        <w:autoSpaceDN w:val="0"/>
        <w:bidi w:val="0"/>
        <w:spacing w:line="310" w:lineRule="exact"/>
        <w:ind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color w:val="auto"/>
          <w:sz w:val="21"/>
          <w:szCs w:val="21"/>
          <w:highlight w:val="none"/>
          <w:lang w:val="en-US" w:eastAsia="zh-CN"/>
        </w:rPr>
        <w:t>，注册地址为</w:t>
      </w:r>
      <w:r>
        <w:rPr>
          <w:rFonts w:hint="eastAsia" w:ascii="楷体" w:hAnsi="楷体" w:eastAsia="楷体" w:cs="楷体"/>
          <w:color w:val="auto"/>
          <w:sz w:val="21"/>
          <w:szCs w:val="21"/>
          <w:highlight w:val="none"/>
        </w:rPr>
        <w:t>南京市建邺区江山大街70号国际博览中心三期B幢11-13层</w:t>
      </w:r>
      <w:r>
        <w:rPr>
          <w:rFonts w:hint="eastAsia" w:ascii="楷体" w:hAnsi="楷体" w:eastAsia="楷体" w:cs="楷体"/>
          <w:color w:val="auto"/>
          <w:sz w:val="21"/>
          <w:szCs w:val="21"/>
          <w:highlight w:val="none"/>
          <w:lang w:val="en-US" w:eastAsia="zh-CN"/>
        </w:rPr>
        <w:t>，联系电话为</w:t>
      </w:r>
      <w:r>
        <w:rPr>
          <w:rFonts w:hint="eastAsia" w:ascii="楷体" w:hAnsi="楷体" w:eastAsia="楷体" w:cs="楷体"/>
          <w:color w:val="auto"/>
          <w:sz w:val="21"/>
          <w:szCs w:val="21"/>
          <w:highlight w:val="none"/>
        </w:rPr>
        <w:t>95319-8-2</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s="楷体"/>
          <w:color w:val="auto"/>
          <w:sz w:val="21"/>
          <w:szCs w:val="21"/>
          <w:highlight w:val="none"/>
          <w:lang w:val="en-US" w:eastAsia="zh-CN"/>
        </w:rPr>
        <w:t>监管机构</w:t>
      </w:r>
      <w:r>
        <w:rPr>
          <w:rFonts w:hint="eastAsia" w:ascii="楷体" w:hAnsi="楷体" w:eastAsia="楷体" w:cs="楷体"/>
          <w:color w:val="auto"/>
          <w:sz w:val="21"/>
          <w:szCs w:val="21"/>
          <w:highlight w:val="none"/>
        </w:rPr>
        <w:t>批准的其他业务等。</w:t>
      </w:r>
    </w:p>
    <w:p>
      <w:pPr>
        <w:keepNext w:val="0"/>
        <w:keepLines w:val="0"/>
        <w:pageBreakBefore w:val="0"/>
        <w:numPr>
          <w:ilvl w:val="0"/>
          <w:numId w:val="0"/>
        </w:numPr>
        <w:kinsoku/>
        <w:wordWrap/>
        <w:overflowPunct w:val="0"/>
        <w:topLinePunct w:val="0"/>
        <w:autoSpaceDE w:val="0"/>
        <w:autoSpaceDN w:val="0"/>
        <w:bidi w:val="0"/>
        <w:spacing w:line="310" w:lineRule="exact"/>
        <w:ind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者在此授权并同意苏银理财享有以下权利：按照本理财产品合同的约定，管理、运用和处分理财计划资金；按照本理财产品合同的约定，及时、足额获得投资管理费；管理人有权依照法律规定和监管机构的要求将投资者的信息向有权部门或相关机构披露；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以理财产品投资管理人的名义，依照法律法规相关规定以及代表理财产品份额持有人的利益行使代为追索的权利（包括但不限于提起诉讼/仲裁、申请保全/执行的权利）或者实施其他法律行为；法律法规、监管政策和本理财计划文件约定的其他权利。</w:t>
      </w:r>
    </w:p>
    <w:p>
      <w:pPr>
        <w:keepNext w:val="0"/>
        <w:keepLines w:val="0"/>
        <w:pageBreakBefore w:val="0"/>
        <w:numPr>
          <w:ilvl w:val="0"/>
          <w:numId w:val="1"/>
        </w:numPr>
        <w:tabs>
          <w:tab w:val="left" w:pos="1134"/>
        </w:tabs>
        <w:kinsoku/>
        <w:wordWrap/>
        <w:overflowPunct w:val="0"/>
        <w:topLinePunct w:val="0"/>
        <w:autoSpaceDE w:val="0"/>
        <w:autoSpaceDN w:val="0"/>
        <w:bidi w:val="0"/>
        <w:spacing w:line="310" w:lineRule="exact"/>
        <w:ind w:left="0" w:leftChars="0" w:firstLine="422" w:firstLineChars="200"/>
        <w:textAlignment w:val="auto"/>
        <w:outlineLvl w:val="1"/>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产品托管人</w:t>
      </w:r>
    </w:p>
    <w:p>
      <w:pPr>
        <w:keepNext w:val="0"/>
        <w:keepLines w:val="0"/>
        <w:pageBreakBefore w:val="0"/>
        <w:widowControl w:val="0"/>
        <w:numPr>
          <w:ilvl w:val="0"/>
          <w:numId w:val="0"/>
        </w:numPr>
        <w:tabs>
          <w:tab w:val="left" w:pos="993"/>
        </w:tabs>
        <w:kinsoku/>
        <w:wordWrap/>
        <w:overflowPunct w:val="0"/>
        <w:topLinePunct w:val="0"/>
        <w:autoSpaceDE w:val="0"/>
        <w:autoSpaceDN w:val="0"/>
        <w:bidi w:val="0"/>
        <w:adjustRightInd/>
        <w:snapToGrid/>
        <w:spacing w:line="310" w:lineRule="exact"/>
        <w:ind w:leftChars="200"/>
        <w:textAlignment w:val="auto"/>
        <w:rPr>
          <w:rFonts w:hint="eastAsia"/>
          <w:sz w:val="21"/>
          <w:szCs w:val="21"/>
          <w:highlight w:val="none"/>
        </w:rPr>
      </w:pPr>
      <w:r>
        <w:rPr>
          <w:rFonts w:hint="eastAsia" w:ascii="楷体" w:hAnsi="楷体" w:eastAsia="楷体" w:cs="楷体"/>
          <w:sz w:val="21"/>
          <w:szCs w:val="21"/>
          <w:highlight w:val="none"/>
          <w:lang w:val="en-US" w:eastAsia="zh-CN"/>
        </w:rPr>
        <w:t>（一）主要职责</w:t>
      </w:r>
    </w:p>
    <w:p>
      <w:pPr>
        <w:keepNext w:val="0"/>
        <w:keepLines w:val="0"/>
        <w:pageBreakBefore w:val="0"/>
        <w:numPr>
          <w:ilvl w:val="0"/>
          <w:numId w:val="0"/>
        </w:numPr>
        <w:kinsoku/>
        <w:wordWrap/>
        <w:overflowPunct w:val="0"/>
        <w:topLinePunct w:val="0"/>
        <w:autoSpaceDE w:val="0"/>
        <w:autoSpaceDN w:val="0"/>
        <w:bidi w:val="0"/>
        <w:spacing w:line="310" w:lineRule="exact"/>
        <w:ind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p>
    <w:p>
      <w:pPr>
        <w:keepNext w:val="0"/>
        <w:keepLines w:val="0"/>
        <w:pageBreakBefore w:val="0"/>
        <w:numPr>
          <w:ilvl w:val="0"/>
          <w:numId w:val="0"/>
        </w:numPr>
        <w:bidi w:val="0"/>
        <w:spacing w:line="240" w:lineRule="auto"/>
        <w:ind w:firstLine="420"/>
        <w:rPr>
          <w:rFonts w:hint="default"/>
          <w:sz w:val="21"/>
          <w:szCs w:val="21"/>
          <w:highlight w:val="none"/>
          <w:lang w:val="en-US" w:eastAsia="zh-CN"/>
        </w:rPr>
      </w:pPr>
      <w:r>
        <w:rPr>
          <w:rFonts w:hint="eastAsia" w:ascii="楷体" w:hAnsi="楷体" w:eastAsia="楷体" w:cs="楷体"/>
          <w:color w:val="auto"/>
          <w:sz w:val="21"/>
          <w:szCs w:val="21"/>
          <w:highlight w:val="none"/>
          <w:lang w:val="en-US" w:eastAsia="zh-CN"/>
        </w:rPr>
        <w:t>（二）基本信息</w:t>
      </w:r>
    </w:p>
    <w:p>
      <w:pPr>
        <w:keepNext w:val="0"/>
        <w:keepLines w:val="0"/>
        <w:pageBreakBefore w:val="0"/>
        <w:numPr>
          <w:ilvl w:val="0"/>
          <w:numId w:val="0"/>
        </w:numPr>
        <w:bidi w:val="0"/>
        <w:spacing w:line="240" w:lineRule="auto"/>
        <w:ind w:firstLine="420"/>
        <w:rPr>
          <w:rFonts w:hint="eastAsia" w:ascii="楷体" w:hAnsi="楷体" w:eastAsia="楷体" w:cs="楷体"/>
          <w:b w:val="0"/>
          <w:bCs w:val="0"/>
          <w:sz w:val="21"/>
          <w:szCs w:val="21"/>
          <w:highlight w:val="none"/>
          <w:u w:val="none"/>
          <w:lang w:val="en-US" w:eastAsia="zh-CN"/>
        </w:rPr>
      </w:pPr>
      <w:r>
        <w:rPr>
          <w:rFonts w:hint="eastAsia" w:ascii="楷体" w:hAnsi="楷体" w:eastAsia="楷体" w:cs="楷体"/>
          <w:color w:val="auto"/>
          <w:sz w:val="21"/>
          <w:szCs w:val="21"/>
          <w:highlight w:val="none"/>
        </w:rPr>
        <w:t>本产品托管人为江苏银行股份有限公司，注册地址为江苏省南京市中华路26号，联系电话为025-58588155。</w:t>
      </w:r>
    </w:p>
    <w:p>
      <w:pPr>
        <w:keepNext w:val="0"/>
        <w:keepLines w:val="0"/>
        <w:pageBreakBefore w:val="0"/>
        <w:numPr>
          <w:ilvl w:val="0"/>
          <w:numId w:val="0"/>
        </w:numPr>
        <w:bidi w:val="0"/>
        <w:spacing w:line="240" w:lineRule="auto"/>
        <w:ind w:firstLine="420"/>
        <w:rPr>
          <w:rFonts w:hint="default" w:ascii="楷体" w:hAnsi="楷体" w:eastAsia="楷体" w:cs="楷体"/>
          <w:b w:val="0"/>
          <w:bCs w:val="0"/>
          <w:color w:val="0000FF"/>
          <w:sz w:val="21"/>
          <w:szCs w:val="21"/>
          <w:highlight w:val="none"/>
          <w:u w:val="none"/>
          <w:lang w:val="en-US" w:eastAsia="zh-CN" w:bidi="ar-SA"/>
        </w:rPr>
      </w:pPr>
      <w:r>
        <w:rPr>
          <w:rFonts w:hint="eastAsia" w:ascii="楷体" w:hAnsi="楷体" w:eastAsia="楷体" w:cs="楷体"/>
          <w:color w:val="auto"/>
          <w:sz w:val="21"/>
          <w:szCs w:val="21"/>
          <w:highlight w:val="none"/>
          <w:lang w:val="en-US" w:eastAsia="zh-CN"/>
        </w:rPr>
        <w:t>（三）关联关系情况</w:t>
      </w:r>
    </w:p>
    <w:p>
      <w:pPr>
        <w:keepNext w:val="0"/>
        <w:keepLines w:val="0"/>
        <w:pageBreakBefore w:val="0"/>
        <w:numPr>
          <w:ilvl w:val="0"/>
          <w:numId w:val="0"/>
        </w:numPr>
        <w:kinsoku/>
        <w:wordWrap/>
        <w:overflowPunct w:val="0"/>
        <w:topLinePunct w:val="0"/>
        <w:autoSpaceDE w:val="0"/>
        <w:autoSpaceDN w:val="0"/>
        <w:bidi w:val="0"/>
        <w:spacing w:line="310" w:lineRule="exact"/>
        <w:ind w:firstLine="422" w:firstLineChars="200"/>
        <w:textAlignment w:val="auto"/>
        <w:rPr>
          <w:rFonts w:hint="default" w:ascii="楷体" w:hAnsi="楷体" w:eastAsia="楷体" w:cs="楷体"/>
          <w:color w:val="auto"/>
          <w:sz w:val="21"/>
          <w:szCs w:val="21"/>
          <w:highlight w:val="none"/>
          <w:lang w:val="en-US" w:eastAsia="zh-CN"/>
        </w:rPr>
      </w:pPr>
      <w:r>
        <w:rPr>
          <w:rFonts w:hint="eastAsia" w:ascii="楷体" w:hAnsi="楷体" w:eastAsia="楷体" w:cs="楷体"/>
          <w:b/>
          <w:bCs/>
          <w:color w:val="auto"/>
          <w:sz w:val="21"/>
          <w:szCs w:val="21"/>
          <w:highlight w:val="none"/>
          <w:u w:val="single"/>
          <w:lang w:val="en-US" w:eastAsia="zh-CN"/>
        </w:rPr>
        <w:t>产品管理人在此特别披露：托管人为产品管理人的关联方，产品管理人聘请其担任托管人已履行现行法律法规和监管规定所规定必须履行的程序，产品管理人、投资者同意并接受理财产品由托管人托管。</w:t>
      </w:r>
    </w:p>
    <w:p>
      <w:pPr>
        <w:keepNext w:val="0"/>
        <w:keepLines w:val="0"/>
        <w:pageBreakBefore w:val="0"/>
        <w:numPr>
          <w:ilvl w:val="0"/>
          <w:numId w:val="1"/>
        </w:numPr>
        <w:tabs>
          <w:tab w:val="left" w:pos="1134"/>
        </w:tabs>
        <w:kinsoku/>
        <w:wordWrap/>
        <w:overflowPunct w:val="0"/>
        <w:topLinePunct w:val="0"/>
        <w:autoSpaceDE w:val="0"/>
        <w:autoSpaceDN w:val="0"/>
        <w:bidi w:val="0"/>
        <w:spacing w:line="310" w:lineRule="exact"/>
        <w:ind w:left="0" w:leftChars="0" w:firstLine="422" w:firstLineChars="200"/>
        <w:textAlignment w:val="auto"/>
        <w:outlineLvl w:val="1"/>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销售机构</w:t>
      </w:r>
    </w:p>
    <w:p>
      <w:pPr>
        <w:keepNext w:val="0"/>
        <w:keepLines w:val="0"/>
        <w:pageBreakBefore w:val="0"/>
        <w:widowControl w:val="0"/>
        <w:numPr>
          <w:ilvl w:val="0"/>
          <w:numId w:val="0"/>
        </w:numPr>
        <w:tabs>
          <w:tab w:val="left" w:pos="993"/>
        </w:tabs>
        <w:kinsoku/>
        <w:wordWrap/>
        <w:overflowPunct w:val="0"/>
        <w:topLinePunct w:val="0"/>
        <w:autoSpaceDE w:val="0"/>
        <w:autoSpaceDN w:val="0"/>
        <w:bidi w:val="0"/>
        <w:adjustRightInd/>
        <w:snapToGrid/>
        <w:spacing w:line="310" w:lineRule="exact"/>
        <w:ind w:left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（一）主要职责</w:t>
      </w:r>
    </w:p>
    <w:p>
      <w:pPr>
        <w:keepNext w:val="0"/>
        <w:keepLines w:val="0"/>
        <w:pageBreakBefore w:val="0"/>
        <w:numPr>
          <w:ilvl w:val="0"/>
          <w:numId w:val="0"/>
        </w:numPr>
        <w:tabs>
          <w:tab w:val="left" w:pos="993"/>
        </w:tabs>
        <w:kinsoku/>
        <w:wordWrap/>
        <w:overflowPunct w:val="0"/>
        <w:topLinePunct w:val="0"/>
        <w:autoSpaceDE w:val="0"/>
        <w:autoSpaceDN w:val="0"/>
        <w:bidi w:val="0"/>
        <w:spacing w:line="310" w:lineRule="exact"/>
        <w:ind w:left="0" w:leftChars="0" w:firstLine="420" w:firstLineChars="200"/>
        <w:textAlignment w:val="auto"/>
        <w:rPr>
          <w:rFonts w:hint="eastAsia" w:ascii="楷体" w:hAnsi="楷体" w:eastAsia="楷体" w:cs="楷体"/>
          <w:b w:val="0"/>
          <w:bCs w:val="0"/>
          <w:sz w:val="21"/>
          <w:szCs w:val="21"/>
          <w:highlight w:val="none"/>
          <w:u w:val="none"/>
        </w:rPr>
      </w:pPr>
      <w:r>
        <w:rPr>
          <w:rFonts w:hint="eastAsia" w:ascii="楷体" w:hAnsi="楷体" w:eastAsia="楷体" w:cs="楷体"/>
          <w:b w:val="0"/>
          <w:bCs w:val="0"/>
          <w:sz w:val="21"/>
          <w:szCs w:val="21"/>
          <w:highlight w:val="none"/>
          <w:u w:val="none"/>
        </w:rPr>
        <w:t>销售机构负责理财产品宣传推广、投资者风险承受能力评估和投资者适当性管理、理财产品投资者身份识别及反洗钱、反恐怖融资及非居民金融账户涉税信息调查、理财产品份额认购/申购/赎回、协助管理人与投资者订立理财产品销售文件、协助投资者与管理人沟通、接受投资者咨询和投资者维护等销售服务工作。销售机构不承担产品的投资和兑付责任，产品的投资和兑付责任由管理人承担。</w:t>
      </w:r>
    </w:p>
    <w:p>
      <w:pPr>
        <w:keepNext w:val="0"/>
        <w:keepLines w:val="0"/>
        <w:pageBreakBefore w:val="0"/>
        <w:numPr>
          <w:ilvl w:val="0"/>
          <w:numId w:val="0"/>
        </w:numPr>
        <w:bidi w:val="0"/>
        <w:spacing w:line="240" w:lineRule="auto"/>
        <w:ind w:firstLine="42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（二）基本信息</w:t>
      </w:r>
    </w:p>
    <w:p>
      <w:pPr>
        <w:keepNext w:val="0"/>
        <w:keepLines w:val="0"/>
        <w:pageBreakBefore w:val="0"/>
        <w:numPr>
          <w:ilvl w:val="0"/>
          <w:numId w:val="0"/>
        </w:numPr>
        <w:tabs>
          <w:tab w:val="left" w:pos="993"/>
        </w:tabs>
        <w:bidi w:val="0"/>
        <w:spacing w:line="240" w:lineRule="auto"/>
        <w:ind w:left="0" w:firstLine="42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本产品销售机构基本信息如下：</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（1）机构全称：北京农村商业银行股份有限公司，注册地址为北京市西城区月坛南街1号院2号楼，联系电话为010-63229157；</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（2）机构全称：成都农村商业银行股份有限公司，注册地址为成都市武侯区科华中路88号，联系电话为028-87443495；</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（3）机构全称：甘肃银行股份有限公司，注册地址为甘肃省兰州市城关区东岗西路525-1号，联系电话为0931-8770491；</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（4）机构全称：广西北部湾银行股份有限公司，注册地址为南宁市良庆区云英路8号五象总部大厦，联系电话为18978927915；</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（5）机构全称：广州农村商业银行股份有限公司，注册地址为广州市黄埔区映日路9号，联系电话为020-28852673；</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（6）机构全称：广州银行股份有限公司，注册地址为广东省广州市天河区珠江东路30号，联系电话为020-28302547；</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（7）机构全称：汉口银行股份有限公司，注册地址为湖北省武汉市江汉区建设大道933号武汉商业银行大厦，联系电话为027-82656263；</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（8）机构全称：杭州联合农村商业银行股份有限公司，注册地址为杭州市建国中路99号，联系电话为0571-87923220；</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（9）机构全称：河北银行股份有限公司，注册地址为石家庄市平安北大街28号，联系电话为0311-88627671；</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（10）机构全称：湖州吴兴农村商业银行股份有限公司，注册地址为浙江省湖州市东街55号，联系电话为0572-2065905；</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11）机构全称：华侨银行有限公司，注册地址为上海市浦东新区源深路1155号华侨银行大厦B101，B103，B105，B106A-C，B108-109，103，104A-C，106A-B，107-108，201-204，206-208，301-306，308，401-408，501-508，601-604单元，联系电话为021-58200200；</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（12）机构全称：徽商银行股份有限公司，注册地址为安徽省合肥市云谷路1699号徽银大厦，联系电话为0551-62667580；</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（13）机构全称：嘉兴银行股份有限公司，注册地址为浙江省嘉兴市昌盛南路1001号，联系电话为0573-82062680；</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（14）机构全称：江门农村商业银行股份有限公司，注册地址为江门市新会区会城启超大道68号，联系电话为0750-6601937；</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（15）机构全称：江苏滨海农村商业银行股份有限公司，注册地址为滨海县城迎宾中路1号，联系电话为0515-89106666；</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（16）机构全称：江苏常熟农村商业银行股份有限公司，注册地址为江苏省常熟市新世纪大道58号，联系电话为0512-51601128；</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（17）机构全称：江苏大丰农村商业银行股份有限公司，注册地址为江苏省盐城市大丰区常新中路9号，联系电话为0515-83929115；</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（18）机构全称：江苏丹阳农村商业银行股份有限公司，注册地址为镇江市丹阳金陵西路152号，联系电话为0511-86519256；</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（19）机构全称：江苏东海农村商业银行股份有限公司，注册地址为连云港市东海县牛山镇海陵东路8号，联系电话为0518-87288341；</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（20）机构全称：江苏东台农村商业银行股份有限公司，注册地址为东台市东城大道10号，联系电话为0515-85230810；</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（21）机构全称：江苏丰县农村商业银行股份有限公司，注册地址为江苏省丰县人民中路9号，联系电话为0516-89234728；</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（22）机构全称：江苏阜宁农村商业银行股份有限公司，注册地址为江苏省阜宁县城南新区上海路459号，联系电话为0515-87210967；</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（23）机构全称：江苏高淳农村商业银行股份有限公司，注册地址为南京市高淳区淳溪镇宝塔路123号，联系电话为025-57315973；</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（24）机构全称：江苏高邮农村商业银行股份有限公司，注册地址为江苏省高邮市文游中路28号，联系电话为0514-84602192；</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（25）机构全称：江苏灌南农村商业银行股份有限公司，注册地址为江苏省连云港市灌南县人民路29号，联系电话为0518-83212998；</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（26）机构全称：江苏灌云农村商业银行股份有限公司，注册地址为江苏省灌云县伊山镇水利路东侧（人民路与水利路交汇处），联系电话为0518-88115807；</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（27）机构全称：江苏海安农村商业银行股份有限公司，注册地址为江苏省海安市海安镇长江中路88号，联系电话为0513-88926206；</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（28）机构全称：江苏海门农村商业银行股份有限公司，注册地址为江苏省南通市海门区解放中路137号，联系电话为0513-68050800；</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（29）机构全称：江苏洪泽农村商业银行股份有限公司，注册地址为江苏省淮安市洪泽区人民路23号，联系电话为0517-87206333；</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（30）机构全称：江苏淮安农村商业银行股份有限公司，注册地址为江苏省淮安市清江浦区水渡口大道20号金融中心B1号楼，联系电话为0517-89899015；</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（31）机构全称：江苏建湖农村商业银行股份有限公司，注册地址为江苏省建湖县湖中南路958号，联系电话为13815553398,0515-80629680；</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（32）机构全称：江苏姜堰农村商业银行股份有限公司，注册地址为泰州市姜堰区姜堰大道128号，联系电话为0523-88262560；</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（33）机构全称：江苏江都农村商业银行股份有限公司，注册地址为扬州市江都区龙城路21号，联系电话为0514-86552388,0514-86995122；</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（34）机构全称：江苏江南农村商业银行股份有限公司，注册地址为江苏省常州市武进区延政中路9号，联系电话为0519-89995161；</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（35）机构全称：江苏江阴农村商业银行股份有限公司，注册地址为江阴市澄江中路1号，联系电话为0510-86851978；</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（36）机构全称：江苏金湖农村商业银行股份有限公司，注册地址为江苏省金湖县健康西路1号，联系电话为0517-86859088；</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（37）机构全称：江苏靖江农村商业银行股份有限公司，注册地址为江苏省靖江市南环路66号，联系电话为0523-85121020；</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（38）机构全称：江苏句容农村商业银行股份有限公司，注册地址为江苏省句容市福地东路66号，联系电话为0511-87263211,0511-87275955；</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（39）机构全称：江苏涟水农村商业银行股份有限公司，注册地址为涟水县涟城镇涟州路5号，联系电话为0517-80827618；</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（40）机构全称：江苏民丰农村商业银行股份有限公司，注册地址为江苏省宿迁市宿城区高宝湖路1号，联系电话为0527-84467910；</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（41）机构全称：江苏南通农村商业银行股份有限公司，注册地址为南通市崇川区工农南路89号，联系电话为0513-86541987；</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（42）机构全称：江苏沛县农村商业银行股份有限公司，注册地址为江苏省沛县汤沐路中段11号，联系电话为0516-89631502；</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（43）机构全称：江苏启东农村商业银行股份有限公司，注册地址为江苏省启东市汇龙镇人民中路599号，联系电话为0513-83309270；</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（44）机构全称：江苏如东农村商业银行股份有限公司，注册地址为江苏省如东县掘港镇钟山路66号，联系电话为0513-84118602；</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（45）机构全称：江苏如皋农村商业银行股份有限公司，注册地址为江苏省如皋市如城街道海阳南路999号，联系电话为0513-87616082；</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（46）机构全称：江苏苏州农村商业银行股份有限公司，注册地址为江苏省苏州市吴江区中山南路1777号，联系电话为0512-63969966,0512-63969870；</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（47）机构全称：江苏泰兴农村商业银行股份有限公司，注册地址为泰兴市国庆中路8号，联系电话为0523-87639340；</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（48）机构全称：江苏响水农村商业银行股份有限公司，注册地址为江苏省响水县双园东路北侧，联系电话为0515-86889190；</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（49）机构全称：江苏新沂农村商业银行股份有限公司，注册地址为新沂市钟吾路163号，联系电话为0516-88927411；</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（50）机构全称：江苏兴化农村商业银行股份有限公司，注册地址为江苏省兴化市长安南路999号，联系电话为0523-83328800；</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（51）机构全称：江苏盐城农村商业银行股份有限公司，注册地址为盐城市盐南高新区新都西路8号，联系电话为0515-8387406,0515-88350328；</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（52）机构全称：江苏扬中农村商业银行股份有限公司，注册地址为扬中市扬子西路79号，联系电话为0511-88212395；</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（53）机构全称：江苏扬州农村商业银行股份有限公司，注册地址为扬州市同泰路107号，联系电话为0514-82930926；</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（54）机构全称：江苏仪征农村商业银行股份有限公司，注册地址为江苏省仪征市真州东路101号，联系电话为0514-83442173；</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（55）机构全称：江苏宜兴农村商业银行股份有限公司，注册地址为江苏省宜兴市宜城街道解放东路579号，联系电话为0510-87330091；</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（56）机构全称：江苏银行股份有限公司，注册地址为南京市中华路26号，联系电话为025-52890919；</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（57）机构全称：江苏张家港农村商业银行股份有限公司，注册地址为张家港市杨舍镇人民中路66号，联系电话为0512-56961859,0512-56962839；</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（58）机构全称：江苏镇江农村商业银行股份有限公司，注册地址为江苏省镇江市永安路2-1，联系电话为0511-84439088,0511-85013718；</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（59）机构全称：江苏紫金农村商业银行股份有限公司，注册地址为南京市建邺区江东中路381号，联系电话为025-88866792；</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（60）机构全称：江苏邳州农村商业银行股份有限公司，注册地址为邳州市建设中路16号，联系电话为0516-86234450；</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（61）机构全称：江苏沭阳农村商业银行股份有限公司，注册地址为江苏省沭阳县苏州东路与台州南路交汇处，联系电话为0527-83663028；</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（62）机构全称：江苏泗洪农村商业银行股份有限公司，注册地址为江苏省泗洪县长江路17号，联系电话为0527-86228917；</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（63）机构全称：江苏泗阳农村商业银行股份有限公司，注册地址为江苏省泗洪县长江路17号，联系电话为0527-85275008；</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（64）机构全称：江苏溧水农村商业银行股份有限公司，注册地址为南京市溧水县永阳镇中山路22号，联系电话为025-57201229；</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（65）机构全称：江苏盱眙农村商业银行股份有限公司，注册地址为江苏省盱眙县合欢大道2号，联系电话为0517-88265342；</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（66）机构全称：江苏睢宁农村商业银行股份有限公司，注册地址为江苏省睢宁县元府东街99号，联系电话为0516-88331669；</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（67）机构全称：交通银行股份有限公司，注册地址为中国(上海)自由贸易试验区银城中路188号，联系电话为021-23538555,852-21622517,852-21622519；</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（68）机构全称：晋商银行股份有限公司，注册地址为山西省太原市小店区长风街59号，联系电话为053195105588；</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（69）机构全称：九江银行股份有限公司，注册地址为江西省九江市濂溪区长虹大道619号，联系电话为0791-7783032；</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（70）机构全称：莱商银行股份有限公司，注册地址为山东省济南市莱芜高新区龙潭东大街137号，联系电话为0531-78861235；</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（71）机构全称：连云港东方农村商业银行股份有限公司，注册地址为江苏省连云港市海州区郁洲南路10号，联系电话为0518-85820598,0518-85820527；</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（72）机构全称：宁波慈溪农村商业银行股份有限公司，注册地址为浙江省慈溪市浒山街道南城路25号，联系电话为0574-63813536,0574-63810683；</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（73）机构全称：宁波东海银行股份有限公司，注册地址为浙江省宁波市鄞州区和济街181号1幢4、5、6、7层，宁波市鄞州区民安东路292号，宁波市鄞州区鼎泰路355号，联系电话为0574-81872233；</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（74）机构全称：宁波通商银行股份有限公司，注册地址为浙江省宁波市鄞州区民安东路337号，联系电话为0574-83096666；</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（75）机构全称：宁波余姚农村商业银行股份有限公司，注册地址为浙江省余姚市新建路69号，联系电话为0574-62628808；</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（76）机构全称：宁波镇海农村商业银行股份有限公司，注册地址为宁波市镇海区骆驼街道镇海大道中段788号，联系电话为0574-86298619；</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（77）机构全称：宁波甬城农村商业银行股份有限公司，注册地址为浙江省宁波市江北区育才路15、17号，联系电话为0574-83862383；</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（78）机构全称：齐鲁银行股份有限公司，注册地址为山东省济南市历下区经十路10817号，联系电话为400-609-6588；</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（79）机构全称：秦皇岛银行股份有限公司，注册地址为河北省秦皇岛市海港区河北大街西段560号，联系电话为0335-5911197；</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（80）机构全称：日照银行股份有限公司，注册地址为山东省日照市烟台路197号，联系电话为0633-8081739；</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（81）机构全称：山西银行股份有限公司，注册地址为山西转型综合改革示范区学府产业园高新街15号，联系电话为0351-96588；</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（82）机构全称：上海农村商业银行股份有限公司，注册地址为上海市黄浦区中山东二路70号，联系电话为021-962999；</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（83）机构全称：上海浦东发展银行股份有限公司，注册地址为上海市中山东一路12号，联系电话为021-63611226,021-61618888；</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（84）机构全称：上海银行股份有限公司，注册地址为中国（上海）自由贸易试验区银城中路168号，联系电话为18817580513；</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（85）机构全称：深圳农村商业银行股份有限公司，注册地址为深圳市宝安区新安街道海旺社区海秀路2028号农商银行大厦，联系电话为0755-25189923；</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（86）机构全称：石嘴山银行股份有限公司，注册地址为宁夏回族自治区石嘴山市大武口区朝阳西街39号，联系电话为18695106576；</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（87）机构全称：苏银理财有限责任公司，注册地址为</w:t>
      </w:r>
      <w:r>
        <w:rPr>
          <w:rFonts w:hint="default" w:ascii="楷体" w:hAnsi="楷体" w:eastAsia="楷体" w:cs="浠垮畫"/>
          <w:kern w:val="0"/>
          <w:sz w:val="21"/>
          <w:szCs w:val="21"/>
          <w:lang w:val="en-US" w:eastAsia="zh-CN"/>
        </w:rPr>
        <w:t>南京市建邺区江山大街70号国际博览中心三期B幢11-13层</w:t>
      </w:r>
      <w:r>
        <w:rPr>
          <w:rFonts w:hint="eastAsia" w:ascii="楷体" w:hAnsi="楷体" w:eastAsia="楷体" w:cs="楷体"/>
          <w:b w:val="0"/>
          <w:bCs w:val="0"/>
          <w:sz w:val="21"/>
          <w:szCs w:val="21"/>
          <w:highlight w:val="none"/>
          <w:u w:val="none"/>
          <w:lang w:val="en-US" w:eastAsia="zh-CN"/>
        </w:rPr>
        <w:t>，联系电话为</w:t>
      </w:r>
      <w:r>
        <w:rPr>
          <w:rFonts w:hint="eastAsia" w:ascii="楷体" w:hAnsi="楷体" w:eastAsia="楷体" w:cs="浠垮畫"/>
          <w:kern w:val="0"/>
          <w:sz w:val="21"/>
          <w:szCs w:val="21"/>
        </w:rPr>
        <w:t>95319</w:t>
      </w:r>
      <w:r>
        <w:rPr>
          <w:rFonts w:hint="eastAsia" w:ascii="楷体" w:hAnsi="楷体" w:eastAsia="楷体" w:cs="浠垮畫"/>
          <w:kern w:val="0"/>
          <w:sz w:val="21"/>
          <w:szCs w:val="21"/>
          <w:lang w:val="en-US" w:eastAsia="zh-CN"/>
        </w:rPr>
        <w:t>-8-2</w:t>
      </w:r>
      <w:r>
        <w:rPr>
          <w:rFonts w:hint="eastAsia" w:ascii="楷体" w:hAnsi="楷体" w:eastAsia="楷体" w:cs="楷体"/>
          <w:b w:val="0"/>
          <w:bCs w:val="0"/>
          <w:sz w:val="21"/>
          <w:szCs w:val="21"/>
          <w:highlight w:val="none"/>
          <w:u w:val="none"/>
          <w:lang w:val="en-US" w:eastAsia="zh-CN"/>
        </w:rPr>
        <w:t>；</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（88）机构全称：苏州银行股份有限公司，注册地址为江苏省苏州工业园区钟园路728号，联系电话为18692116885；</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（89）机构全称：台州银行股份有限公司，注册地址为台州市路桥区南官大道92号，联系电话为0576-89036991；</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（90）机构全称：泰安银行股份有限公司，注册地址为山东省泰安市长城路3号圣地大厦，联系电话为15254122657；</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（91）机构全称：天津滨海农村商业银行股份有限公司，注册地址为天津自贸试验区(空港经济区)西三道158号金融中心1号楼，联系电话为022-24867897；</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（92）机构全称：威海银行股份有限公司，注册地址为威海市宝泉路9号，联系电话为0531-68978309；</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（93）机构全称：潍坊银行股份有限公司，注册地址为山东省潍坊市胜利东街5139号，联系电话为0536-8106506；</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（94）机构全称：厦门银行股份有限公司，注册地址为厦门市思明区湖滨北路，联系电话为400-858-8888；</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（95）机构全称：兴业银行股份有限公司，注册地址为福州市湖东路154号，联系电话为0591-87824863；</w:t>
      </w:r>
    </w:p>
    <w:p>
      <w:pPr>
        <w:pStyle w:val="15"/>
        <w:ind w:left="0" w:firstLine="420"/>
        <w:rPr>
          <w:rFonts w:hint="default" w:ascii="楷体" w:hAnsi="楷体" w:eastAsia="楷体" w:cs="楷体"/>
          <w:b w:val="0"/>
          <w:bCs w:val="0"/>
          <w:sz w:val="21"/>
          <w:szCs w:val="21"/>
          <w:highlight w:val="yellow"/>
          <w:u w:val="none"/>
          <w:lang w:val="en-US" w:eastAsia="zh-CN"/>
        </w:rPr>
      </w:pPr>
      <w:r>
        <w:rPr>
          <w:rFonts w:hint="eastAsia" w:ascii="楷体" w:hAnsi="楷体" w:eastAsia="楷体" w:cs="楷体"/>
          <w:b w:val="0"/>
          <w:bCs w:val="0"/>
          <w:sz w:val="21"/>
          <w:szCs w:val="21"/>
          <w:highlight w:val="none"/>
          <w:u w:val="none"/>
          <w:lang w:val="en-US" w:eastAsia="zh-CN"/>
        </w:rPr>
        <w:t>（96）机构全称：徐州农村商业银行股份有限公司，注册地址为江苏省徐州市铜山区北京南路26号，联系电话为96008；</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（97）机构全称：浙江安吉农村商业银行股份有限公司，注册地址为浙江省湖州市安吉县昌硕街道昌硕东路1号，联系电话为0572-5037522,0572-5033871,0572-5025873；</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（98）机构全称：浙江苍南农村商业银行股份有限公司，注册地址为浙江省苍南县灵溪镇人民大道425号，联系电话为0577-68892010；</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（99）机构全称：浙江长兴农村商业银行股份有限公司，注册地址为浙江省湖州市长兴县太湖街道明珠路1298号，联系电话为0572-6052738；</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（100）机构全称：浙江淳安农村商业银行股份有限公司，注册地址为浙江省杭州市淳安县千岛湖镇环湖北路369号，联系电话为0571-64833000；</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（101）机构全称：浙江德清农村商业银行股份有限公司，注册地址为浙江省德清县武康街道沈长圩街50号，联系电话为0572-8018202；</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（102）机构全称：浙江东阳农村商业银行股份有限公司，注册地址为东阳市双岘路18号，联系电话为021-58528326,021-58528327；</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（103）机构全称：浙江海宁农村商业银行股份有限公司，注册地址为浙江省嘉兴市海宁市海洲街道钱江西路278号，联系电话为0573-87032144；</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（104）机构全称：浙江海盐农村商业银行股份有限公司，注册地址为浙江省海盐县武原街道枣园西路176号，联系电话为0573-86166325；</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（105）机构全称：浙江杭州余杭农村商业银行股份有限公司，注册地址为浙江省杭州市临平区南苑街道大街72号，联系电话为0571-86167005；</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（106）机构全称：浙江禾城农村商业银行股份有限公司，注册地址为浙江省嘉兴市经济技术开发区文昌路1229号，联系电话为0573-82715521；</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（107）机构全称：浙江嘉善农村商业银行股份有限公司，注册地址为浙江省嘉兴市嘉善县罗星街道车站南路999号，联系电话为0573-84226627；</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（108）机构全称：浙江建德农村商业银行股份有限公司，注册地址为浙江省衢州市衢江区樟潭街道信安东路37号，联系电话为0570-3020516；</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（109）机构全称：浙江江山农村商业银行股份有限公司，注册地址为浙江省江山市区江滨路188号，联系电话为0570-4062110；</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（110）机构全称：浙江金华成泰农村商业银行股份有限公司，注册地址为浙江省金华市八一南街123号，联系电话为0579-83182012；</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（111）机构全称：浙江开化农村商业银行股份有限公司，注册地址为浙江省衢州市开化县华埠镇永吉二路8号，联系电话为0570-6025125；</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（112）机构全称：浙江兰溪农村商业银行股份有限公司，注册地址为浙江省兰溪市兰江街道丹溪大道18号，联系电话为0579-88391133；</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（113）机构全称：浙江乐清农村商业银行股份有限公司，注册地址为浙江省乐清市城南街道伯乐西路99号，联系电话为0577-61566028,0577-62553892,0577-61527888；</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（114）机构全称：浙江临安农村商业银行股份有限公司，注册地址为浙江省杭州市临安区锦城街道城中街442号，联系电话为0571-63723042；</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（115）机构全称：浙江临海农村商业银行股份有限公司，注册地址为浙江省台州市临海市大洋街道河阳路299号，联系电话为13736669927；</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（116）机构全称：浙江龙泉农村商业银行股份有限公司，注册地址为浙江省丽水市龙泉市龙渊街道中山东路101号，联系电话为0578-7761306；</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（117）机构全称：浙江龙游农村商业银行股份有限公司，注册地址为浙江省衢州市龙游县龙洲街道荣昌大道683、685、687号，联系电话为0570-7010706；</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（118）机构全称：浙江南浔农村商业银行股份有限公司，注册地址为浙江省湖州市南浔区南浔镇人瑞路1188号，联系电话为0572-3913364；</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（119）机构全称：浙江平湖农村商业银行股份有限公司，注册地址为浙江省平湖市当湖街道胜利路518号，联系电话为0573-85135897；</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（120）机构全称：浙江浦江农村商业银行股份有限公司，注册地址为浙江省浦江县人民东路90号，联系电话为0579-84116117；</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（121）机构全称：浙江青田农村商业银行股份有限公司，注册地址为浙江省青田县鹤城街道鹤城东路180号，联系电话为0578-6752052；</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（122）机构全称：浙江瑞安农村商业银行股份有限公司，注册地址为浙江省瑞安市安阳街道万松东路148号，联系电话为0577-65813089；</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（123）机构全称：浙江上虞农村商业银行股份有限公司，注册地址为浙江省绍兴市上虞区德盛路55号，联系电话为0575-82110785；</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（124）机构全称：浙江绍兴恒信农村商业银行股份有限公司，注册地址为浙江省绍兴市中兴中路159号，联系电话为0575-85134511；</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（125）机构全称：浙江绍兴瑞丰农村商业银行股份有限公司，注册地址为浙江省绍兴市柯桥区柯桥笛扬路1363号，联系电话为0575-81105353；</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（126）机构全称：浙江松阳农村商业银行股份有限公司，注册地址为浙江省丽水市松阳县水南街道要津南路71号，联系电话为0578-8063165；</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（127）机构全称：浙江遂昌农村商业银行股份有限公司，注册地址为浙江省丽水市遂昌县妙高街道溪边路100号，联系电话为0578-8134102；</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（128）机构全称：浙江台州黄岩农村商业银行股份有限公司，注册地址为浙江省台州市黄岩区洞天路88号，联系电话为0576-89199001；</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（129）机构全称：浙江台州路桥农村商业银行股份有限公司，注册地址为浙江省台州市路桥区西路桥大道328号，联系电话为0576-82519011；</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（130）机构全称：浙江泰顺农村商业银行股份有限公司，注册地址为浙江省温州市泰顺县罗阳镇新城区文祥大道181号，联系电话为0577-67587355；</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（131）机构全称：浙江天台农村商业银行股份有限公司，注册地址为浙江省天台县赤城街道飞鹤路358号，联系电话为0576-89351521；</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（132）机构全称：浙江桐庐农村商业银行股份有限公司，注册地址为浙江省杭州市桐庐县城迎春南路278号，联系电话为0571-64211632；</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（133）机构全称：浙江桐乡农村商业银行股份有限公司，注册地址为浙江省嘉兴市桐乡市梧桐街道校场东路59号，联系电话为0573-88022305；</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（134）机构全称：浙江温岭农村商业银行股份有限公司，注册地址为浙江省温岭市城东街道下保路100号，联系电话为0576-86207927；</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（135）机构全称：浙江温州龙湾农村商业银行股份有限公司，注册地址为浙江省温州市龙湾区永中街道永宁西路555号，联系电话为0577-86922601,0577-86932139；</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（136）机构全称：浙江温州鹿城农村商业银行股份有限公司，注册地址为浙江省温州市会展路1500号富银大厦，联系电话为0577-88095618；</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（137）机构全称：浙江温州瓯海农村商业银行股份有限公司，注册地址为浙江省温州市瓯海区瓯海大道989号，联系电话为0577-88378510；</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（138）机构全称：浙江文成农村商业银行股份有限公司，注册地址为浙江省温州市文成县大峃镇体育场路509-520号，联系电话为0577-67866321；</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（139）机构全称：浙江武义农村商业银行股份有限公司，注册地址为浙江省武义县城武阳中路37号，联系电话为0579-87663486；</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（140）机构全称：浙江仙居农村商业银行股份有限公司，注册地址为浙江省仙居县南峰街道穿城中路21号，联系电话为0576-87771286；</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（141）机构全称：浙江萧山农村商业银行股份有限公司，注册地址为浙江省杭州市萧山区盈丰街道鸿宁路2288号，联系电话为0571-83815691；</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（142）机构全称：浙江新昌农村商业银行股份有限公司，注册地址为浙江省新昌县七星街道七星路18号，联系电话为0575-86266010；</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（143）机构全称：浙江义乌农村商业银行股份有限公司，注册地址为浙江省义乌市城北路677号，联系电话为0579-85562975；</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（144）机构全称：浙江永嘉农村商业银行股份有限公司，注册地址为浙江省温州市永嘉县瓯北街道阳光大道3918号，联系电话为0577-67254108；</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（145）机构全称：浙江永康农村商业银行股份有限公司，注册地址为浙江省金华市永康市九铃东路3259号，联系电话为0579-87169095；</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（146）机构全称：浙江舟山定海海洋农村商业银行股份有限公司，注册地址为浙江省舟山市定海区环城东路81号，联系电话为0580-2060007；</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（147）机构全称：浙江舟山普陀农村商业银行股份有限公司，注册地址为浙江省舟山市普陀区东港街道麒麟街225号，联系电话为0580-3803350；</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（148）机构全称：浙江诸暨农村商业银行股份有限公司，注册地址为浙江省诸暨市暨阳街道大桥东路2号，联系电话为0575-87008705；</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（149）机构全称：浙江岱山农村商业银行股份有限公司，注册地址为浙江省舟山市岱山县高亭镇衢山大道1009号，联系电话为0580-4261787；</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（150）机构全称：浙江嵊州农村商业银行股份有限公司，注册地址为浙江省绍兴市嵊州市剡湖街道官河路398号，联系电话为0575-83181288；</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（151）机构全称：浙江衢州柯城农村商业银行股份有限公司，注册地址为浙江省衢州市柯城区上街92号，联系电话为0570-3027556；</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（152）机构全称：浙江缙云农村商业银行股份有限公司，注册地址为浙江省丽水市缙云县五云镇新区仙都路68号，联系电话为0571-3123043；</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（153）机构全称：浙商银行股份有限公司，注册地址为浙江省杭州市上城区民心路1号，联系电话为0571-88268966；</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（154）机构全称：郑州银行股份有限公司，注册地址为河南省郑州市郑东新区商务外环路22号，联系电话为0371-67009199；</w:t>
      </w:r>
    </w:p>
    <w:p>
      <w:pPr>
        <w:pStyle w:val="15"/>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（155）机构全称：中山农村商业银行股份有限公司，注册地址为广东省中山市东区中山三路26号之一，联系电话为0760-88382106；</w:t>
      </w:r>
    </w:p>
    <w:p>
      <w:pPr>
        <w:pStyle w:val="15"/>
        <w:ind w:left="0" w:firstLine="42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（156）机构全称：中邮邮惠万家银行有限责任公司，注册地址为上海市虹口区东大名路1080号25层、26层，联系电话为95504；</w:t>
      </w:r>
    </w:p>
    <w:p>
      <w:pPr>
        <w:pStyle w:val="15"/>
        <w:ind w:left="0" w:firstLine="420"/>
        <w:rPr>
          <w:rFonts w:hint="eastAsia" w:ascii="楷体" w:hAnsi="楷体" w:eastAsia="楷体" w:cs="楷体"/>
          <w:color w:val="000000"/>
          <w:kern w:val="0"/>
          <w:sz w:val="20"/>
          <w:szCs w:val="20"/>
          <w:highlight w:val="none"/>
          <w:lang w:val="en-US" w:eastAsia="zh-CN"/>
        </w:rPr>
      </w:pPr>
      <w:r>
        <w:rPr>
          <w:rFonts w:hint="eastAsia" w:ascii="楷体" w:hAnsi="楷体" w:eastAsia="楷体" w:cs="楷体"/>
          <w:b w:val="0"/>
          <w:bCs w:val="0"/>
          <w:sz w:val="21"/>
          <w:szCs w:val="21"/>
          <w:highlight w:val="none"/>
          <w:u w:val="none"/>
          <w:lang w:val="en-US" w:eastAsia="zh-CN"/>
        </w:rPr>
        <w:t>（157）机构全称：</w:t>
      </w:r>
      <w:r>
        <w:rPr>
          <w:rFonts w:hint="eastAsia" w:ascii="楷体" w:hAnsi="楷体" w:eastAsia="楷体" w:cs="楷体"/>
          <w:color w:val="000000"/>
          <w:kern w:val="0"/>
          <w:sz w:val="20"/>
          <w:szCs w:val="20"/>
          <w:highlight w:val="none"/>
          <w:lang w:val="en-US" w:eastAsia="zh-CN"/>
        </w:rPr>
        <w:t>兰州银行股份有限公司</w:t>
      </w:r>
      <w:r>
        <w:rPr>
          <w:rFonts w:hint="eastAsia" w:ascii="楷体" w:hAnsi="楷体" w:eastAsia="楷体" w:cs="楷体"/>
          <w:b w:val="0"/>
          <w:bCs w:val="0"/>
          <w:sz w:val="21"/>
          <w:szCs w:val="21"/>
          <w:highlight w:val="none"/>
          <w:u w:val="none"/>
          <w:lang w:val="en-US" w:eastAsia="zh-CN"/>
        </w:rPr>
        <w:t>，注册地址为甘肃省兰州市城关区酒泉路211号，联系电话为0931-4600239；</w:t>
      </w:r>
    </w:p>
    <w:p>
      <w:pPr>
        <w:pStyle w:val="15"/>
        <w:ind w:left="0" w:firstLine="420"/>
        <w:rPr>
          <w:rFonts w:hint="default" w:ascii="楷体" w:hAnsi="楷体" w:eastAsia="楷体" w:cs="楷体"/>
          <w:b w:val="0"/>
          <w:bCs w:val="0"/>
          <w:sz w:val="21"/>
          <w:szCs w:val="21"/>
          <w:highlight w:val="yellow"/>
          <w:u w:val="none"/>
          <w:lang w:val="en-US" w:eastAsia="zh-CN"/>
        </w:rPr>
      </w:pPr>
      <w:r>
        <w:rPr>
          <w:rFonts w:hint="eastAsia" w:ascii="楷体" w:hAnsi="楷体" w:eastAsia="楷体" w:cs="楷体"/>
          <w:color w:val="000000"/>
          <w:kern w:val="0"/>
          <w:sz w:val="20"/>
          <w:szCs w:val="20"/>
          <w:highlight w:val="none"/>
          <w:lang w:val="en-US" w:eastAsia="zh-CN"/>
        </w:rPr>
        <w:t>（158）</w:t>
      </w:r>
      <w:r>
        <w:rPr>
          <w:rFonts w:hint="eastAsia" w:ascii="楷体" w:hAnsi="楷体" w:eastAsia="楷体" w:cs="楷体"/>
          <w:b w:val="0"/>
          <w:bCs w:val="0"/>
          <w:sz w:val="21"/>
          <w:szCs w:val="21"/>
          <w:highlight w:val="none"/>
          <w:u w:val="none"/>
          <w:lang w:val="en-US" w:eastAsia="zh-CN"/>
        </w:rPr>
        <w:t>机构全称：</w:t>
      </w:r>
      <w:r>
        <w:rPr>
          <w:rFonts w:hint="eastAsia" w:ascii="楷体" w:hAnsi="楷体" w:eastAsia="楷体" w:cs="楷体"/>
          <w:color w:val="000000"/>
          <w:kern w:val="0"/>
          <w:sz w:val="20"/>
          <w:szCs w:val="20"/>
          <w:highlight w:val="none"/>
          <w:lang w:val="en-US" w:eastAsia="zh-CN"/>
        </w:rPr>
        <w:t>成都银行股份有限公司</w:t>
      </w:r>
      <w:r>
        <w:rPr>
          <w:rFonts w:hint="eastAsia" w:ascii="楷体" w:hAnsi="楷体" w:eastAsia="楷体" w:cs="楷体"/>
          <w:b w:val="0"/>
          <w:bCs w:val="0"/>
          <w:sz w:val="21"/>
          <w:szCs w:val="21"/>
          <w:highlight w:val="none"/>
          <w:u w:val="none"/>
          <w:lang w:val="en-US" w:eastAsia="zh-CN"/>
        </w:rPr>
        <w:t>，注册地址为四川省成都市青羊区西御街16号，联系电话为028-86160295。</w:t>
      </w:r>
    </w:p>
    <w:p>
      <w:pPr>
        <w:keepNext w:val="0"/>
        <w:keepLines w:val="0"/>
        <w:pageBreakBefore w:val="0"/>
        <w:numPr>
          <w:ilvl w:val="0"/>
          <w:numId w:val="0"/>
        </w:numPr>
        <w:bidi w:val="0"/>
        <w:spacing w:line="240" w:lineRule="auto"/>
        <w:ind w:firstLine="420"/>
        <w:rPr>
          <w:rFonts w:hint="default" w:ascii="楷体" w:hAnsi="楷体" w:eastAsia="楷体" w:cs="楷体"/>
          <w:b w:val="0"/>
          <w:bCs w:val="0"/>
          <w:color w:val="0000FF"/>
          <w:sz w:val="21"/>
          <w:szCs w:val="21"/>
          <w:highlight w:val="none"/>
          <w:u w:val="none"/>
          <w:lang w:val="en-US" w:eastAsia="zh-CN" w:bidi="ar-SA"/>
        </w:rPr>
      </w:pPr>
      <w:r>
        <w:rPr>
          <w:rFonts w:hint="eastAsia" w:ascii="楷体" w:hAnsi="楷体" w:eastAsia="楷体" w:cs="楷体"/>
          <w:color w:val="auto"/>
          <w:sz w:val="21"/>
          <w:szCs w:val="21"/>
          <w:highlight w:val="none"/>
          <w:lang w:val="en-US" w:eastAsia="zh-CN"/>
        </w:rPr>
        <w:t>（三）关联关系情况</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22" w:firstLineChars="200"/>
        <w:textAlignment w:val="auto"/>
        <w:rPr>
          <w:rFonts w:hint="default" w:ascii="楷体" w:hAnsi="楷体" w:eastAsia="楷体" w:cs="楷体"/>
          <w:b w:val="0"/>
          <w:bCs w:val="0"/>
          <w:color w:val="0000FF"/>
          <w:kern w:val="2"/>
          <w:sz w:val="21"/>
          <w:szCs w:val="21"/>
          <w:highlight w:val="none"/>
          <w:u w:val="none"/>
          <w:lang w:val="en-US" w:eastAsia="zh-CN" w:bidi="ar-SA"/>
        </w:rPr>
      </w:pPr>
      <w:r>
        <w:rPr>
          <w:rFonts w:hint="eastAsia" w:ascii="楷体" w:hAnsi="楷体" w:eastAsia="楷体" w:cs="楷体"/>
          <w:b/>
          <w:bCs/>
          <w:color w:val="auto"/>
          <w:sz w:val="21"/>
          <w:szCs w:val="21"/>
          <w:highlight w:val="none"/>
          <w:u w:val="single"/>
          <w:lang w:val="en-US" w:eastAsia="zh-CN"/>
        </w:rPr>
        <w:t>产品管理人在此特别披露：销售机构江苏苏州农村商业银行股份有限公司、江苏仪征农村商业银行股份有限公司、江苏银行股份有限公司、苏银理财有限责任公司、苏州银行股份有限公司为产品管理人的关联方，产品管理人选择其担任销售机构已履行现行法律法规和监管规定所规定必须履行的程序。</w:t>
      </w:r>
    </w:p>
    <w:p>
      <w:pPr>
        <w:keepNext w:val="0"/>
        <w:keepLines w:val="0"/>
        <w:pageBreakBefore w:val="0"/>
        <w:numPr>
          <w:ilvl w:val="0"/>
          <w:numId w:val="1"/>
        </w:numPr>
        <w:tabs>
          <w:tab w:val="left" w:pos="1134"/>
        </w:tabs>
        <w:kinsoku/>
        <w:wordWrap/>
        <w:overflowPunct w:val="0"/>
        <w:topLinePunct w:val="0"/>
        <w:autoSpaceDE w:val="0"/>
        <w:autoSpaceDN w:val="0"/>
        <w:bidi w:val="0"/>
        <w:spacing w:line="310" w:lineRule="exact"/>
        <w:ind w:left="0" w:leftChars="0" w:firstLine="422" w:firstLineChars="200"/>
        <w:textAlignment w:val="auto"/>
        <w:outlineLvl w:val="1"/>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lang w:val="en-US" w:eastAsia="zh-CN"/>
        </w:rPr>
        <w:t>名词释义</w:t>
      </w:r>
    </w:p>
    <w:p>
      <w:pPr>
        <w:keepNext w:val="0"/>
        <w:keepLines w:val="0"/>
        <w:pageBreakBefore w:val="0"/>
        <w:kinsoku/>
        <w:wordWrap/>
        <w:overflowPunct w:val="0"/>
        <w:topLinePunct w:val="0"/>
        <w:autoSpaceDE w:val="0"/>
        <w:autoSpaceDN w:val="0"/>
        <w:bidi w:val="0"/>
        <w:spacing w:line="310" w:lineRule="exact"/>
        <w:ind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在本</w:t>
      </w: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val="0"/>
        <w:topLinePunct w:val="0"/>
        <w:autoSpaceDE w:val="0"/>
        <w:autoSpaceDN w:val="0"/>
        <w:bidi w:val="0"/>
        <w:adjustRightInd/>
        <w:snapToGrid/>
        <w:spacing w:line="310" w:lineRule="exact"/>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spacing w:line="310" w:lineRule="exact"/>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销售代码：指本理财产品可能设置一</w:t>
      </w:r>
      <w:r>
        <w:rPr>
          <w:rFonts w:hint="eastAsia" w:ascii="楷体" w:hAnsi="楷体" w:eastAsia="楷体" w:cs="Calibri"/>
          <w:sz w:val="21"/>
          <w:szCs w:val="21"/>
          <w:highlight w:val="none"/>
          <w:lang w:val="en-US" w:eastAsia="zh-CN"/>
        </w:rPr>
        <w:t>类</w:t>
      </w:r>
      <w:r>
        <w:rPr>
          <w:rFonts w:hint="eastAsia" w:ascii="楷体" w:hAnsi="楷体" w:eastAsia="楷体" w:cs="Calibri"/>
          <w:sz w:val="21"/>
          <w:szCs w:val="21"/>
          <w:highlight w:val="none"/>
        </w:rPr>
        <w:t>或多</w:t>
      </w:r>
      <w:r>
        <w:rPr>
          <w:rFonts w:hint="eastAsia" w:ascii="楷体" w:hAnsi="楷体" w:eastAsia="楷体" w:cs="Calibri"/>
          <w:sz w:val="21"/>
          <w:szCs w:val="21"/>
          <w:highlight w:val="none"/>
          <w:lang w:val="en-US" w:eastAsia="zh-CN"/>
        </w:rPr>
        <w:t>类</w:t>
      </w:r>
      <w:r>
        <w:rPr>
          <w:rFonts w:hint="eastAsia" w:ascii="楷体" w:hAnsi="楷体" w:eastAsia="楷体" w:cs="Calibri"/>
          <w:sz w:val="21"/>
          <w:szCs w:val="21"/>
          <w:highlight w:val="none"/>
        </w:rPr>
        <w:t>产品份额，管理人在理财产品销售管理过程中对各</w:t>
      </w:r>
      <w:r>
        <w:rPr>
          <w:rFonts w:hint="eastAsia" w:ascii="楷体" w:hAnsi="楷体" w:eastAsia="楷体" w:cs="Calibri"/>
          <w:sz w:val="21"/>
          <w:szCs w:val="21"/>
          <w:highlight w:val="none"/>
          <w:lang w:val="en-US" w:eastAsia="zh-CN"/>
        </w:rPr>
        <w:t>类</w:t>
      </w:r>
      <w:r>
        <w:rPr>
          <w:rFonts w:hint="eastAsia" w:ascii="楷体" w:hAnsi="楷体" w:eastAsia="楷体" w:cs="Calibri"/>
          <w:sz w:val="21"/>
          <w:szCs w:val="21"/>
          <w:highlight w:val="none"/>
        </w:rPr>
        <w:t>份额设置的</w:t>
      </w:r>
      <w:r>
        <w:rPr>
          <w:rFonts w:hint="eastAsia" w:ascii="楷体" w:hAnsi="楷体" w:eastAsia="楷体" w:cs="Calibri"/>
          <w:sz w:val="21"/>
          <w:szCs w:val="21"/>
          <w:highlight w:val="none"/>
          <w:lang w:val="en-US" w:eastAsia="zh-CN"/>
        </w:rPr>
        <w:t>内部代</w:t>
      </w:r>
      <w:r>
        <w:rPr>
          <w:rFonts w:hint="eastAsia" w:ascii="楷体" w:hAnsi="楷体" w:eastAsia="楷体" w:cs="Calibri"/>
          <w:sz w:val="21"/>
          <w:szCs w:val="21"/>
          <w:highlight w:val="none"/>
        </w:rPr>
        <w:t>码。</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spacing w:line="310" w:lineRule="exact"/>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spacing w:line="310" w:lineRule="exact"/>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理财</w:t>
      </w:r>
      <w:r>
        <w:rPr>
          <w:rFonts w:hint="eastAsia" w:ascii="楷体" w:hAnsi="楷体" w:eastAsia="楷体" w:cs="Calibri"/>
          <w:sz w:val="21"/>
          <w:szCs w:val="21"/>
          <w:highlight w:val="none"/>
        </w:rPr>
        <w:t>产品资产总值：指产品拥有的各类有价证券、银行存款、应收款项及其他资产的价值总和。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val="0"/>
        <w:topLinePunct w:val="0"/>
        <w:autoSpaceDE w:val="0"/>
        <w:autoSpaceDN w:val="0"/>
        <w:bidi w:val="0"/>
        <w:adjustRightInd/>
        <w:snapToGrid/>
        <w:spacing w:line="310" w:lineRule="exact"/>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指产品运作及融资时形成的负债价值总和，包括融资资金本息、应付各项费用（包括托管费、销售服务费、</w:t>
      </w:r>
      <w:r>
        <w:rPr>
          <w:rFonts w:hint="eastAsia" w:ascii="楷体" w:hAnsi="楷体" w:eastAsia="楷体" w:cs="楷体"/>
          <w:color w:val="auto"/>
          <w:sz w:val="21"/>
          <w:szCs w:val="21"/>
          <w:highlight w:val="none"/>
          <w:lang w:val="en-US" w:eastAsia="zh-CN"/>
        </w:rPr>
        <w:t>固定</w:t>
      </w:r>
      <w:r>
        <w:rPr>
          <w:rFonts w:hint="eastAsia" w:ascii="楷体" w:hAnsi="楷体" w:eastAsia="楷体" w:cs="楷体"/>
          <w:color w:val="auto"/>
          <w:sz w:val="21"/>
          <w:szCs w:val="21"/>
          <w:highlight w:val="none"/>
        </w:rPr>
        <w:t>管理费、</w:t>
      </w:r>
      <w:r>
        <w:rPr>
          <w:rFonts w:hint="eastAsia" w:ascii="楷体" w:hAnsi="楷体" w:eastAsia="楷体" w:cs="楷体"/>
          <w:color w:val="auto"/>
          <w:sz w:val="21"/>
          <w:szCs w:val="21"/>
          <w:highlight w:val="none"/>
          <w:lang w:val="en-US" w:eastAsia="zh-CN"/>
        </w:rPr>
        <w:t>信息技术服务费、浮动管理费</w:t>
      </w:r>
      <w:r>
        <w:rPr>
          <w:rFonts w:hint="eastAsia" w:ascii="楷体" w:hAnsi="楷体" w:eastAsia="楷体" w:cs="楷体"/>
          <w:color w:val="auto"/>
          <w:sz w:val="21"/>
          <w:szCs w:val="21"/>
          <w:highlight w:val="none"/>
        </w:rPr>
        <w:t>、其他费用等）、应付税金及其他应付款项等。</w:t>
      </w:r>
    </w:p>
    <w:p>
      <w:pPr>
        <w:keepNext w:val="0"/>
        <w:keepLines w:val="0"/>
        <w:pageBreakBefore w:val="0"/>
        <w:widowControl w:val="0"/>
        <w:numPr>
          <w:ilvl w:val="0"/>
          <w:numId w:val="4"/>
        </w:numPr>
        <w:tabs>
          <w:tab w:val="left" w:pos="728"/>
          <w:tab w:val="clear" w:pos="420"/>
        </w:tabs>
        <w:kinsoku/>
        <w:wordWrap/>
        <w:overflowPunct w:val="0"/>
        <w:topLinePunct w:val="0"/>
        <w:autoSpaceDE w:val="0"/>
        <w:autoSpaceDN w:val="0"/>
        <w:bidi w:val="0"/>
        <w:adjustRightInd/>
        <w:snapToGrid/>
        <w:spacing w:line="310" w:lineRule="exact"/>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val="0"/>
        <w:topLinePunct w:val="0"/>
        <w:autoSpaceDE w:val="0"/>
        <w:autoSpaceDN w:val="0"/>
        <w:bidi w:val="0"/>
        <w:adjustRightInd/>
        <w:snapToGrid/>
        <w:spacing w:line="310" w:lineRule="exact"/>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val="0"/>
        <w:topLinePunct w:val="0"/>
        <w:autoSpaceDE w:val="0"/>
        <w:autoSpaceDN w:val="0"/>
        <w:bidi w:val="0"/>
        <w:adjustRightInd/>
        <w:snapToGrid/>
        <w:spacing w:line="310" w:lineRule="exact"/>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val="0"/>
        <w:topLinePunct w:val="0"/>
        <w:autoSpaceDE w:val="0"/>
        <w:autoSpaceDN w:val="0"/>
        <w:bidi w:val="0"/>
        <w:adjustRightInd/>
        <w:snapToGrid/>
        <w:spacing w:line="310" w:lineRule="exact"/>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流动性受限资产：</w:t>
      </w:r>
      <w:r>
        <w:rPr>
          <w:rFonts w:hint="eastAsia" w:ascii="楷体" w:hAnsi="楷体" w:eastAsia="楷体" w:cs="楷体"/>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val="0"/>
        <w:topLinePunct w:val="0"/>
        <w:autoSpaceDE w:val="0"/>
        <w:autoSpaceDN w:val="0"/>
        <w:bidi w:val="0"/>
        <w:adjustRightInd/>
        <w:snapToGrid/>
        <w:spacing w:line="310" w:lineRule="exact"/>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kern w:val="2"/>
          <w:sz w:val="21"/>
          <w:szCs w:val="21"/>
          <w:highlight w:val="none"/>
        </w:rPr>
        <w:t>7个工作日可变现资产</w:t>
      </w:r>
      <w:r>
        <w:rPr>
          <w:rFonts w:hint="eastAsia" w:ascii="楷体" w:hAnsi="楷体" w:eastAsia="楷体" w:cs="楷体"/>
          <w:kern w:val="2"/>
          <w:sz w:val="21"/>
          <w:szCs w:val="21"/>
          <w:highlight w:val="none"/>
          <w:lang w:eastAsia="zh-CN"/>
        </w:rPr>
        <w:t>：</w:t>
      </w:r>
      <w:r>
        <w:rPr>
          <w:rFonts w:hint="eastAsia" w:ascii="楷体" w:hAnsi="楷体" w:eastAsia="楷体" w:cs="楷体"/>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val="0"/>
        <w:topLinePunct w:val="0"/>
        <w:autoSpaceDE w:val="0"/>
        <w:autoSpaceDN w:val="0"/>
        <w:bidi w:val="0"/>
        <w:adjustRightInd/>
        <w:snapToGrid/>
        <w:spacing w:line="310" w:lineRule="exact"/>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期间与日期</w:t>
      </w:r>
    </w:p>
    <w:p>
      <w:pPr>
        <w:keepNext w:val="0"/>
        <w:keepLines w:val="0"/>
        <w:pageBreakBefore w:val="0"/>
        <w:widowControl w:val="0"/>
        <w:numPr>
          <w:ilvl w:val="0"/>
          <w:numId w:val="5"/>
        </w:numPr>
        <w:tabs>
          <w:tab w:val="left" w:pos="728"/>
          <w:tab w:val="clear" w:pos="420"/>
        </w:tabs>
        <w:kinsoku/>
        <w:wordWrap/>
        <w:overflowPunct w:val="0"/>
        <w:topLinePunct w:val="0"/>
        <w:autoSpaceDE w:val="0"/>
        <w:autoSpaceDN w:val="0"/>
        <w:bidi w:val="0"/>
        <w:adjustRightInd/>
        <w:snapToGrid/>
        <w:spacing w:line="310" w:lineRule="exact"/>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工作日：指国家法定工作日。</w:t>
      </w:r>
    </w:p>
    <w:p>
      <w:pPr>
        <w:keepNext w:val="0"/>
        <w:keepLines w:val="0"/>
        <w:pageBreakBefore w:val="0"/>
        <w:widowControl w:val="0"/>
        <w:numPr>
          <w:ilvl w:val="0"/>
          <w:numId w:val="5"/>
        </w:numPr>
        <w:tabs>
          <w:tab w:val="left" w:pos="728"/>
          <w:tab w:val="clear" w:pos="420"/>
        </w:tabs>
        <w:kinsoku/>
        <w:wordWrap/>
        <w:overflowPunct w:val="0"/>
        <w:topLinePunct w:val="0"/>
        <w:autoSpaceDE w:val="0"/>
        <w:autoSpaceDN w:val="0"/>
        <w:bidi w:val="0"/>
        <w:adjustRightInd/>
        <w:snapToGrid/>
        <w:spacing w:line="310" w:lineRule="exact"/>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交易日：指上海证券交易所和深圳证券交易所的正常开盘交易日。</w:t>
      </w:r>
    </w:p>
    <w:p>
      <w:pPr>
        <w:keepNext w:val="0"/>
        <w:keepLines w:val="0"/>
        <w:pageBreakBefore w:val="0"/>
        <w:widowControl w:val="0"/>
        <w:numPr>
          <w:ilvl w:val="0"/>
          <w:numId w:val="5"/>
        </w:numPr>
        <w:tabs>
          <w:tab w:val="left" w:pos="728"/>
          <w:tab w:val="clear" w:pos="420"/>
        </w:tabs>
        <w:kinsoku/>
        <w:wordWrap/>
        <w:overflowPunct w:val="0"/>
        <w:topLinePunct w:val="0"/>
        <w:autoSpaceDE w:val="0"/>
        <w:autoSpaceDN w:val="0"/>
        <w:bidi w:val="0"/>
        <w:adjustRightInd/>
        <w:snapToGrid/>
        <w:spacing w:line="310" w:lineRule="exact"/>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份额登记日/份额确认日：指管理人对投资者提交的</w:t>
      </w:r>
      <w:r>
        <w:rPr>
          <w:rFonts w:hint="eastAsia" w:ascii="楷体" w:hAnsi="楷体" w:eastAsia="楷体" w:cs="楷体"/>
          <w:color w:val="auto"/>
          <w:sz w:val="21"/>
          <w:szCs w:val="21"/>
          <w:highlight w:val="none"/>
          <w:lang w:val="en-US" w:eastAsia="zh-CN"/>
        </w:rPr>
        <w:t>购买</w:t>
      </w:r>
      <w:r>
        <w:rPr>
          <w:rFonts w:hint="eastAsia" w:ascii="楷体" w:hAnsi="楷体" w:eastAsia="楷体" w:cs="楷体"/>
          <w:color w:val="auto"/>
          <w:sz w:val="21"/>
          <w:szCs w:val="21"/>
          <w:highlight w:val="none"/>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spacing w:line="310" w:lineRule="exact"/>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投资周期：投资周期指投资者持有理财产品份额所对应的理财资金由产品管理人进行投资运作的一段完整期间，每一个投资周期为该投资周期起始日至该投资周期终止日的理财期间。</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spacing w:line="310" w:lineRule="exact"/>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开放日：指投资周期终止日。开放计划内的申购、赎回申请，将以开放日的净值进行确认。</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spacing w:line="310" w:lineRule="exact"/>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产品存续期：指自理财产品成立日起，至理财产品终止日的期间。</w:t>
      </w:r>
    </w:p>
    <w:p>
      <w:pPr>
        <w:keepNext w:val="0"/>
        <w:keepLines w:val="0"/>
        <w:pageBreakBefore w:val="0"/>
        <w:widowControl w:val="0"/>
        <w:numPr>
          <w:ilvl w:val="0"/>
          <w:numId w:val="5"/>
        </w:numPr>
        <w:tabs>
          <w:tab w:val="left" w:pos="728"/>
          <w:tab w:val="clear" w:pos="420"/>
        </w:tabs>
        <w:kinsoku/>
        <w:wordWrap/>
        <w:overflowPunct w:val="0"/>
        <w:topLinePunct w:val="0"/>
        <w:autoSpaceDE w:val="0"/>
        <w:autoSpaceDN w:val="0"/>
        <w:bidi w:val="0"/>
        <w:adjustRightInd/>
        <w:snapToGrid/>
        <w:spacing w:line="310" w:lineRule="exact"/>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产品终止日/到期日：指理财产品终止的日期。</w:t>
      </w:r>
    </w:p>
    <w:p>
      <w:pPr>
        <w:keepNext w:val="0"/>
        <w:keepLines w:val="0"/>
        <w:pageBreakBefore w:val="0"/>
        <w:numPr>
          <w:ilvl w:val="0"/>
          <w:numId w:val="1"/>
        </w:numPr>
        <w:tabs>
          <w:tab w:val="left" w:pos="1134"/>
        </w:tabs>
        <w:kinsoku/>
        <w:wordWrap/>
        <w:overflowPunct w:val="0"/>
        <w:topLinePunct w:val="0"/>
        <w:autoSpaceDE w:val="0"/>
        <w:autoSpaceDN w:val="0"/>
        <w:bidi w:val="0"/>
        <w:spacing w:line="310" w:lineRule="exact"/>
        <w:ind w:left="0" w:leftChars="0" w:firstLine="422" w:firstLineChars="200"/>
        <w:textAlignment w:val="auto"/>
        <w:outlineLvl w:val="1"/>
        <w:rPr>
          <w:rFonts w:hint="eastAsia" w:ascii="楷体" w:hAnsi="楷体" w:eastAsia="楷体" w:cs="楷体"/>
          <w:b/>
          <w:bCs w:val="0"/>
          <w:color w:val="auto"/>
          <w:sz w:val="21"/>
          <w:szCs w:val="21"/>
          <w:highlight w:val="none"/>
        </w:rPr>
      </w:pPr>
      <w:r>
        <w:rPr>
          <w:rFonts w:hint="eastAsia" w:ascii="楷体" w:hAnsi="楷体" w:eastAsia="楷体" w:cs="楷体"/>
          <w:b/>
          <w:bCs w:val="0"/>
          <w:color w:val="auto"/>
          <w:sz w:val="21"/>
          <w:szCs w:val="21"/>
          <w:highlight w:val="none"/>
          <w:lang w:val="en-US" w:eastAsia="zh-CN"/>
        </w:rPr>
        <w:t>投资管理</w:t>
      </w:r>
    </w:p>
    <w:p>
      <w:pPr>
        <w:keepNext w:val="0"/>
        <w:keepLines w:val="0"/>
        <w:pageBreakBefore w:val="0"/>
        <w:numPr>
          <w:ilvl w:val="0"/>
          <w:numId w:val="6"/>
        </w:numPr>
        <w:tabs>
          <w:tab w:val="left" w:pos="993"/>
        </w:tabs>
        <w:kinsoku/>
        <w:wordWrap/>
        <w:overflowPunct w:val="0"/>
        <w:topLinePunct w:val="0"/>
        <w:autoSpaceDE w:val="0"/>
        <w:autoSpaceDN w:val="0"/>
        <w:bidi w:val="0"/>
        <w:spacing w:line="310" w:lineRule="exact"/>
        <w:ind w:left="0" w:firstLine="420" w:firstLineChars="200"/>
        <w:textAlignment w:val="auto"/>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拟投资</w:t>
      </w:r>
      <w:r>
        <w:rPr>
          <w:rFonts w:hint="eastAsia" w:ascii="楷体" w:hAnsi="楷体" w:eastAsia="楷体" w:cs="楷体"/>
          <w:b w:val="0"/>
          <w:bCs w:val="0"/>
          <w:color w:val="auto"/>
          <w:sz w:val="21"/>
          <w:szCs w:val="21"/>
          <w:highlight w:val="none"/>
          <w:u w:val="none"/>
        </w:rPr>
        <w:t>非标准化债权类资产</w:t>
      </w:r>
    </w:p>
    <w:p>
      <w:pPr>
        <w:pStyle w:val="15"/>
        <w:keepNext w:val="0"/>
        <w:keepLines w:val="0"/>
        <w:pageBreakBefore w:val="0"/>
        <w:widowControl w:val="0"/>
        <w:numPr>
          <w:ilvl w:val="0"/>
          <w:numId w:val="7"/>
        </w:numPr>
        <w:kinsoku/>
        <w:wordWrap/>
        <w:overflowPunct/>
        <w:topLinePunct w:val="0"/>
        <w:autoSpaceDE/>
        <w:autoSpaceDN/>
        <w:bidi w:val="0"/>
        <w:adjustRightInd/>
        <w:snapToGrid/>
        <w:spacing w:line="310" w:lineRule="exact"/>
        <w:ind w:left="0" w:firstLine="420"/>
        <w:textAlignment w:val="auto"/>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非标准化债权类资产：融资人为高邮市交通产业投资集团有限公司。融资人经营正常，是依法设立的国有公司，主要股东为高邮市国有资产投资管理控股(集团)有限公司，实际控制人为高邮市财政局(高邮市政府国有资产监督管理办公室)。 （2）非标准化债权类资产：融资人为海安市城建开发投资集团有限公司。融资人经营正常，是依法设立的国有公司，主要股东为海安市政府国有资产监督管理办公室，实际控制人为海安市政府国有资产监督管理办公室。 （3）非标准化债权类资产：融资人为杭州富阳城市建设投资集团有限公司。融资人经营正常，是依法设立的国有公司，主要股东为杭州市富阳区人民政府国有资产监督管理办公室，实际控制人为杭州市富阳区人民政府国有资产监督管理办公室。 （4）非标准化债权类资产：融资人为湖州经开投资发展集团有限公司。融资人经营正常，是依法设立的国有公司，主要股东为湖州南太湖国有控股集团有限公司，实际控制人为湖州市人民政府国有资产监督管理委员会。 （5）非标准化债权类资产：融资人为湖州吴兴城市投资发展集团有限公司。融资人经营正常，是依法设立的国有公司，主要股东为湖州吴兴国控投资运营发展集团有限公司，实际控制人为湖州市吴兴区财政局。 （6）非标准化债权类资产：融资人为江苏皋开投资发展集团有限公司。融资人经营正常，是依法设立的国有公司，主要股东为如皋市人民政府，实际控制人为如皋市人民政府。 （7）非标准化债权类资产：融资人为兰溪市城市投资集团有限公司。融资人经营正常，是依法设立的国有公司，主要股东为兰溪市城市发展集团有限公司，实际控制人为兰溪市人民政府国有资产监督管理办公室。 （8）非标准化债权类资产：融资人为绍兴市上虞区国有资本投资运营有限公司。融资人经营正常，是依法设立的国有公司，主要股东为绍兴市上虞区国有资产发展集团有限公司，实际控制人为绍兴市上虞区人民政府国有资产监督管理委员会。 （9）非标准化债权类资产：融资人为绍兴市越城区城市发展建设集团有限公司。融资人经营正常，是依法设立的国有公司，主要股东为绍兴市越城区财政局，实际控制人为绍兴市越城区财政局。 （10）非标准化债权类资产：融资人为台州循环经济发展有限公司。融资人经营正常，是依法设立的国有公司，主要股东为台州市商贸核心区开发建设投资集团有限公司、台州市路桥公共资产投资管理集团有限公司、台州市城市建设投资发展集团有限公司，台州市开投城市开发有限公司，实际控制人为台州市人民政府。 （11）非标准化债权类资产：融资人为泰州高教投资发展有限公司。融资人经营正常，是依法设立的国有公司，主要股东为泰州市城市建设投资控股有限公司、工银金融资产投资有限公司，实际控制人为泰州市政府国有资产监督管理委员会。 （12）非标准化债权类资产：融资人为桐庐县城市建设投资集团有限公司。融资人经营正常，是依法设立的国有公司，主要股东为桐庐投资建设发展集团有限公司，实际控制人为桐庐县人民政府国有资产监督管理委员会。 （13）非标准化债权类资产：融资人为无锡市高发投资发展集团有限公司。融资人经营正常，是依法设立的国有公司，主要股东为江苏省无锡市新吴区人民政府，实际控制人为江苏省无锡市新吴区人民政府。 （14）非标准化债权类资产：融资人为徐州金龙湖控股集团有限公司。融资人经营正常，是依法设立的国有公司，主要股东为徐州市产业发展控股集团有限公司，实际控制人为徐州市人民政府国有资产监督管理委员会。 （15）非标准化债权类资产：融资人为盐城市城镇化建设投资集团有限公司。融资人经营正常，是依法设立的国有公司，主要股东为盐城市人民政府，实际控制人为盐城市人民政府。 （16）非标准化债权类资产：融资人为盐城市盐都区国有资产控股集团有限公司。融资人经营正常，是依法设立的国有公司，主要股东为盐城市盐都区政府国有资产监督管理办公室，实际控制人为盐城市盐都区政府国有资产监督管理办公室。 （17）非标准化债权类资产：融资人为燕舞集团有限公司。融资人经营正常，是依法设立的国有公司，主要股东为盐城市人民政府、盐城市城市资产投资集团有限公司、江苏悦达集团有限公司，实际控制人为盐城市人民政府。 （18）非标准化债权类资产：融资人为扬州江淮建设发展有限公司。融资人经营正常，是依法设立的国有公司，主要股东为扬州市国联控股集团有限公司，实际控制人为扬州市人民政府。 （19）非标准化债权类资产：融资人为扬州新盛投资集团有限公司。融资人经营正常，是依法设立的国有公司，主要股东为扬州市城建国有资产控股(集团)有限责任公司、扬州易盛德产业投资集团有限公司、扬州市扬子江文旅投资发展集团有限责任公司，实际控制人为扬州市人民政府国有资产监督管理委员会。 （20）非标准化债权类资产：融资人为张家港市高铁投资发展(集团)有限公司。融资人经营正常，是依法设立的国有公司，主要股东为张家港市交通控股有限公司、张家港市城市投资发展集团有限公司、张家港高新区投资控股有限公司，张家港市城镇发展集团有限公司，实际控制人为张家港市国有资产管理中心。 （21）收益凭证：融资人为财通证券股份有限公司。融资人经营正常，是依法设立的持牌金融机构，主要股东为浙江省创新投资集团有限公司、浙江省财开集团有限公司、台州市金融投资集团有限公司，实际控制人为浙江省财政厅。 （22）收益凭证：融资人为长城证券股份有限公司。融资人经营正常，是依法设立的持牌金融机构，主要股东为华能资本服务有限公司、深圳新江南投资有限公司、深圳能源集团股份有限公司，实际控制人为中央汇金投资有限责任公司。 （23）收益凭证：融资人为第一创业证券股份有限公司。融资人经营正常，是依法设立的持牌金融机构，主要股东为北京国有资本运营管理有限公司、北京首农食品集团有限公司，实际控制人为北京市人民政府国有资产监督管理委员会。 （24）收益凭证：融资人为东方证券股份有限公司。融资人经营正常，是依法设立的国有公司，主要股东为申能（集团）有限公司、香港中央结算（代理人）有限公司、上海海烟投资管理有限公司，实际控制人为上海市国有资产监督管理委员会。 （25）收益凭证：融资人为东海证券股份有限公司。融资人经营正常，是依法设立的持牌金融机构，主要股东为常州投资集团有限公司、山东金控资本管理有限公司，实际控制人为常州投资集团有限公司。 （26）收益凭证：融资人为东莞证券股份有限公司。融资人经营正常，是依法设立的持牌金融机构，主要股东为东莞市投资控股集团有限公司、东莞发展控股股份有限公司、广东锦龙发展股份有限公司，实际控制人为东莞市人民政府国有资产监督管理委员会。 （27）收益凭证：融资人为方正证券股份有限公司。融资人经营正常，是依法设立的持牌金融机构，主要股东为新方正控股发展有限责任公司、全国社会保障基金理事会、中国信达资产管理股份有限公司，实际控制人为中国平安保险（集团）股份有限公司。 （28）收益凭证：融资人为光大证券股份有限公司。融资人经营正常，是依法设立的持牌金融机构，主要股东为中国光大集团股份有限公司、中国光大控股有限公司、香港中央结算（代理人）有限公司，实际控制人为中央汇金投资有限责任公司。 （29）收益凭证：融资人为广发证券股份有限公司。融资人经营正常，是依法设立的持牌金融机构，主要股东为香港中央结算（代理人）有限公司、吉林敖东药业集团股份有限公司、辽宁成大股份有限公司，无实际控制人。 （30）收益凭证：融资人为国都证券股份有限公司。融资人经营正常，是依法设立的持牌金融机构，主要股东为浙商证券股份有限公司、中诚信托有限责任公司、北京国际信托有限公司，实际控制人为浙江省交通投资集团有限公司。 （31）收益凭证：融资人为国联民生证券股份有限公司。融资人经营正常，是依法设立的持牌金融机构，主要股东为无锡市国联发展（集团）有限公司、香港中央结算（代理人）有限公司、国联信托股份有限公司，实际控制人为无锡市人民政府国有资产监督管理委员会。 （32）收益凭证：融资人为国泰海通证券股份有限公司。融资人经营正常，是依法设立的国有公司，主要股东为香港中央结算（代理人）有限公司、上海国有资产经营有限公司、上海国际集团有限公司，实际控制人为上海市国有资产监督管理委员会。 （33）收益凭证：融资人为国投证券股份有限公司。融资人经营正常，是依法设立的国有公司，主要股东为国投资本股份有限公司、上海毅胜投资有限公司，实际控制人为国家开发投资集团有限公司。 （34）收益凭证：融资人为华泰证券股份有限公司。融资人经营正常，是依法设立的国有公司，主要股东为江苏省国信集团有限公司、香港中央结算（代理人）有限公司、江苏交通控股有限公司，无实际控制人。 （35）收益凭证：融资人为华鑫证券有限责任公司。融资人经营正常，是依法设立的持牌金融机构，主要股东为上海华鑫股份有限公司，实际控制人为上海市国有资产监督管理委员会。 （36）收益凭证：融资人为金融街证券股份有限公司。融资人经营正常，是依法设立的持牌金融机构，主要股东为北京华融综合投资有限公司、天风证券股份有限公司、包头华资实业股份有限公司，实际控制人为北京金融街投资（集团）有限公司。 （37）收益凭证：融资人为平安证券股份有限公司。融资人经营正常，是依法设立的持牌金融机构，主要股东为平安信托有限责任公司、中国平安保险（集团）股份有限公司、深圳市英华柏涛投资有限公司，实际控制人为中国平安保险（集团）股份有限公司。 （38）收益凭证：融资人为山西证券股份有限公司。融资人经营正常，是依法设立的持牌金融机构，主要股东为山西金融投资控股集团有限公司、太原钢铁（集团）有限公司、山西国际电力集团有限公司，实际控制人为山西省财政厅。 （39）收益凭证：融资人为申万宏源证券有限公司。融资人经营正常，是依法设立的国有公司，主要股东为申万宏源集团股份有限公司，实际控制人为中央汇金投资有限责任公司</w:t>
      </w:r>
      <w:r>
        <w:rPr>
          <w:rFonts w:hint="eastAsia" w:ascii="楷体" w:hAnsi="楷体" w:eastAsia="楷体" w:cs="楷体"/>
          <w:b w:val="0"/>
          <w:bCs w:val="0"/>
          <w:sz w:val="21"/>
          <w:szCs w:val="21"/>
          <w:highlight w:val="none"/>
          <w:u w:val="none"/>
          <w:lang w:val="en-US" w:eastAsia="zh-CN"/>
        </w:rPr>
        <w:t>。 （40）收益凭证：融资人为西南证券股份有限公司。融资人经营正常，是依法设立的持牌金融机构，主要股东为重庆渝富资本运营集团有限公司、重庆市城市建设投资（集团）有限公司和重庆市江北嘴中央商务区投资集团有限公司，实际控制人为重庆市国有资产监督管理委员会。 （41）收益凭证：融资人为兴业证券股份有限公司。融资人经营正常，是依法设立的持牌金融机构，主要股东为福建省财政厅、福建省投资开发集团有限责任公司、上海申新（集团）有限公司，实际控制人为福建省财政厅。 （42）收益凭证：融资人为招商证券股份有限公司。融资人经营正常，是依法设立的持牌金融机构，主要股东为招商局金融控股有限公司、深圳市集盛投资发展有限公司、香港中央结算（代理人）有限公司，实际控制人为招商局集团有限公司。 （43）收益凭证：融资人为浙商证券股份有限公司。融资人经营正常，是依法设立的国有公司，主要股东为浙江上三高速公路有限公司、台州市金融投资集团有限公司，实际控制人为浙江省交通投资集团有限公司。 （44）收益凭证：融资人为中国国际金融股份有限公司。融资人经营正常，是依法设立的国有公司，主要股东为中央汇金投资有限责任公司、香港中央结算（代理人）有限公司、香港中央结算有限公司，实际控制人中央汇金投资有限责任公司。 （45）收益凭证：融资人为中国银河证券股份有限公司。融资人经营正常，是依法设立的国有公司，主要股东为中国银河金融控股有限责任公司、香港中央结算（代理人）有限公司、香港中央结算有限公司，实际控制人为中央汇金投资有限责任公司。 （46）收益凭证：融资人为中国中金财富证券有限公司。融资人经营正常，是依法设立的持牌金融机构，主要股东为中国国际金融股份有限公司，实际控制人为中央汇金投资有限责任公司。 （47）收益凭证：融资人为中泰证券股份有限公司。融资人经营正常，是依法设立的持牌金融机构，主要股东为枣庄矿业（集团）有限责任公司、莱芜钢铁集团有限公司、山东高速投资控股有限公司，实际控制人为山东省人民政府国有资产监督管理委员会。 （48）收益凭证：融资人为中信建投证券股份有限公司。融资人经营正常，是依法设立的国有公司，主要股东为北京金融控股集团有限公司、中央汇金投资有限责任公司、香港中央结算（代理人）有限公司，实际控制人为中央汇金投资有限责任公司。 （49）收益凭证：融资人为中信证券股份有限公司。融资人经营正常，是依法设立的国有公司，主要股东为中国中信金融控股有限公司、香港中央结算（代理人）有限公司、广州越秀资本控股集团有限公司，实际控制人为中国中信集团有限公司。 （50）同业借款：融资人为中国长城资产管理股份有限公司。融资人经营正常，是依法成立的国有公司，主要股东为中央汇金投资有限责任公司、全国社会保障基金理事会、中国财产再保险有限责任公司、中国大地财产保险股份有限公司、中国人寿保险（集团）公司，实际控制人为国务院。 （51）同业借款：融资人为中国东方资产管理股份有限公司。融资人经营正常，是依法成立的国有公司，主要股东为中央汇金投资有限责任公司、全国社会保障基金理事会、中国电信集团有限公司，实际控制人为国务院。 （52）同业借款：融资人为中国信达资产管理股份有限公司。融资人经营正常，是依法成立的国有公司，主要股东为中央汇金投资有限责任公司，实际控制人为国务院。 （53）同业借款：融资人为中国中信金融资产管理股份有限公司。融资人经营正常，是依法成立的国有公司，主要股东为中国中信集团有限公司、财政局、中国融信私募基金有限公司，实际控制人为财政部。</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20" w:firstLineChars="200"/>
        <w:textAlignment w:val="auto"/>
        <w:rPr>
          <w:rFonts w:hint="default" w:ascii="楷体" w:hAnsi="楷体" w:eastAsia="楷体" w:cs="楷体"/>
          <w:b w:val="0"/>
          <w:bCs w:val="0"/>
          <w:sz w:val="21"/>
          <w:szCs w:val="21"/>
          <w:highlight w:val="none"/>
          <w:u w:val="none"/>
          <w:lang w:val="en-US" w:eastAsia="zh-CN"/>
        </w:rPr>
      </w:pPr>
      <w:r>
        <w:rPr>
          <w:rFonts w:hint="eastAsia" w:ascii="楷体" w:hAnsi="楷体" w:eastAsia="楷体"/>
          <w:sz w:val="21"/>
          <w:szCs w:val="21"/>
        </w:rPr>
        <w:t>（</w:t>
      </w:r>
      <w:r>
        <w:rPr>
          <w:rFonts w:hint="eastAsia" w:ascii="楷体" w:hAnsi="楷体" w:eastAsia="楷体"/>
          <w:sz w:val="21"/>
          <w:szCs w:val="21"/>
          <w:lang w:val="en-US" w:eastAsia="zh-CN"/>
        </w:rPr>
        <w:t>1</w:t>
      </w:r>
      <w:r>
        <w:rPr>
          <w:rFonts w:hint="eastAsia" w:ascii="楷体" w:hAnsi="楷体" w:eastAsia="楷体"/>
          <w:sz w:val="21"/>
          <w:szCs w:val="21"/>
        </w:rPr>
        <w:t>）-（</w:t>
      </w:r>
      <w:r>
        <w:rPr>
          <w:rFonts w:hint="eastAsia" w:ascii="楷体" w:hAnsi="楷体" w:eastAsia="楷体"/>
          <w:sz w:val="21"/>
          <w:szCs w:val="21"/>
          <w:lang w:val="en-US" w:eastAsia="zh-CN"/>
        </w:rPr>
        <w:t>20</w:t>
      </w:r>
      <w:r>
        <w:rPr>
          <w:rFonts w:hint="eastAsia" w:ascii="楷体" w:hAnsi="楷体" w:eastAsia="楷体"/>
          <w:sz w:val="21"/>
          <w:szCs w:val="21"/>
        </w:rPr>
        <w:t>）各资产到期日不超过理财产品投资周期终止日，定期付息、到期一次性还本；（</w:t>
      </w:r>
      <w:r>
        <w:rPr>
          <w:rFonts w:hint="eastAsia" w:ascii="楷体" w:hAnsi="楷体" w:eastAsia="楷体"/>
          <w:sz w:val="21"/>
          <w:szCs w:val="21"/>
          <w:lang w:val="en-US" w:eastAsia="zh-CN"/>
        </w:rPr>
        <w:t>21</w:t>
      </w:r>
      <w:r>
        <w:rPr>
          <w:rFonts w:hint="eastAsia" w:ascii="楷体" w:hAnsi="楷体" w:eastAsia="楷体"/>
          <w:sz w:val="21"/>
          <w:szCs w:val="21"/>
        </w:rPr>
        <w:t>）-（</w:t>
      </w:r>
      <w:r>
        <w:rPr>
          <w:rFonts w:hint="eastAsia" w:ascii="楷体" w:hAnsi="楷体" w:eastAsia="楷体"/>
          <w:sz w:val="21"/>
          <w:szCs w:val="21"/>
          <w:lang w:val="en-US" w:eastAsia="zh-CN"/>
        </w:rPr>
        <w:t>49</w:t>
      </w:r>
      <w:r>
        <w:rPr>
          <w:rFonts w:hint="eastAsia" w:ascii="楷体" w:hAnsi="楷体" w:eastAsia="楷体"/>
          <w:sz w:val="21"/>
          <w:szCs w:val="21"/>
        </w:rPr>
        <w:t>）各资产到期日不超过理财产品投资周期终止日，到期一次性还本付息</w:t>
      </w:r>
      <w:r>
        <w:rPr>
          <w:rFonts w:hint="eastAsia" w:ascii="楷体" w:hAnsi="楷体" w:eastAsia="楷体"/>
          <w:sz w:val="21"/>
          <w:szCs w:val="21"/>
          <w:lang w:eastAsia="zh-CN"/>
        </w:rPr>
        <w:t>；</w:t>
      </w:r>
      <w:r>
        <w:rPr>
          <w:rFonts w:hint="eastAsia" w:ascii="楷体" w:hAnsi="楷体" w:eastAsia="楷体"/>
          <w:sz w:val="21"/>
          <w:szCs w:val="21"/>
        </w:rPr>
        <w:t>（</w:t>
      </w:r>
      <w:r>
        <w:rPr>
          <w:rFonts w:hint="eastAsia" w:ascii="楷体" w:hAnsi="楷体" w:eastAsia="楷体"/>
          <w:sz w:val="21"/>
          <w:szCs w:val="21"/>
          <w:lang w:val="en-US" w:eastAsia="zh-CN"/>
        </w:rPr>
        <w:t>50</w:t>
      </w:r>
      <w:r>
        <w:rPr>
          <w:rFonts w:hint="eastAsia" w:ascii="楷体" w:hAnsi="楷体" w:eastAsia="楷体"/>
          <w:sz w:val="21"/>
          <w:szCs w:val="21"/>
        </w:rPr>
        <w:t>）-（</w:t>
      </w:r>
      <w:r>
        <w:rPr>
          <w:rFonts w:hint="eastAsia" w:ascii="楷体" w:hAnsi="楷体" w:eastAsia="楷体"/>
          <w:sz w:val="21"/>
          <w:szCs w:val="21"/>
          <w:lang w:val="en-US" w:eastAsia="zh-CN"/>
        </w:rPr>
        <w:t>23</w:t>
      </w:r>
      <w:r>
        <w:rPr>
          <w:rFonts w:hint="eastAsia" w:ascii="楷体" w:hAnsi="楷体" w:eastAsia="楷体"/>
          <w:sz w:val="21"/>
          <w:szCs w:val="21"/>
        </w:rPr>
        <w:t>）各资产到期日不超过理财产品投资周期终止日，定期付息、到期一次性还本</w:t>
      </w:r>
      <w:r>
        <w:rPr>
          <w:rFonts w:hint="eastAsia" w:ascii="楷体" w:hAnsi="楷体" w:eastAsia="楷体"/>
          <w:sz w:val="21"/>
          <w:szCs w:val="21"/>
          <w:lang w:eastAsia="zh-CN"/>
        </w:rPr>
        <w:t>。</w:t>
      </w:r>
      <w:r>
        <w:rPr>
          <w:rFonts w:hint="eastAsia" w:ascii="楷体" w:hAnsi="楷体" w:eastAsia="楷体" w:cs="楷体"/>
          <w:b w:val="0"/>
          <w:bCs w:val="0"/>
          <w:sz w:val="21"/>
          <w:szCs w:val="21"/>
          <w:highlight w:val="none"/>
          <w:u w:val="none"/>
          <w:lang w:val="en-US" w:eastAsia="zh-CN"/>
        </w:rPr>
        <w:t xml:space="preserve"> </w:t>
      </w:r>
    </w:p>
    <w:p>
      <w:pPr>
        <w:keepNext w:val="0"/>
        <w:keepLines w:val="0"/>
        <w:pageBreakBefore w:val="0"/>
        <w:numPr>
          <w:ilvl w:val="0"/>
          <w:numId w:val="6"/>
        </w:numPr>
        <w:tabs>
          <w:tab w:val="left" w:pos="993"/>
        </w:tabs>
        <w:kinsoku/>
        <w:wordWrap/>
        <w:overflowPunct w:val="0"/>
        <w:topLinePunct w:val="0"/>
        <w:autoSpaceDE w:val="0"/>
        <w:autoSpaceDN w:val="0"/>
        <w:bidi w:val="0"/>
        <w:spacing w:line="310" w:lineRule="exact"/>
        <w:ind w:firstLine="0" w:firstLineChars="0"/>
        <w:textAlignment w:val="auto"/>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投资合作机构</w:t>
      </w:r>
    </w:p>
    <w:p>
      <w:pPr>
        <w:keepNext w:val="0"/>
        <w:keepLines w:val="0"/>
        <w:pageBreakBefore w:val="0"/>
        <w:numPr>
          <w:ilvl w:val="0"/>
          <w:numId w:val="0"/>
        </w:numPr>
        <w:kinsoku/>
        <w:wordWrap/>
        <w:overflowPunct w:val="0"/>
        <w:topLinePunct w:val="0"/>
        <w:autoSpaceDE w:val="0"/>
        <w:autoSpaceDN w:val="0"/>
        <w:bidi w:val="0"/>
        <w:spacing w:line="310" w:lineRule="exact"/>
        <w:ind w:firstLine="420" w:firstLineChars="200"/>
        <w:textAlignment w:val="auto"/>
        <w:rPr>
          <w:rFonts w:hint="eastAsia"/>
          <w:color w:val="auto"/>
          <w:highlight w:val="none"/>
        </w:rPr>
      </w:pPr>
      <w:r>
        <w:rPr>
          <w:rFonts w:hint="eastAsia" w:ascii="楷体" w:hAnsi="楷体" w:eastAsia="楷体" w:cs="楷体"/>
          <w:color w:val="auto"/>
          <w:sz w:val="21"/>
          <w:szCs w:val="21"/>
          <w:highlight w:val="none"/>
        </w:rPr>
        <w:t>投资合作机构主要职责是对理财产品受托资金进行投资管理，</w:t>
      </w:r>
      <w:r>
        <w:rPr>
          <w:rFonts w:hint="eastAsia" w:ascii="楷体" w:hAnsi="楷体" w:eastAsia="楷体" w:cs="楷体"/>
          <w:color w:val="auto"/>
          <w:sz w:val="21"/>
          <w:szCs w:val="21"/>
          <w:highlight w:val="none"/>
          <w:lang w:val="en-US" w:eastAsia="zh-CN"/>
        </w:rPr>
        <w:t>管理人</w:t>
      </w:r>
      <w:r>
        <w:rPr>
          <w:rFonts w:hint="eastAsia" w:ascii="楷体" w:hAnsi="楷体" w:eastAsia="楷体" w:cs="楷体"/>
          <w:color w:val="auto"/>
          <w:sz w:val="21"/>
          <w:szCs w:val="21"/>
          <w:highlight w:val="none"/>
        </w:rPr>
        <w:t>已按投资决策流程对投资合作机构进行了准入，并持续开展投资合作机构的存续期管理。本产品投资合作机构包括：</w:t>
      </w:r>
    </w:p>
    <w:p>
      <w:pPr>
        <w:pStyle w:val="15"/>
        <w:keepNext w:val="0"/>
        <w:keepLines w:val="0"/>
        <w:pageBreakBefore w:val="0"/>
        <w:kinsoku/>
        <w:wordWrap/>
        <w:topLinePunct w:val="0"/>
        <w:bidi w:val="0"/>
        <w:spacing w:line="310" w:lineRule="exact"/>
        <w:ind w:left="0" w:leftChars="0" w:firstLine="420" w:firstLineChars="200"/>
        <w:rPr>
          <w:rFonts w:hint="default" w:ascii="楷体" w:hAnsi="楷体" w:eastAsia="楷体" w:cs="楷体"/>
          <w:b w:val="0"/>
          <w:bCs w:val="0"/>
          <w:color w:val="auto"/>
          <w:kern w:val="2"/>
          <w:sz w:val="21"/>
          <w:szCs w:val="21"/>
          <w:highlight w:val="none"/>
          <w:u w:val="none"/>
          <w:lang w:val="en-US" w:eastAsia="zh-CN" w:bidi="ar-SA"/>
        </w:rPr>
      </w:pPr>
      <w:r>
        <w:rPr>
          <w:rFonts w:hint="default" w:ascii="楷体" w:hAnsi="楷体" w:eastAsia="楷体" w:cs="楷体"/>
          <w:b w:val="0"/>
          <w:bCs w:val="0"/>
          <w:color w:val="auto"/>
          <w:kern w:val="2"/>
          <w:sz w:val="21"/>
          <w:szCs w:val="21"/>
          <w:highlight w:val="none"/>
          <w:u w:val="none"/>
          <w:lang w:val="en-US" w:eastAsia="zh-CN" w:bidi="ar-SA"/>
        </w:rPr>
        <w:t>①江苏省国际信托有限责任公司：江苏省国际信托有限责任公司是经江苏省人民政府和中国银行业监督管理委员会批准设立的非银行金融机构，是江苏省国信集团的主要成员企业之一，专业从事金融信托业务。</w:t>
      </w:r>
    </w:p>
    <w:p>
      <w:pPr>
        <w:pStyle w:val="15"/>
        <w:keepNext w:val="0"/>
        <w:keepLines w:val="0"/>
        <w:pageBreakBefore w:val="0"/>
        <w:kinsoku/>
        <w:wordWrap/>
        <w:topLinePunct w:val="0"/>
        <w:bidi w:val="0"/>
        <w:spacing w:line="310" w:lineRule="exact"/>
        <w:ind w:left="0" w:leftChars="0" w:firstLine="420" w:firstLineChars="200"/>
        <w:rPr>
          <w:rFonts w:hint="default" w:ascii="楷体" w:hAnsi="楷体" w:eastAsia="楷体" w:cs="楷体"/>
          <w:b w:val="0"/>
          <w:bCs w:val="0"/>
          <w:color w:val="auto"/>
          <w:kern w:val="2"/>
          <w:sz w:val="21"/>
          <w:szCs w:val="21"/>
          <w:highlight w:val="none"/>
          <w:u w:val="none"/>
          <w:lang w:val="en-US" w:eastAsia="zh-CN" w:bidi="ar-SA"/>
        </w:rPr>
      </w:pPr>
      <w:r>
        <w:rPr>
          <w:rFonts w:hint="default" w:ascii="楷体" w:hAnsi="楷体" w:eastAsia="楷体" w:cs="楷体"/>
          <w:b w:val="0"/>
          <w:bCs w:val="0"/>
          <w:color w:val="auto"/>
          <w:kern w:val="2"/>
          <w:sz w:val="21"/>
          <w:szCs w:val="21"/>
          <w:highlight w:val="none"/>
          <w:u w:val="none"/>
          <w:lang w:val="en-US" w:eastAsia="zh-CN" w:bidi="ar-SA"/>
        </w:rPr>
        <w:t>②创金合信基金管理有限公司：创金合信基金管理有限公司成立于2014年7月9日，由第一创业证券股份有限公司、深圳市金合信投资合伙企业（有限合伙）共同发起设立，注册地为深圳。</w:t>
      </w:r>
    </w:p>
    <w:p>
      <w:pPr>
        <w:pStyle w:val="15"/>
        <w:keepNext w:val="0"/>
        <w:keepLines w:val="0"/>
        <w:pageBreakBefore w:val="0"/>
        <w:kinsoku/>
        <w:wordWrap/>
        <w:topLinePunct w:val="0"/>
        <w:bidi w:val="0"/>
        <w:spacing w:line="310" w:lineRule="exact"/>
        <w:ind w:left="0" w:leftChars="0" w:firstLine="420" w:firstLineChars="200"/>
        <w:rPr>
          <w:rFonts w:hint="default" w:ascii="楷体" w:hAnsi="楷体" w:eastAsia="楷体" w:cs="楷体"/>
          <w:b w:val="0"/>
          <w:bCs w:val="0"/>
          <w:color w:val="auto"/>
          <w:kern w:val="2"/>
          <w:sz w:val="21"/>
          <w:szCs w:val="21"/>
          <w:highlight w:val="none"/>
          <w:u w:val="none"/>
          <w:lang w:val="en-US" w:eastAsia="zh-CN" w:bidi="ar-SA"/>
        </w:rPr>
      </w:pPr>
      <w:r>
        <w:rPr>
          <w:rFonts w:hint="default" w:ascii="楷体" w:hAnsi="楷体" w:eastAsia="楷体" w:cs="楷体"/>
          <w:b w:val="0"/>
          <w:bCs w:val="0"/>
          <w:color w:val="auto"/>
          <w:kern w:val="2"/>
          <w:sz w:val="21"/>
          <w:szCs w:val="21"/>
          <w:highlight w:val="none"/>
          <w:u w:val="none"/>
          <w:lang w:val="en-US" w:eastAsia="zh-CN" w:bidi="ar-SA"/>
        </w:rPr>
        <w:t>③华鑫国际信托有限公司：华鑫国际信托有限公司于2010年2月获得中国银行业监督管理委员会批准重新登记，并于同年3月正式挂牌开业，实际控制人为中国华电集团有限公司，注册资本73.95亿元。</w:t>
      </w:r>
    </w:p>
    <w:p>
      <w:pPr>
        <w:pStyle w:val="15"/>
        <w:keepNext w:val="0"/>
        <w:keepLines w:val="0"/>
        <w:pageBreakBefore w:val="0"/>
        <w:kinsoku/>
        <w:wordWrap/>
        <w:topLinePunct w:val="0"/>
        <w:bidi w:val="0"/>
        <w:spacing w:line="310" w:lineRule="exact"/>
        <w:ind w:left="0" w:leftChars="0" w:firstLine="420" w:firstLineChars="200"/>
        <w:rPr>
          <w:rFonts w:hint="default" w:ascii="楷体" w:hAnsi="楷体" w:eastAsia="楷体" w:cs="楷体"/>
          <w:b w:val="0"/>
          <w:bCs w:val="0"/>
          <w:color w:val="auto"/>
          <w:kern w:val="2"/>
          <w:sz w:val="21"/>
          <w:szCs w:val="21"/>
          <w:highlight w:val="none"/>
          <w:u w:val="none"/>
          <w:lang w:val="en-US" w:eastAsia="zh-CN" w:bidi="ar-SA"/>
        </w:rPr>
      </w:pPr>
      <w:r>
        <w:rPr>
          <w:rFonts w:hint="default" w:ascii="楷体" w:hAnsi="楷体" w:eastAsia="楷体" w:cs="楷体"/>
          <w:b w:val="0"/>
          <w:bCs w:val="0"/>
          <w:color w:val="auto"/>
          <w:kern w:val="2"/>
          <w:sz w:val="21"/>
          <w:szCs w:val="21"/>
          <w:highlight w:val="none"/>
          <w:u w:val="none"/>
          <w:lang w:val="en-US" w:eastAsia="zh-CN" w:bidi="ar-SA"/>
        </w:rPr>
        <w:t>④中国国际金融股份有限公司：中国国际金融股份有限公司于1995年7月31日成立，实际控制人为中央汇金投资有限责任公司，注册资本4,827,256,868元。</w:t>
      </w:r>
    </w:p>
    <w:p>
      <w:pPr>
        <w:pStyle w:val="15"/>
        <w:keepNext w:val="0"/>
        <w:keepLines w:val="0"/>
        <w:pageBreakBefore w:val="0"/>
        <w:kinsoku/>
        <w:wordWrap/>
        <w:topLinePunct w:val="0"/>
        <w:bidi w:val="0"/>
        <w:spacing w:line="310" w:lineRule="exact"/>
        <w:ind w:left="0" w:leftChars="0" w:firstLine="420" w:firstLineChars="200"/>
        <w:rPr>
          <w:rFonts w:hint="default" w:ascii="楷体" w:hAnsi="楷体" w:eastAsia="楷体" w:cs="楷体"/>
          <w:b w:val="0"/>
          <w:bCs w:val="0"/>
          <w:color w:val="auto"/>
          <w:kern w:val="2"/>
          <w:sz w:val="21"/>
          <w:szCs w:val="21"/>
          <w:highlight w:val="none"/>
          <w:u w:val="none"/>
          <w:lang w:val="en-US" w:eastAsia="zh-CN" w:bidi="ar-SA"/>
        </w:rPr>
      </w:pPr>
      <w:r>
        <w:rPr>
          <w:rFonts w:hint="default" w:ascii="楷体" w:hAnsi="楷体" w:eastAsia="楷体" w:cs="楷体"/>
          <w:b w:val="0"/>
          <w:bCs w:val="0"/>
          <w:color w:val="auto"/>
          <w:kern w:val="2"/>
          <w:sz w:val="21"/>
          <w:szCs w:val="21"/>
          <w:highlight w:val="none"/>
          <w:u w:val="none"/>
          <w:lang w:val="en-US" w:eastAsia="zh-CN" w:bidi="ar-SA"/>
        </w:rPr>
        <w:t>⑤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pStyle w:val="15"/>
        <w:keepNext w:val="0"/>
        <w:keepLines w:val="0"/>
        <w:pageBreakBefore w:val="0"/>
        <w:kinsoku/>
        <w:wordWrap/>
        <w:topLinePunct w:val="0"/>
        <w:bidi w:val="0"/>
        <w:spacing w:line="310" w:lineRule="exact"/>
        <w:ind w:left="0" w:leftChars="0" w:firstLine="420" w:firstLineChars="200"/>
        <w:rPr>
          <w:rFonts w:hint="default" w:ascii="楷体" w:hAnsi="楷体" w:eastAsia="楷体" w:cs="楷体"/>
          <w:b w:val="0"/>
          <w:bCs w:val="0"/>
          <w:color w:val="auto"/>
          <w:kern w:val="2"/>
          <w:sz w:val="21"/>
          <w:szCs w:val="21"/>
          <w:highlight w:val="none"/>
          <w:u w:val="none"/>
          <w:lang w:val="en-US" w:eastAsia="zh-CN" w:bidi="ar-SA"/>
        </w:rPr>
      </w:pPr>
      <w:r>
        <w:rPr>
          <w:rFonts w:hint="default" w:ascii="楷体" w:hAnsi="楷体" w:eastAsia="楷体" w:cs="楷体"/>
          <w:b w:val="0"/>
          <w:bCs w:val="0"/>
          <w:color w:val="auto"/>
          <w:kern w:val="2"/>
          <w:sz w:val="21"/>
          <w:szCs w:val="21"/>
          <w:highlight w:val="none"/>
          <w:u w:val="none"/>
          <w:lang w:val="en-US" w:eastAsia="zh-CN" w:bidi="ar-SA"/>
        </w:rPr>
        <w:t>⑥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p>
    <w:p>
      <w:pPr>
        <w:pStyle w:val="15"/>
        <w:keepNext w:val="0"/>
        <w:keepLines w:val="0"/>
        <w:pageBreakBefore w:val="0"/>
        <w:kinsoku/>
        <w:wordWrap/>
        <w:topLinePunct w:val="0"/>
        <w:bidi w:val="0"/>
        <w:spacing w:line="310" w:lineRule="exact"/>
        <w:ind w:left="0" w:leftChars="0" w:firstLine="420" w:firstLineChars="200"/>
        <w:rPr>
          <w:rFonts w:hint="default" w:ascii="楷体" w:hAnsi="楷体" w:eastAsia="楷体" w:cs="楷体"/>
          <w:b w:val="0"/>
          <w:bCs w:val="0"/>
          <w:color w:val="auto"/>
          <w:kern w:val="2"/>
          <w:sz w:val="21"/>
          <w:szCs w:val="21"/>
          <w:highlight w:val="none"/>
          <w:u w:val="none"/>
          <w:lang w:val="en-US" w:eastAsia="zh-CN" w:bidi="ar-SA"/>
        </w:rPr>
      </w:pPr>
      <w:r>
        <w:rPr>
          <w:rFonts w:hint="default" w:ascii="楷体" w:hAnsi="楷体" w:eastAsia="楷体" w:cs="楷体"/>
          <w:b w:val="0"/>
          <w:bCs w:val="0"/>
          <w:color w:val="auto"/>
          <w:kern w:val="2"/>
          <w:sz w:val="21"/>
          <w:szCs w:val="21"/>
          <w:highlight w:val="none"/>
          <w:u w:val="none"/>
          <w:lang w:val="en-US" w:eastAsia="zh-CN" w:bidi="ar-SA"/>
        </w:rPr>
        <w:t>⑦南方资本管理有限公司：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pStyle w:val="15"/>
        <w:keepNext w:val="0"/>
        <w:keepLines w:val="0"/>
        <w:pageBreakBefore w:val="0"/>
        <w:kinsoku/>
        <w:wordWrap/>
        <w:topLinePunct w:val="0"/>
        <w:bidi w:val="0"/>
        <w:spacing w:line="310" w:lineRule="exact"/>
        <w:ind w:left="0" w:leftChars="0" w:firstLine="420" w:firstLineChars="200"/>
        <w:rPr>
          <w:rFonts w:hint="default" w:ascii="楷体" w:hAnsi="楷体" w:eastAsia="楷体" w:cs="楷体"/>
          <w:b w:val="0"/>
          <w:bCs w:val="0"/>
          <w:color w:val="auto"/>
          <w:kern w:val="2"/>
          <w:sz w:val="21"/>
          <w:szCs w:val="21"/>
          <w:highlight w:val="none"/>
          <w:u w:val="none"/>
          <w:lang w:val="en-US" w:eastAsia="zh-CN" w:bidi="ar-SA"/>
        </w:rPr>
      </w:pPr>
      <w:r>
        <w:rPr>
          <w:rFonts w:hint="default" w:ascii="楷体" w:hAnsi="楷体" w:eastAsia="楷体" w:cs="楷体"/>
          <w:b w:val="0"/>
          <w:bCs w:val="0"/>
          <w:color w:val="auto"/>
          <w:kern w:val="2"/>
          <w:sz w:val="21"/>
          <w:szCs w:val="21"/>
          <w:highlight w:val="none"/>
          <w:u w:val="none"/>
          <w:lang w:val="en-US" w:eastAsia="zh-CN" w:bidi="ar-SA"/>
        </w:rPr>
        <w:t>⑧建信保险资产管理有限公司：建信保险资产管理有限公司成立于2016年4月7日，是中国银行保险监督管理委员会核准的国有控股金融机构，注册资本3亿元，股东为建信人寿保险股份有限公司和建银国际（中国）有限公司。</w:t>
      </w:r>
    </w:p>
    <w:p>
      <w:pPr>
        <w:keepNext w:val="0"/>
        <w:keepLines w:val="0"/>
        <w:pageBreakBefore w:val="0"/>
        <w:numPr>
          <w:ilvl w:val="0"/>
          <w:numId w:val="6"/>
        </w:numPr>
        <w:tabs>
          <w:tab w:val="left" w:pos="993"/>
        </w:tabs>
        <w:kinsoku/>
        <w:wordWrap/>
        <w:overflowPunct w:val="0"/>
        <w:topLinePunct w:val="0"/>
        <w:autoSpaceDE w:val="0"/>
        <w:autoSpaceDN w:val="0"/>
        <w:bidi w:val="0"/>
        <w:spacing w:line="310" w:lineRule="exact"/>
        <w:ind w:firstLine="0" w:firstLineChars="0"/>
        <w:textAlignment w:val="auto"/>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投资限制</w:t>
      </w:r>
    </w:p>
    <w:p>
      <w:pPr>
        <w:keepNext w:val="0"/>
        <w:keepLines w:val="0"/>
        <w:pageBreakBefore w:val="0"/>
        <w:widowControl w:val="0"/>
        <w:numPr>
          <w:ilvl w:val="0"/>
          <w:numId w:val="8"/>
        </w:numPr>
        <w:kinsoku/>
        <w:wordWrap/>
        <w:overflowPunct/>
        <w:topLinePunct w:val="0"/>
        <w:autoSpaceDE/>
        <w:autoSpaceDN/>
        <w:bidi w:val="0"/>
        <w:adjustRightInd/>
        <w:snapToGrid/>
        <w:spacing w:line="310" w:lineRule="exact"/>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本理财产品投资于单只证券或单只公募证券投资基金的市值不超过本产品净资产的10%。</w:t>
      </w:r>
    </w:p>
    <w:p>
      <w:pPr>
        <w:keepNext w:val="0"/>
        <w:keepLines w:val="0"/>
        <w:pageBreakBefore w:val="0"/>
        <w:widowControl w:val="0"/>
        <w:numPr>
          <w:ilvl w:val="0"/>
          <w:numId w:val="8"/>
        </w:numPr>
        <w:kinsoku/>
        <w:wordWrap/>
        <w:overflowPunct/>
        <w:topLinePunct w:val="0"/>
        <w:autoSpaceDE/>
        <w:autoSpaceDN/>
        <w:bidi w:val="0"/>
        <w:adjustRightInd/>
        <w:snapToGrid/>
        <w:spacing w:line="310" w:lineRule="exact"/>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numPr>
          <w:ilvl w:val="0"/>
          <w:numId w:val="8"/>
        </w:numPr>
        <w:kinsoku/>
        <w:wordWrap/>
        <w:overflowPunct/>
        <w:topLinePunct w:val="0"/>
        <w:autoSpaceDE/>
        <w:autoSpaceDN/>
        <w:bidi w:val="0"/>
        <w:adjustRightInd/>
        <w:snapToGrid/>
        <w:spacing w:line="310" w:lineRule="exact"/>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spacing w:line="310" w:lineRule="exact"/>
        <w:ind w:firstLine="420" w:firstLineChars="200"/>
        <w:textAlignment w:val="auto"/>
        <w:rPr>
          <w:rFonts w:hint="eastAsia"/>
          <w:highlight w:val="none"/>
        </w:rPr>
      </w:pPr>
      <w:r>
        <w:rPr>
          <w:rFonts w:hint="eastAsia" w:ascii="楷体" w:hAnsi="楷体" w:eastAsia="楷体"/>
          <w:color w:val="auto"/>
          <w:sz w:val="21"/>
          <w:szCs w:val="21"/>
          <w:highlight w:val="none"/>
        </w:rPr>
        <w:t>针对上述第1、2</w:t>
      </w:r>
      <w:r>
        <w:rPr>
          <w:rFonts w:hint="eastAsia" w:ascii="楷体" w:hAnsi="楷体" w:eastAsia="楷体"/>
          <w:color w:val="auto"/>
          <w:sz w:val="21"/>
          <w:szCs w:val="21"/>
          <w:highlight w:val="none"/>
          <w:lang w:eastAsia="zh-CN"/>
        </w:rPr>
        <w:t>、</w:t>
      </w:r>
      <w:r>
        <w:rPr>
          <w:rFonts w:hint="eastAsia" w:ascii="楷体" w:hAnsi="楷体" w:eastAsia="楷体"/>
          <w:color w:val="auto"/>
          <w:sz w:val="21"/>
          <w:szCs w:val="21"/>
          <w:highlight w:val="none"/>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8"/>
        </w:numPr>
        <w:kinsoku/>
        <w:wordWrap/>
        <w:overflowPunct/>
        <w:topLinePunct w:val="0"/>
        <w:autoSpaceDE/>
        <w:autoSpaceDN/>
        <w:bidi w:val="0"/>
        <w:adjustRightInd/>
        <w:snapToGrid/>
        <w:spacing w:line="310" w:lineRule="exact"/>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w:t>
      </w:r>
      <w:r>
        <w:rPr>
          <w:rFonts w:hint="eastAsia" w:ascii="楷体" w:hAnsi="楷体" w:eastAsia="楷体"/>
          <w:color w:val="auto"/>
          <w:sz w:val="21"/>
          <w:szCs w:val="21"/>
          <w:highlight w:val="none"/>
          <w:lang w:val="en-US" w:eastAsia="zh-CN"/>
        </w:rPr>
        <w:t>杠杆率</w:t>
      </w:r>
      <w:r>
        <w:rPr>
          <w:rFonts w:hint="eastAsia" w:ascii="楷体" w:hAnsi="楷体" w:eastAsia="楷体"/>
          <w:color w:val="auto"/>
          <w:sz w:val="21"/>
          <w:szCs w:val="21"/>
          <w:highlight w:val="none"/>
        </w:rPr>
        <w:t>不超过</w:t>
      </w:r>
      <w:r>
        <w:rPr>
          <w:rFonts w:hint="eastAsia" w:ascii="楷体" w:hAnsi="楷体" w:eastAsia="楷体"/>
          <w:color w:val="auto"/>
          <w:sz w:val="21"/>
          <w:szCs w:val="21"/>
          <w:highlight w:val="none"/>
          <w:lang w:val="en-US" w:eastAsia="zh-CN"/>
        </w:rPr>
        <w:t>140</w:t>
      </w:r>
      <w:r>
        <w:rPr>
          <w:rFonts w:hint="eastAsia" w:ascii="楷体" w:hAnsi="楷体" w:eastAsia="楷体"/>
          <w:color w:val="auto"/>
          <w:sz w:val="21"/>
          <w:szCs w:val="21"/>
          <w:highlight w:val="none"/>
        </w:rPr>
        <w:t>%。</w:t>
      </w:r>
    </w:p>
    <w:p>
      <w:pPr>
        <w:keepNext w:val="0"/>
        <w:keepLines w:val="0"/>
        <w:pageBreakBefore w:val="0"/>
        <w:widowControl w:val="0"/>
        <w:numPr>
          <w:ilvl w:val="0"/>
          <w:numId w:val="8"/>
        </w:numPr>
        <w:kinsoku/>
        <w:wordWrap/>
        <w:overflowPunct/>
        <w:topLinePunct w:val="0"/>
        <w:autoSpaceDE/>
        <w:autoSpaceDN/>
        <w:bidi w:val="0"/>
        <w:adjustRightInd/>
        <w:snapToGrid/>
        <w:spacing w:line="310" w:lineRule="exact"/>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本理财产品在开放日及开放日前7 个工作日内持有不低于产品资产净值5%的现金或者到期日在一年以内的国债、中央银行票据和政策性金融债券。</w:t>
      </w:r>
    </w:p>
    <w:p>
      <w:pPr>
        <w:keepNext w:val="0"/>
        <w:keepLines w:val="0"/>
        <w:pageBreakBefore w:val="0"/>
        <w:widowControl w:val="0"/>
        <w:numPr>
          <w:ilvl w:val="0"/>
          <w:numId w:val="8"/>
        </w:numPr>
        <w:kinsoku/>
        <w:wordWrap/>
        <w:overflowPunct/>
        <w:topLinePunct w:val="0"/>
        <w:autoSpaceDE/>
        <w:autoSpaceDN/>
        <w:bidi w:val="0"/>
        <w:adjustRightInd/>
        <w:snapToGrid/>
        <w:spacing w:line="310" w:lineRule="exact"/>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本理财产品直接投资于流动性受限资产的市值在开放日不得超过本产品净资产的15%。因证券市场波动、理财产品规模变动等因素导致不符合前述比例限制的，本理财产品不得主动新增投资流动性受限资产。</w:t>
      </w:r>
    </w:p>
    <w:p>
      <w:pPr>
        <w:keepNext w:val="0"/>
        <w:keepLines w:val="0"/>
        <w:pageBreakBefore w:val="0"/>
        <w:widowControl w:val="0"/>
        <w:numPr>
          <w:ilvl w:val="0"/>
          <w:numId w:val="8"/>
        </w:numPr>
        <w:kinsoku/>
        <w:wordWrap/>
        <w:overflowPunct/>
        <w:topLinePunct w:val="0"/>
        <w:autoSpaceDE/>
        <w:autoSpaceDN/>
        <w:bidi w:val="0"/>
        <w:adjustRightInd/>
        <w:snapToGrid/>
        <w:spacing w:line="310" w:lineRule="exact"/>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在开放日前一工作日内，本理财产品7个工作日可变现资产的可变现价值应当不低于本产品净资产的10%。</w:t>
      </w:r>
    </w:p>
    <w:p>
      <w:pPr>
        <w:keepNext w:val="0"/>
        <w:keepLines w:val="0"/>
        <w:pageBreakBefore w:val="0"/>
        <w:numPr>
          <w:ilvl w:val="0"/>
          <w:numId w:val="6"/>
        </w:numPr>
        <w:tabs>
          <w:tab w:val="left" w:pos="993"/>
        </w:tabs>
        <w:kinsoku/>
        <w:wordWrap/>
        <w:overflowPunct w:val="0"/>
        <w:topLinePunct w:val="0"/>
        <w:autoSpaceDE w:val="0"/>
        <w:autoSpaceDN w:val="0"/>
        <w:bidi w:val="0"/>
        <w:spacing w:line="310" w:lineRule="exact"/>
        <w:ind w:firstLine="0" w:firstLineChars="0"/>
        <w:textAlignment w:val="auto"/>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line="310" w:lineRule="exact"/>
        <w:ind w:left="0" w:firstLine="420" w:firstLineChars="200"/>
        <w:jc w:val="both"/>
        <w:textAlignment w:val="auto"/>
        <w:rPr>
          <w:rFonts w:hint="eastAsia" w:ascii="楷体" w:hAnsi="楷体" w:eastAsia="楷体" w:cs="楷体"/>
          <w:color w:val="auto"/>
          <w:kern w:val="2"/>
          <w:sz w:val="21"/>
          <w:szCs w:val="21"/>
          <w:highlight w:val="none"/>
          <w:lang w:val="en-US" w:eastAsia="zh-CN" w:bidi="ar-SA"/>
        </w:rPr>
      </w:pPr>
      <w:r>
        <w:rPr>
          <w:rFonts w:hint="eastAsia" w:ascii="楷体" w:hAnsi="楷体" w:eastAsia="楷体" w:cs="楷体"/>
          <w:color w:val="auto"/>
          <w:kern w:val="2"/>
          <w:sz w:val="21"/>
          <w:szCs w:val="21"/>
          <w:highlight w:val="none"/>
          <w:lang w:val="en-US" w:eastAsia="zh-CN" w:bidi="ar-SA"/>
        </w:rPr>
        <w:t>若法律法规、国家监管政策或市场情况发生重大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将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line="310" w:lineRule="exact"/>
        <w:ind w:left="0" w:firstLine="420" w:firstLineChars="200"/>
        <w:jc w:val="both"/>
        <w:textAlignment w:val="auto"/>
        <w:rPr>
          <w:rFonts w:hint="default"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rPr>
        <w:t>如监管有最新规定的，可参照监管规定</w:t>
      </w:r>
      <w:r>
        <w:rPr>
          <w:rFonts w:hint="eastAsia" w:ascii="楷体" w:hAnsi="楷体" w:eastAsia="楷体" w:cs="楷体"/>
          <w:color w:val="auto"/>
          <w:sz w:val="21"/>
          <w:szCs w:val="21"/>
          <w:highlight w:val="none"/>
          <w:lang w:val="en-US" w:eastAsia="zh-CN"/>
        </w:rPr>
        <w:t>执行</w:t>
      </w:r>
      <w:r>
        <w:rPr>
          <w:rFonts w:hint="eastAsia" w:ascii="楷体" w:hAnsi="楷体" w:eastAsia="楷体" w:cs="楷体"/>
          <w:color w:val="auto"/>
          <w:sz w:val="21"/>
          <w:szCs w:val="21"/>
          <w:highlight w:val="none"/>
        </w:rPr>
        <w:t>。</w:t>
      </w:r>
    </w:p>
    <w:p>
      <w:pPr>
        <w:keepNext w:val="0"/>
        <w:keepLines w:val="0"/>
        <w:pageBreakBefore w:val="0"/>
        <w:numPr>
          <w:ilvl w:val="0"/>
          <w:numId w:val="1"/>
        </w:numPr>
        <w:tabs>
          <w:tab w:val="left" w:pos="1134"/>
        </w:tabs>
        <w:kinsoku/>
        <w:wordWrap/>
        <w:overflowPunct w:val="0"/>
        <w:topLinePunct w:val="0"/>
        <w:autoSpaceDE w:val="0"/>
        <w:autoSpaceDN w:val="0"/>
        <w:bidi w:val="0"/>
        <w:spacing w:line="310" w:lineRule="exact"/>
        <w:ind w:left="0" w:leftChars="0" w:firstLine="422" w:firstLineChars="200"/>
        <w:textAlignment w:val="auto"/>
        <w:outlineLvl w:val="1"/>
        <w:rPr>
          <w:rFonts w:hint="eastAsia" w:ascii="楷体" w:hAnsi="楷体" w:eastAsia="楷体" w:cs="楷体"/>
          <w:b/>
          <w:bCs w:val="0"/>
          <w:color w:val="auto"/>
          <w:sz w:val="21"/>
          <w:szCs w:val="21"/>
          <w:highlight w:val="none"/>
          <w:lang w:val="en-US" w:eastAsia="zh-CN"/>
        </w:rPr>
      </w:pPr>
      <w:r>
        <w:rPr>
          <w:rFonts w:hint="eastAsia" w:ascii="楷体" w:hAnsi="楷体" w:eastAsia="楷体" w:cs="楷体"/>
          <w:b/>
          <w:bCs w:val="0"/>
          <w:color w:val="auto"/>
          <w:sz w:val="21"/>
          <w:szCs w:val="21"/>
          <w:highlight w:val="none"/>
          <w:lang w:val="en-US" w:eastAsia="zh-CN"/>
        </w:rPr>
        <w:t>产品申购、赎回</w:t>
      </w:r>
    </w:p>
    <w:p>
      <w:pPr>
        <w:keepNext w:val="0"/>
        <w:keepLines w:val="0"/>
        <w:pageBreakBefore w:val="0"/>
        <w:numPr>
          <w:ilvl w:val="0"/>
          <w:numId w:val="9"/>
        </w:numPr>
        <w:tabs>
          <w:tab w:val="left" w:pos="993"/>
        </w:tabs>
        <w:kinsoku/>
        <w:wordWrap/>
        <w:topLinePunct w:val="0"/>
        <w:bidi w:val="0"/>
        <w:spacing w:line="310" w:lineRule="exact"/>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投资周期、开放计划</w:t>
      </w:r>
    </w:p>
    <w:p>
      <w:pPr>
        <w:keepNext w:val="0"/>
        <w:keepLines w:val="0"/>
        <w:pageBreakBefore w:val="0"/>
        <w:kinsoku/>
        <w:wordWrap/>
        <w:topLinePunct w:val="0"/>
        <w:bidi w:val="0"/>
        <w:spacing w:line="310" w:lineRule="exact"/>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本产品在每个投资周期结束前设置开放计划，时间为投资周期终止日前</w:t>
      </w:r>
      <w:r>
        <w:rPr>
          <w:rFonts w:hint="eastAsia" w:ascii="楷体" w:hAnsi="楷体" w:eastAsia="楷体"/>
          <w:sz w:val="21"/>
          <w:szCs w:val="21"/>
          <w:highlight w:val="none"/>
          <w:lang w:val="en-US" w:eastAsia="zh-CN"/>
        </w:rPr>
        <w:t>7个工作</w:t>
      </w:r>
      <w:r>
        <w:rPr>
          <w:rFonts w:hint="eastAsia" w:ascii="楷体" w:hAnsi="楷体" w:eastAsia="楷体"/>
          <w:sz w:val="21"/>
          <w:szCs w:val="21"/>
          <w:highlight w:val="none"/>
        </w:rPr>
        <w:t>日（含投资周期终止日），开放计划最后一日（即投资周期终止日）为开放日。投资者可在开放计划时间内通过销售机构提出申购/赎回申请（以各销售机构设置的开放时间为准），</w:t>
      </w:r>
      <w:r>
        <w:rPr>
          <w:rFonts w:hint="eastAsia" w:ascii="楷体" w:hAnsi="楷体" w:eastAsia="楷体"/>
          <w:b/>
          <w:sz w:val="21"/>
          <w:szCs w:val="21"/>
          <w:highlight w:val="none"/>
          <w:u w:val="single"/>
        </w:rPr>
        <w:t>除开放计划外的其他时间，管理人不接受投资者申购、赎回申请。</w:t>
      </w:r>
      <w:r>
        <w:rPr>
          <w:rFonts w:hint="eastAsia" w:ascii="楷体" w:hAnsi="楷体" w:eastAsia="楷体" w:cs="Calibri"/>
          <w:sz w:val="21"/>
          <w:szCs w:val="21"/>
          <w:highlight w:val="none"/>
        </w:rPr>
        <w:t>后续投资周期及开放计划受资产运作情况、节假日安排等要素限制，管理人将在每个投资周期结束前通过本理财产品说明书约定的方式披露下一周期开放计划。</w:t>
      </w:r>
    </w:p>
    <w:p>
      <w:pPr>
        <w:keepNext w:val="0"/>
        <w:keepLines w:val="0"/>
        <w:pageBreakBefore w:val="0"/>
        <w:numPr>
          <w:ilvl w:val="0"/>
          <w:numId w:val="9"/>
        </w:numPr>
        <w:tabs>
          <w:tab w:val="left" w:pos="993"/>
        </w:tabs>
        <w:kinsoku/>
        <w:wordWrap/>
        <w:topLinePunct w:val="0"/>
        <w:bidi w:val="0"/>
        <w:spacing w:line="310" w:lineRule="exact"/>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申购、赎回的规则</w:t>
      </w:r>
    </w:p>
    <w:p>
      <w:pPr>
        <w:keepNext w:val="0"/>
        <w:keepLines w:val="0"/>
        <w:pageBreakBefore w:val="0"/>
        <w:widowControl w:val="0"/>
        <w:numPr>
          <w:ilvl w:val="0"/>
          <w:numId w:val="10"/>
        </w:numPr>
        <w:tabs>
          <w:tab w:val="left" w:pos="728"/>
          <w:tab w:val="clear" w:pos="420"/>
        </w:tabs>
        <w:kinsoku/>
        <w:wordWrap/>
        <w:overflowPunct/>
        <w:topLinePunct w:val="0"/>
        <w:autoSpaceDE/>
        <w:autoSpaceDN/>
        <w:bidi w:val="0"/>
        <w:adjustRightInd/>
        <w:snapToGrid/>
        <w:spacing w:line="310" w:lineRule="exact"/>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申购、赎回的原则：投资者必须在产品开放计划内提出申购、赎回申请</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采用金额申购、份额赎回的原则，即申购以金额申请，赎回以份额申请。投资者提出申购申请时，须备足购买资金</w:t>
      </w:r>
      <w:r>
        <w:rPr>
          <w:rFonts w:hint="eastAsia" w:ascii="楷体" w:hAnsi="楷体" w:eastAsia="楷体" w:cs="Calibri"/>
          <w:sz w:val="21"/>
          <w:szCs w:val="21"/>
          <w:highlight w:val="none"/>
          <w:lang w:val="en-US" w:eastAsia="zh-CN"/>
        </w:rPr>
        <w:t>；</w:t>
      </w:r>
      <w:r>
        <w:rPr>
          <w:rFonts w:hint="eastAsia" w:ascii="楷体" w:hAnsi="楷体" w:eastAsia="楷体" w:cs="Calibri"/>
          <w:sz w:val="21"/>
          <w:szCs w:val="21"/>
          <w:highlight w:val="none"/>
        </w:rPr>
        <w:t>投资者提出赎回申请时，须有足够的理财产品份额余额。在开放计划内提交的申购/赎回申请可以在产品开放日</w:t>
      </w:r>
      <w:r>
        <w:rPr>
          <w:rFonts w:hint="eastAsia" w:ascii="楷体" w:hAnsi="楷体" w:eastAsia="楷体" w:cs="Calibri"/>
          <w:sz w:val="21"/>
          <w:szCs w:val="21"/>
          <w:highlight w:val="none"/>
          <w:lang w:val="en-US" w:eastAsia="zh-CN"/>
        </w:rPr>
        <w:t>闭市</w:t>
      </w:r>
      <w:r>
        <w:rPr>
          <w:rFonts w:hint="eastAsia" w:ascii="楷体" w:hAnsi="楷体" w:eastAsia="楷体" w:cs="Calibri"/>
          <w:sz w:val="21"/>
          <w:szCs w:val="21"/>
          <w:highlight w:val="none"/>
        </w:rPr>
        <w:t>前撤销，之后不得撤销。</w:t>
      </w:r>
      <w:r>
        <w:rPr>
          <w:rFonts w:hint="eastAsia" w:ascii="楷体" w:hAnsi="楷体" w:eastAsia="楷体"/>
          <w:sz w:val="21"/>
          <w:szCs w:val="21"/>
          <w:highlight w:val="none"/>
        </w:rPr>
        <w:t>（</w:t>
      </w:r>
      <w:r>
        <w:rPr>
          <w:rFonts w:hint="eastAsia" w:ascii="楷体" w:hAnsi="楷体" w:eastAsia="楷体" w:cs="Calibri"/>
          <w:sz w:val="21"/>
          <w:szCs w:val="21"/>
          <w:highlight w:val="none"/>
          <w:lang w:val="en-US" w:eastAsia="zh-CN"/>
        </w:rPr>
        <w:t>闭市时间</w:t>
      </w:r>
      <w:r>
        <w:rPr>
          <w:rFonts w:hint="eastAsia" w:ascii="楷体" w:hAnsi="楷体" w:eastAsia="楷体"/>
          <w:sz w:val="21"/>
          <w:szCs w:val="21"/>
          <w:highlight w:val="none"/>
        </w:rPr>
        <w:t>以各销售机构设置为准）</w:t>
      </w:r>
    </w:p>
    <w:p>
      <w:pPr>
        <w:keepNext w:val="0"/>
        <w:keepLines w:val="0"/>
        <w:pageBreakBefore w:val="0"/>
        <w:widowControl w:val="0"/>
        <w:numPr>
          <w:ilvl w:val="0"/>
          <w:numId w:val="10"/>
        </w:numPr>
        <w:tabs>
          <w:tab w:val="left" w:pos="728"/>
          <w:tab w:val="clear" w:pos="420"/>
        </w:tabs>
        <w:kinsoku/>
        <w:wordWrap/>
        <w:overflowPunct/>
        <w:topLinePunct w:val="0"/>
        <w:autoSpaceDE/>
        <w:autoSpaceDN/>
        <w:bidi w:val="0"/>
        <w:adjustRightInd/>
        <w:snapToGrid/>
        <w:spacing w:line="310" w:lineRule="exact"/>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申购、赎回的确认：投资者申购/赎回本产品时采用“未知价”原则，投资者在开放计划时间内通过销售机构提出的申购/赎回申请，管理人于开放日后1个工作日按开放日单位净值对申购/赎回申请予以统一确认，未赎回的份额自动进入下一个投资周期。</w:t>
      </w:r>
    </w:p>
    <w:p>
      <w:pPr>
        <w:keepNext w:val="0"/>
        <w:keepLines w:val="0"/>
        <w:pageBreakBefore w:val="0"/>
        <w:kinsoku/>
        <w:wordWrap/>
        <w:topLinePunct w:val="0"/>
        <w:bidi w:val="0"/>
        <w:spacing w:line="310" w:lineRule="exact"/>
        <w:ind w:firstLine="420" w:firstLineChars="200"/>
        <w:rPr>
          <w:rFonts w:hint="eastAsia" w:ascii="楷体" w:hAnsi="楷体" w:eastAsia="楷体"/>
          <w:sz w:val="21"/>
          <w:szCs w:val="21"/>
          <w:highlight w:val="none"/>
        </w:rPr>
      </w:pPr>
      <w:r>
        <w:rPr>
          <w:rFonts w:hint="eastAsia" w:ascii="楷体" w:hAnsi="楷体" w:eastAsia="楷体" w:cs="Calibri"/>
          <w:sz w:val="21"/>
          <w:szCs w:val="21"/>
          <w:highlight w:val="none"/>
          <w:lang w:val="en-US" w:eastAsia="zh-CN"/>
        </w:rPr>
        <w:t>管理人在份额登记日对投资者的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申请登记成功后并收到投资者全额交付的款项，视为投资者的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申请生效。投资者应在</w:t>
      </w:r>
      <w:r>
        <w:rPr>
          <w:rFonts w:hint="eastAsia" w:ascii="楷体" w:hAnsi="楷体" w:eastAsia="楷体"/>
          <w:sz w:val="21"/>
          <w:szCs w:val="21"/>
          <w:highlight w:val="none"/>
        </w:rPr>
        <w:t>开放日后</w:t>
      </w:r>
      <w:r>
        <w:rPr>
          <w:rFonts w:hint="eastAsia" w:ascii="楷体" w:hAnsi="楷体" w:eastAsia="楷体" w:cs="Calibri"/>
          <w:sz w:val="21"/>
          <w:szCs w:val="21"/>
          <w:highlight w:val="none"/>
          <w:lang w:val="en-US" w:eastAsia="zh-CN"/>
        </w:rPr>
        <w:t>及时查询最终的成交情况以及</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的份额。</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和销售机构的事由出现，造成申购</w:t>
      </w:r>
      <w:r>
        <w:rPr>
          <w:rFonts w:hint="eastAsia" w:ascii="楷体" w:hAnsi="楷体" w:eastAsia="楷体" w:cs="Calibri"/>
          <w:sz w:val="21"/>
          <w:szCs w:val="21"/>
          <w:highlight w:val="none"/>
          <w:lang w:val="en-US" w:eastAsia="zh-CN"/>
        </w:rPr>
        <w:t>申请</w:t>
      </w:r>
      <w:r>
        <w:rPr>
          <w:rFonts w:hint="eastAsia" w:ascii="楷体" w:hAnsi="楷体" w:eastAsia="楷体"/>
          <w:sz w:val="21"/>
          <w:szCs w:val="21"/>
          <w:highlight w:val="none"/>
        </w:rPr>
        <w:t>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keepNext w:val="0"/>
        <w:keepLines w:val="0"/>
        <w:pageBreakBefore w:val="0"/>
        <w:kinsoku/>
        <w:wordWrap/>
        <w:topLinePunct w:val="0"/>
        <w:bidi w:val="0"/>
        <w:spacing w:line="310" w:lineRule="exact"/>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投资者赎回资金将在确认日后2个工作日内到达投资者资金账户。</w:t>
      </w:r>
    </w:p>
    <w:p>
      <w:pPr>
        <w:keepNext w:val="0"/>
        <w:keepLines w:val="0"/>
        <w:pageBreakBefore w:val="0"/>
        <w:numPr>
          <w:ilvl w:val="0"/>
          <w:numId w:val="9"/>
        </w:numPr>
        <w:tabs>
          <w:tab w:val="left" w:pos="993"/>
        </w:tabs>
        <w:kinsoku/>
        <w:wordWrap/>
        <w:topLinePunct w:val="0"/>
        <w:bidi w:val="0"/>
        <w:spacing w:line="310" w:lineRule="exact"/>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申购份额的计算</w:t>
      </w:r>
    </w:p>
    <w:p>
      <w:pPr>
        <w:keepNext w:val="0"/>
        <w:keepLines w:val="0"/>
        <w:pageBreakBefore w:val="0"/>
        <w:kinsoku/>
        <w:wordWrap/>
        <w:topLinePunct w:val="0"/>
        <w:bidi w:val="0"/>
        <w:spacing w:line="310" w:lineRule="exact"/>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申购份额=申购金额/开放日产品单位净值</w:t>
      </w:r>
      <w:r>
        <w:rPr>
          <w:rFonts w:hint="eastAsia" w:ascii="楷体" w:hAnsi="楷体" w:eastAsia="楷体"/>
          <w:sz w:val="21"/>
          <w:szCs w:val="21"/>
          <w:highlight w:val="none"/>
          <w:lang w:eastAsia="zh-CN"/>
        </w:rPr>
        <w:t>，</w:t>
      </w:r>
      <w:r>
        <w:rPr>
          <w:rFonts w:hint="eastAsia" w:ascii="楷体" w:hAnsi="楷体" w:eastAsia="楷体"/>
          <w:sz w:val="21"/>
          <w:szCs w:val="21"/>
          <w:highlight w:val="none"/>
        </w:rPr>
        <w:t>申购份额以四舍五入的方法保留到小数点后两位</w:t>
      </w:r>
    </w:p>
    <w:p>
      <w:pPr>
        <w:keepNext w:val="0"/>
        <w:keepLines w:val="0"/>
        <w:pageBreakBefore w:val="0"/>
        <w:numPr>
          <w:ilvl w:val="0"/>
          <w:numId w:val="9"/>
        </w:numPr>
        <w:tabs>
          <w:tab w:val="left" w:pos="993"/>
        </w:tabs>
        <w:kinsoku/>
        <w:wordWrap/>
        <w:topLinePunct w:val="0"/>
        <w:bidi w:val="0"/>
        <w:spacing w:line="310" w:lineRule="exact"/>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赎回金额的计算</w:t>
      </w:r>
    </w:p>
    <w:p>
      <w:pPr>
        <w:keepNext w:val="0"/>
        <w:keepLines w:val="0"/>
        <w:pageBreakBefore w:val="0"/>
        <w:kinsoku/>
        <w:wordWrap/>
        <w:topLinePunct w:val="0"/>
        <w:bidi w:val="0"/>
        <w:spacing w:line="310" w:lineRule="exact"/>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赎回金额=赎回份额*开放日产品单位净值</w:t>
      </w:r>
      <w:r>
        <w:rPr>
          <w:rFonts w:hint="eastAsia" w:ascii="楷体" w:hAnsi="楷体" w:eastAsia="楷体"/>
          <w:sz w:val="21"/>
          <w:szCs w:val="21"/>
          <w:highlight w:val="none"/>
          <w:lang w:val="en-US" w:eastAsia="zh-CN"/>
        </w:rPr>
        <w:t>-超额业绩报酬（如有）</w:t>
      </w:r>
      <w:r>
        <w:rPr>
          <w:rFonts w:hint="eastAsia" w:ascii="楷体" w:hAnsi="楷体" w:eastAsia="楷体"/>
          <w:sz w:val="21"/>
          <w:szCs w:val="21"/>
          <w:highlight w:val="none"/>
          <w:lang w:eastAsia="zh-CN"/>
        </w:rPr>
        <w:t>，</w:t>
      </w:r>
      <w:r>
        <w:rPr>
          <w:rFonts w:hint="eastAsia" w:ascii="楷体" w:hAnsi="楷体" w:eastAsia="楷体"/>
          <w:sz w:val="21"/>
          <w:szCs w:val="21"/>
          <w:highlight w:val="none"/>
        </w:rPr>
        <w:t>赎回金额以四舍五入的方法保留到小数点后两位</w:t>
      </w:r>
    </w:p>
    <w:p>
      <w:pPr>
        <w:keepNext w:val="0"/>
        <w:keepLines w:val="0"/>
        <w:pageBreakBefore w:val="0"/>
        <w:numPr>
          <w:ilvl w:val="0"/>
          <w:numId w:val="9"/>
        </w:numPr>
        <w:tabs>
          <w:tab w:val="left" w:pos="993"/>
        </w:tabs>
        <w:kinsoku/>
        <w:wordWrap/>
        <w:topLinePunct w:val="0"/>
        <w:bidi w:val="0"/>
        <w:spacing w:line="310" w:lineRule="exact"/>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巨额赎回</w:t>
      </w:r>
      <w:r>
        <w:rPr>
          <w:rFonts w:hint="eastAsia" w:ascii="楷体" w:hAnsi="楷体" w:eastAsia="楷体" w:cs="Calibri"/>
          <w:b w:val="0"/>
          <w:bCs/>
          <w:sz w:val="21"/>
          <w:szCs w:val="21"/>
          <w:highlight w:val="none"/>
          <w:lang w:eastAsia="zh-CN"/>
        </w:rPr>
        <w:t>：</w:t>
      </w:r>
      <w:r>
        <w:rPr>
          <w:rFonts w:hint="eastAsia" w:ascii="楷体" w:hAnsi="楷体" w:eastAsia="楷体" w:cs="Calibri"/>
          <w:b w:val="0"/>
          <w:bCs/>
          <w:sz w:val="21"/>
          <w:szCs w:val="21"/>
          <w:highlight w:val="none"/>
          <w:lang w:val="en-US" w:eastAsia="zh-CN"/>
        </w:rPr>
        <w:t>详见“关键要素”</w:t>
      </w:r>
    </w:p>
    <w:p>
      <w:pPr>
        <w:keepNext w:val="0"/>
        <w:keepLines w:val="0"/>
        <w:pageBreakBefore w:val="0"/>
        <w:numPr>
          <w:ilvl w:val="0"/>
          <w:numId w:val="9"/>
        </w:numPr>
        <w:tabs>
          <w:tab w:val="left" w:pos="993"/>
        </w:tabs>
        <w:kinsoku/>
        <w:wordWrap/>
        <w:topLinePunct w:val="0"/>
        <w:bidi w:val="0"/>
        <w:spacing w:line="310" w:lineRule="exact"/>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特殊情形及处理</w:t>
      </w:r>
    </w:p>
    <w:p>
      <w:pPr>
        <w:keepNext w:val="0"/>
        <w:keepLines w:val="0"/>
        <w:pageBreakBefore w:val="0"/>
        <w:kinsoku/>
        <w:wordWrap/>
        <w:topLinePunct w:val="0"/>
        <w:bidi w:val="0"/>
        <w:spacing w:line="310" w:lineRule="exact"/>
        <w:ind w:firstLine="420" w:firstLineChars="200"/>
        <w:rPr>
          <w:rFonts w:ascii="楷体" w:hAnsi="楷体" w:eastAsia="楷体"/>
          <w:b w:val="0"/>
          <w:bCs w:val="0"/>
          <w:sz w:val="21"/>
          <w:szCs w:val="21"/>
          <w:highlight w:val="none"/>
        </w:rPr>
      </w:pPr>
      <w:r>
        <w:rPr>
          <w:rFonts w:ascii="楷体" w:hAnsi="楷体" w:eastAsia="楷体"/>
          <w:b w:val="0"/>
          <w:bCs w:val="0"/>
          <w:sz w:val="21"/>
          <w:szCs w:val="21"/>
          <w:highlight w:val="none"/>
        </w:rPr>
        <w:t>1.</w:t>
      </w:r>
      <w:r>
        <w:rPr>
          <w:rFonts w:hint="eastAsia" w:ascii="楷体" w:hAnsi="楷体" w:eastAsia="楷体"/>
          <w:b w:val="0"/>
          <w:bCs w:val="0"/>
          <w:sz w:val="21"/>
          <w:szCs w:val="21"/>
          <w:highlight w:val="none"/>
        </w:rPr>
        <w:t>除以下情形外，管理人不得拒绝接受或暂停接受投资者的申购申请：</w:t>
      </w:r>
    </w:p>
    <w:p>
      <w:pPr>
        <w:keepNext w:val="0"/>
        <w:keepLines w:val="0"/>
        <w:pageBreakBefore w:val="0"/>
        <w:numPr>
          <w:ilvl w:val="0"/>
          <w:numId w:val="0"/>
        </w:numPr>
        <w:tabs>
          <w:tab w:val="left" w:pos="728"/>
        </w:tabs>
        <w:kinsoku/>
        <w:wordWrap/>
        <w:topLinePunct w:val="0"/>
        <w:bidi w:val="0"/>
        <w:spacing w:line="310" w:lineRule="exact"/>
        <w:ind w:left="0" w:leftChars="0"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（1）不可抗力的原因导致产品无法正常运作</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（2）超出产品单一投资者持有上限</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3</w:t>
      </w:r>
      <w:r>
        <w:rPr>
          <w:rFonts w:hint="eastAsia" w:ascii="楷体" w:hAnsi="楷体" w:eastAsia="楷体" w:cs="Calibri"/>
          <w:sz w:val="21"/>
          <w:szCs w:val="21"/>
          <w:highlight w:val="none"/>
        </w:rPr>
        <w:t>）发生《理财产品说明书》约定的暂停估值的情形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4</w:t>
      </w:r>
      <w:r>
        <w:rPr>
          <w:rFonts w:hint="eastAsia" w:ascii="楷体" w:hAnsi="楷体" w:eastAsia="楷体" w:cs="Calibri"/>
          <w:sz w:val="21"/>
          <w:szCs w:val="21"/>
          <w:highlight w:val="none"/>
        </w:rPr>
        <w:t>）管理人接受某笔或者某些申购申请有可能导致单一投资者持有理财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份额的比例达到或者超过50%的情形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5</w:t>
      </w:r>
      <w:r>
        <w:rPr>
          <w:rFonts w:hint="eastAsia" w:ascii="楷体" w:hAnsi="楷体" w:eastAsia="楷体" w:cs="Calibri"/>
          <w:sz w:val="21"/>
          <w:szCs w:val="21"/>
          <w:highlight w:val="none"/>
        </w:rPr>
        <w:t>）当接受某笔或某些申购申请可能对存量理财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）法律、法规规定认定的其他情形。</w:t>
      </w:r>
    </w:p>
    <w:p>
      <w:pPr>
        <w:keepNext w:val="0"/>
        <w:keepLines w:val="0"/>
        <w:pageBreakBefore w:val="0"/>
        <w:numPr>
          <w:ilvl w:val="0"/>
          <w:numId w:val="0"/>
        </w:numPr>
        <w:tabs>
          <w:tab w:val="left" w:pos="728"/>
        </w:tabs>
        <w:kinsoku/>
        <w:wordWrap/>
        <w:topLinePunct w:val="0"/>
        <w:bidi w:val="0"/>
        <w:spacing w:line="310" w:lineRule="exact"/>
        <w:ind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在上述暂停或拒绝申购的情况消除后，管理人将及时恢复申购业务的办理。</w:t>
      </w:r>
    </w:p>
    <w:p>
      <w:pPr>
        <w:keepNext w:val="0"/>
        <w:keepLines w:val="0"/>
        <w:pageBreakBefore w:val="0"/>
        <w:kinsoku/>
        <w:wordWrap/>
        <w:topLinePunct w:val="0"/>
        <w:bidi w:val="0"/>
        <w:spacing w:line="310" w:lineRule="exact"/>
        <w:ind w:firstLine="420" w:firstLineChars="200"/>
        <w:rPr>
          <w:rFonts w:ascii="楷体" w:hAnsi="楷体" w:eastAsia="楷体"/>
          <w:b w:val="0"/>
          <w:bCs w:val="0"/>
          <w:sz w:val="21"/>
          <w:szCs w:val="21"/>
          <w:highlight w:val="none"/>
        </w:rPr>
      </w:pPr>
      <w:r>
        <w:rPr>
          <w:rFonts w:ascii="楷体" w:hAnsi="楷体" w:eastAsia="楷体"/>
          <w:b w:val="0"/>
          <w:bCs w:val="0"/>
          <w:sz w:val="21"/>
          <w:szCs w:val="21"/>
          <w:highlight w:val="none"/>
        </w:rPr>
        <w:t>2.</w:t>
      </w:r>
      <w:r>
        <w:rPr>
          <w:rFonts w:hint="eastAsia" w:ascii="楷体" w:hAnsi="楷体" w:eastAsia="楷体"/>
          <w:b w:val="0"/>
          <w:bCs w:val="0"/>
          <w:sz w:val="21"/>
          <w:szCs w:val="21"/>
          <w:highlight w:val="none"/>
        </w:rPr>
        <w:t>除以下情形外，管理人不得暂停接受投资者的赎回申请或延缓支付赎回款项：</w:t>
      </w:r>
    </w:p>
    <w:p>
      <w:pPr>
        <w:keepNext w:val="0"/>
        <w:keepLines w:val="0"/>
        <w:pageBreakBefore w:val="0"/>
        <w:numPr>
          <w:ilvl w:val="0"/>
          <w:numId w:val="0"/>
        </w:numPr>
        <w:tabs>
          <w:tab w:val="left" w:pos="728"/>
        </w:tabs>
        <w:kinsoku/>
        <w:wordWrap/>
        <w:topLinePunct w:val="0"/>
        <w:bidi w:val="0"/>
        <w:spacing w:line="310" w:lineRule="exact"/>
        <w:ind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（1）不可抗力的原因导致管理人不能支付赎回款项</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（2）触发巨额赎回条款</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（3）发生《理财产品说明书》约定的暂停估值的情形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（4）当接受某笔或某些赎回申请可能对存量理财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（5）法律、法规规定认定的其他情形。</w:t>
      </w:r>
    </w:p>
    <w:p>
      <w:pPr>
        <w:keepNext w:val="0"/>
        <w:keepLines w:val="0"/>
        <w:pageBreakBefore w:val="0"/>
        <w:numPr>
          <w:ilvl w:val="0"/>
          <w:numId w:val="0"/>
        </w:numPr>
        <w:tabs>
          <w:tab w:val="left" w:pos="728"/>
        </w:tabs>
        <w:kinsoku/>
        <w:wordWrap/>
        <w:topLinePunct w:val="0"/>
        <w:bidi w:val="0"/>
        <w:spacing w:line="310" w:lineRule="exact"/>
        <w:ind w:firstLine="420" w:firstLineChars="200"/>
        <w:rPr>
          <w:rFonts w:hint="eastAsia" w:ascii="楷体" w:hAnsi="楷体" w:eastAsia="楷体" w:cs="Calibri"/>
          <w:sz w:val="21"/>
          <w:szCs w:val="21"/>
          <w:highlight w:val="none"/>
        </w:rPr>
      </w:pPr>
      <w:r>
        <w:rPr>
          <w:rFonts w:hint="eastAsia" w:ascii="楷体" w:hAnsi="楷体" w:eastAsia="楷体" w:cs="Calibri"/>
          <w:sz w:val="21"/>
          <w:szCs w:val="21"/>
          <w:highlight w:val="none"/>
        </w:rPr>
        <w:t>若管理人决定</w:t>
      </w:r>
      <w:r>
        <w:rPr>
          <w:rFonts w:hint="eastAsia" w:ascii="楷体" w:hAnsi="楷体" w:eastAsia="楷体"/>
          <w:sz w:val="21"/>
          <w:szCs w:val="21"/>
          <w:highlight w:val="none"/>
        </w:rPr>
        <w:t>暂停接受投资者的赎回申请或延缓支付赎回款项</w:t>
      </w:r>
      <w:r>
        <w:rPr>
          <w:rFonts w:hint="eastAsia" w:ascii="楷体" w:hAnsi="楷体" w:eastAsia="楷体" w:cs="Calibri"/>
          <w:sz w:val="21"/>
          <w:szCs w:val="21"/>
          <w:highlight w:val="none"/>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1"/>
          <w:szCs w:val="21"/>
          <w:highlight w:val="none"/>
        </w:rPr>
        <w:t>暂停接受投资者的赎回申请或延缓支付赎回款项的情况消除后</w:t>
      </w:r>
      <w:r>
        <w:rPr>
          <w:rFonts w:hint="eastAsia" w:ascii="楷体" w:hAnsi="楷体" w:eastAsia="楷体" w:cs="Calibri"/>
          <w:sz w:val="21"/>
          <w:szCs w:val="21"/>
          <w:highlight w:val="none"/>
        </w:rPr>
        <w:t>，管理人将及时恢复</w:t>
      </w:r>
      <w:r>
        <w:rPr>
          <w:rFonts w:hint="eastAsia" w:ascii="楷体" w:hAnsi="楷体" w:eastAsia="楷体" w:cs="Calibri"/>
          <w:sz w:val="21"/>
          <w:szCs w:val="21"/>
          <w:highlight w:val="none"/>
          <w:lang w:val="en-US" w:eastAsia="zh-CN"/>
        </w:rPr>
        <w:t>赎回</w:t>
      </w:r>
      <w:r>
        <w:rPr>
          <w:rFonts w:hint="eastAsia" w:ascii="楷体" w:hAnsi="楷体" w:eastAsia="楷体" w:cs="Calibri"/>
          <w:sz w:val="21"/>
          <w:szCs w:val="21"/>
          <w:highlight w:val="none"/>
        </w:rPr>
        <w:t>业务的办理。</w:t>
      </w:r>
    </w:p>
    <w:p>
      <w:pPr>
        <w:keepNext w:val="0"/>
        <w:keepLines w:val="0"/>
        <w:pageBreakBefore w:val="0"/>
        <w:numPr>
          <w:ilvl w:val="0"/>
          <w:numId w:val="1"/>
        </w:numPr>
        <w:tabs>
          <w:tab w:val="left" w:pos="1134"/>
        </w:tabs>
        <w:kinsoku/>
        <w:wordWrap/>
        <w:overflowPunct w:val="0"/>
        <w:topLinePunct w:val="0"/>
        <w:autoSpaceDE w:val="0"/>
        <w:autoSpaceDN w:val="0"/>
        <w:bidi w:val="0"/>
        <w:spacing w:line="310" w:lineRule="exact"/>
        <w:ind w:left="0" w:leftChars="0" w:firstLine="422" w:firstLineChars="200"/>
        <w:textAlignment w:val="auto"/>
        <w:outlineLvl w:val="1"/>
        <w:rPr>
          <w:rFonts w:hint="eastAsia" w:ascii="楷体" w:hAnsi="楷体" w:eastAsia="楷体" w:cs="楷体"/>
          <w:b/>
          <w:bCs w:val="0"/>
          <w:color w:val="auto"/>
          <w:sz w:val="21"/>
          <w:szCs w:val="21"/>
          <w:highlight w:val="none"/>
          <w:lang w:val="en-US" w:eastAsia="zh-CN"/>
        </w:rPr>
      </w:pPr>
      <w:r>
        <w:rPr>
          <w:rFonts w:hint="eastAsia" w:ascii="楷体" w:hAnsi="楷体" w:eastAsia="楷体" w:cs="楷体"/>
          <w:b/>
          <w:bCs w:val="0"/>
          <w:color w:val="auto"/>
          <w:sz w:val="21"/>
          <w:szCs w:val="21"/>
          <w:highlight w:val="none"/>
          <w:lang w:val="en-US" w:eastAsia="zh-CN"/>
        </w:rPr>
        <w:t>期间收益分配</w:t>
      </w:r>
    </w:p>
    <w:p>
      <w:pPr>
        <w:keepNext w:val="0"/>
        <w:keepLines w:val="0"/>
        <w:pageBreakBefore w:val="0"/>
        <w:kinsoku/>
        <w:wordWrap/>
        <w:topLinePunct w:val="0"/>
        <w:bidi w:val="0"/>
        <w:spacing w:line="310" w:lineRule="exact"/>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w:t>
      </w:r>
      <w:r>
        <w:rPr>
          <w:rFonts w:hint="eastAsia" w:ascii="楷体" w:hAnsi="楷体" w:eastAsia="楷体"/>
          <w:sz w:val="21"/>
          <w:szCs w:val="21"/>
          <w:highlight w:val="none"/>
          <w:lang w:val="en-US" w:eastAsia="zh-CN"/>
        </w:rPr>
        <w:t>计划</w:t>
      </w:r>
      <w:r>
        <w:rPr>
          <w:rFonts w:hint="eastAsia" w:ascii="楷体" w:hAnsi="楷体" w:eastAsia="楷体"/>
          <w:sz w:val="21"/>
          <w:szCs w:val="21"/>
          <w:highlight w:val="none"/>
        </w:rPr>
        <w:t>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将于投资周期终止日后2个工作日内分配至投资者资金账户。</w:t>
      </w:r>
    </w:p>
    <w:p>
      <w:pPr>
        <w:keepNext w:val="0"/>
        <w:keepLines w:val="0"/>
        <w:pageBreakBefore w:val="0"/>
        <w:kinsoku/>
        <w:wordWrap/>
        <w:topLinePunct w:val="0"/>
        <w:bidi w:val="0"/>
        <w:spacing w:line="310" w:lineRule="exact"/>
        <w:ind w:firstLine="422" w:firstLineChars="200"/>
        <w:rPr>
          <w:rFonts w:hint="eastAsia" w:ascii="楷体" w:hAnsi="楷体" w:eastAsia="楷体"/>
          <w:sz w:val="21"/>
          <w:szCs w:val="21"/>
          <w:highlight w:val="none"/>
          <w:lang w:eastAsia="zh-CN"/>
        </w:rPr>
      </w:pPr>
      <w:r>
        <w:rPr>
          <w:rFonts w:hint="eastAsia" w:ascii="楷体" w:hAnsi="楷体" w:eastAsia="楷体"/>
          <w:b/>
          <w:sz w:val="21"/>
          <w:szCs w:val="21"/>
          <w:highlight w:val="none"/>
          <w:u w:val="single"/>
        </w:rPr>
        <w:t>以下示例均为假设情况，不代表本产品实际投资业绩</w:t>
      </w:r>
      <w:r>
        <w:rPr>
          <w:rFonts w:hint="eastAsia" w:ascii="楷体" w:hAnsi="楷体" w:eastAsia="楷体"/>
          <w:b/>
          <w:sz w:val="21"/>
          <w:szCs w:val="21"/>
          <w:highlight w:val="none"/>
          <w:u w:val="single"/>
          <w:lang w:eastAsia="zh-CN"/>
        </w:rPr>
        <w:t>。</w:t>
      </w:r>
    </w:p>
    <w:p>
      <w:pPr>
        <w:keepNext w:val="0"/>
        <w:keepLines w:val="0"/>
        <w:pageBreakBefore w:val="0"/>
        <w:kinsoku/>
        <w:wordWrap/>
        <w:topLinePunct w:val="0"/>
        <w:bidi w:val="0"/>
        <w:spacing w:line="310" w:lineRule="exact"/>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1.情景一</w:t>
      </w:r>
    </w:p>
    <w:p>
      <w:pPr>
        <w:keepNext w:val="0"/>
        <w:keepLines w:val="0"/>
        <w:pageBreakBefore w:val="0"/>
        <w:kinsoku/>
        <w:wordWrap/>
        <w:topLinePunct w:val="0"/>
        <w:bidi w:val="0"/>
        <w:spacing w:line="310" w:lineRule="exact"/>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假定投资者在该投资周期持有该产品的份额为10,000.00份，该投资周期扣除固定费用（包括托管费、销售服务费、投资管理费）、运作产品所必须缴纳的税费、提取业绩报酬（如有）后，产品单位净值为1.0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20。理财产品单位净值大于面值，管理人可进行现金分红，每份额可获得的现金分红为0.0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w:t>
      </w:r>
    </w:p>
    <w:p>
      <w:pPr>
        <w:keepNext w:val="0"/>
        <w:keepLines w:val="0"/>
        <w:pageBreakBefore w:val="0"/>
        <w:kinsoku/>
        <w:wordWrap/>
        <w:topLinePunct w:val="0"/>
        <w:bidi w:val="0"/>
        <w:spacing w:line="310" w:lineRule="exact"/>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该投资周期投资者可得分红=10,000.00×0.0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20.00（元）</w:t>
      </w:r>
    </w:p>
    <w:p>
      <w:pPr>
        <w:keepNext w:val="0"/>
        <w:keepLines w:val="0"/>
        <w:pageBreakBefore w:val="0"/>
        <w:kinsoku/>
        <w:wordWrap/>
        <w:topLinePunct w:val="0"/>
        <w:bidi w:val="0"/>
        <w:spacing w:line="310" w:lineRule="exact"/>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2.情景二</w:t>
      </w:r>
    </w:p>
    <w:p>
      <w:pPr>
        <w:keepNext w:val="0"/>
        <w:keepLines w:val="0"/>
        <w:pageBreakBefore w:val="0"/>
        <w:kinsoku/>
        <w:wordWrap/>
        <w:topLinePunct w:val="0"/>
        <w:bidi w:val="0"/>
        <w:spacing w:line="310" w:lineRule="exact"/>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假定投资者在该投资周期持有该产品的份额为10,000.00份，该投资周期扣除固定费用（包括托管费、销售服务费、投资管理费）、运作产品所必须缴纳的税费、提取业绩报酬（如有）后，产品单位净值为0.9975。理财产品单位净值小于面值，该投资周期无现金分红。</w:t>
      </w:r>
    </w:p>
    <w:p>
      <w:pPr>
        <w:keepNext w:val="0"/>
        <w:keepLines w:val="0"/>
        <w:pageBreakBefore w:val="0"/>
        <w:kinsoku/>
        <w:wordWrap/>
        <w:topLinePunct w:val="0"/>
        <w:bidi w:val="0"/>
        <w:spacing w:line="310" w:lineRule="exact"/>
        <w:ind w:firstLine="422" w:firstLineChars="200"/>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上述情况假设仅用于向投资者示例现金分红计算方法之用，并不代表管理人对实际分红情况的预期判断，也不代表以上所有情形或某一情形一定会发生，或管理人认为发生的可能性很大。投资者获得的最终</w:t>
      </w:r>
      <w:r>
        <w:rPr>
          <w:rFonts w:hint="eastAsia" w:ascii="楷体" w:hAnsi="楷体" w:eastAsia="楷体"/>
          <w:b/>
          <w:sz w:val="21"/>
          <w:szCs w:val="21"/>
          <w:highlight w:val="none"/>
          <w:u w:val="single"/>
          <w:lang w:val="en-US" w:eastAsia="zh-CN"/>
        </w:rPr>
        <w:t>收益</w:t>
      </w:r>
      <w:r>
        <w:rPr>
          <w:rFonts w:hint="eastAsia" w:ascii="楷体" w:hAnsi="楷体" w:eastAsia="楷体"/>
          <w:b/>
          <w:sz w:val="21"/>
          <w:szCs w:val="21"/>
          <w:highlight w:val="none"/>
          <w:u w:val="single"/>
        </w:rPr>
        <w:t>以产品实际运作表现及管理人实际支付为准。</w:t>
      </w:r>
    </w:p>
    <w:p>
      <w:pPr>
        <w:keepNext w:val="0"/>
        <w:keepLines w:val="0"/>
        <w:pageBreakBefore w:val="0"/>
        <w:numPr>
          <w:ilvl w:val="0"/>
          <w:numId w:val="1"/>
        </w:numPr>
        <w:tabs>
          <w:tab w:val="left" w:pos="1134"/>
        </w:tabs>
        <w:kinsoku/>
        <w:wordWrap/>
        <w:overflowPunct w:val="0"/>
        <w:topLinePunct w:val="0"/>
        <w:autoSpaceDE w:val="0"/>
        <w:autoSpaceDN w:val="0"/>
        <w:bidi w:val="0"/>
        <w:spacing w:line="310" w:lineRule="exact"/>
        <w:ind w:left="0" w:leftChars="0" w:firstLine="422" w:firstLineChars="200"/>
        <w:textAlignment w:val="auto"/>
        <w:outlineLvl w:val="1"/>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产品终止</w:t>
      </w:r>
    </w:p>
    <w:p>
      <w:pPr>
        <w:keepNext w:val="0"/>
        <w:keepLines w:val="0"/>
        <w:pageBreakBefore w:val="0"/>
        <w:numPr>
          <w:ilvl w:val="0"/>
          <w:numId w:val="11"/>
        </w:numPr>
        <w:tabs>
          <w:tab w:val="left" w:pos="993"/>
        </w:tabs>
        <w:kinsoku/>
        <w:wordWrap/>
        <w:overflowPunct w:val="0"/>
        <w:topLinePunct w:val="0"/>
        <w:autoSpaceDE w:val="0"/>
        <w:autoSpaceDN w:val="0"/>
        <w:bidi w:val="0"/>
        <w:spacing w:line="310" w:lineRule="exact"/>
        <w:ind w:left="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提前终止</w:t>
      </w:r>
    </w:p>
    <w:p>
      <w:pPr>
        <w:keepNext w:val="0"/>
        <w:keepLines w:val="0"/>
        <w:pageBreakBefore w:val="0"/>
        <w:numPr>
          <w:ilvl w:val="0"/>
          <w:numId w:val="0"/>
        </w:numPr>
        <w:kinsoku/>
        <w:wordWrap/>
        <w:topLinePunct w:val="0"/>
        <w:bidi w:val="0"/>
        <w:spacing w:line="310" w:lineRule="exact"/>
        <w:ind w:left="0" w:firstLine="420" w:firstLineChars="200"/>
        <w:rPr>
          <w:rFonts w:hint="eastAsia" w:ascii="楷体" w:hAnsi="楷体" w:eastAsia="楷体" w:cs="楷体"/>
          <w:b w:val="0"/>
          <w:bCs w:val="0"/>
          <w:color w:val="auto"/>
          <w:sz w:val="21"/>
          <w:szCs w:val="21"/>
          <w:highlight w:val="none"/>
        </w:rPr>
      </w:pPr>
      <w:r>
        <w:rPr>
          <w:rFonts w:hint="eastAsia" w:ascii="楷体" w:hAnsi="楷体" w:eastAsia="楷体" w:cs="楷体"/>
          <w:b w:val="0"/>
          <w:bCs w:val="0"/>
          <w:color w:val="auto"/>
          <w:sz w:val="21"/>
          <w:szCs w:val="21"/>
          <w:highlight w:val="none"/>
        </w:rPr>
        <w:t>在理财产品投资运作期间内，投资者无权要求提前终止该理财产品。在理财产品投资运作期间内，</w:t>
      </w:r>
      <w:r>
        <w:rPr>
          <w:rFonts w:hint="eastAsia" w:ascii="楷体" w:hAnsi="楷体" w:eastAsia="楷体" w:cs="楷体"/>
          <w:b w:val="0"/>
          <w:bCs w:val="0"/>
          <w:color w:val="auto"/>
          <w:sz w:val="21"/>
          <w:szCs w:val="21"/>
          <w:highlight w:val="none"/>
          <w:lang w:val="en-US" w:eastAsia="zh-CN"/>
        </w:rPr>
        <w:t>包括但不限于</w:t>
      </w:r>
      <w:r>
        <w:rPr>
          <w:rFonts w:hint="eastAsia" w:ascii="楷体" w:hAnsi="楷体" w:eastAsia="楷体" w:cs="楷体"/>
          <w:b w:val="0"/>
          <w:bCs w:val="0"/>
          <w:color w:val="auto"/>
          <w:sz w:val="21"/>
          <w:szCs w:val="21"/>
          <w:highlight w:val="none"/>
        </w:rPr>
        <w:t>出现下列情形时，产品管理人有权提前终止本产品：因不可抗力原因导致理财产品无法继续运作；因法律法规变化或国家金融政策调整。如理财产品管理人提前终止本理财产品，将至少提前2个工作日（含）按说明书约定的信息披露方式予以披露</w:t>
      </w:r>
      <w:r>
        <w:rPr>
          <w:rFonts w:hint="eastAsia" w:ascii="楷体" w:hAnsi="楷体" w:eastAsia="楷体" w:cs="楷体"/>
          <w:b w:val="0"/>
          <w:bCs w:val="0"/>
          <w:color w:val="auto"/>
          <w:sz w:val="21"/>
          <w:szCs w:val="21"/>
          <w:highlight w:val="none"/>
          <w:lang w:eastAsia="zh-CN"/>
        </w:rPr>
        <w:t>，</w:t>
      </w:r>
      <w:r>
        <w:rPr>
          <w:rFonts w:hint="eastAsia" w:ascii="楷体" w:hAnsi="楷体" w:eastAsia="楷体" w:cs="楷体"/>
          <w:b w:val="0"/>
          <w:bCs w:val="0"/>
          <w:color w:val="auto"/>
          <w:sz w:val="21"/>
          <w:szCs w:val="21"/>
          <w:highlight w:val="none"/>
          <w:lang w:val="en-US" w:eastAsia="zh-CN"/>
        </w:rPr>
        <w:t>明确产品终止日</w:t>
      </w:r>
      <w:r>
        <w:rPr>
          <w:rFonts w:hint="eastAsia" w:ascii="楷体" w:hAnsi="楷体" w:eastAsia="楷体" w:cs="楷体"/>
          <w:b w:val="0"/>
          <w:bCs w:val="0"/>
          <w:color w:val="auto"/>
          <w:sz w:val="21"/>
          <w:szCs w:val="21"/>
          <w:highlight w:val="none"/>
        </w:rPr>
        <w:t>。</w:t>
      </w:r>
    </w:p>
    <w:p>
      <w:pPr>
        <w:keepNext w:val="0"/>
        <w:keepLines w:val="0"/>
        <w:pageBreakBefore w:val="0"/>
        <w:numPr>
          <w:ilvl w:val="0"/>
          <w:numId w:val="11"/>
        </w:numPr>
        <w:tabs>
          <w:tab w:val="left" w:pos="993"/>
        </w:tabs>
        <w:kinsoku/>
        <w:wordWrap/>
        <w:overflowPunct w:val="0"/>
        <w:topLinePunct w:val="0"/>
        <w:autoSpaceDE w:val="0"/>
        <w:autoSpaceDN w:val="0"/>
        <w:bidi w:val="0"/>
        <w:spacing w:line="310" w:lineRule="exact"/>
        <w:ind w:left="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正常终止</w:t>
      </w:r>
    </w:p>
    <w:p>
      <w:pPr>
        <w:keepNext w:val="0"/>
        <w:keepLines w:val="0"/>
        <w:pageBreakBefore w:val="0"/>
        <w:kinsoku/>
        <w:wordWrap/>
        <w:overflowPunct w:val="0"/>
        <w:topLinePunct w:val="0"/>
        <w:autoSpaceDE w:val="0"/>
        <w:autoSpaceDN w:val="0"/>
        <w:bidi w:val="0"/>
        <w:spacing w:line="310" w:lineRule="exact"/>
        <w:ind w:firstLine="420" w:firstLineChars="200"/>
        <w:textAlignment w:val="auto"/>
        <w:rPr>
          <w:rFonts w:hint="eastAsia" w:ascii="楷体" w:hAnsi="楷体" w:eastAsia="楷体" w:cs="楷体"/>
          <w:b w:val="0"/>
          <w:bCs w:val="0"/>
          <w:color w:val="auto"/>
          <w:sz w:val="21"/>
          <w:szCs w:val="21"/>
          <w:highlight w:val="none"/>
        </w:rPr>
      </w:pPr>
      <w:r>
        <w:rPr>
          <w:rFonts w:hint="eastAsia" w:ascii="楷体" w:hAnsi="楷体" w:eastAsia="楷体" w:cs="楷体"/>
          <w:b w:val="0"/>
          <w:bCs w:val="0"/>
          <w:color w:val="auto"/>
          <w:sz w:val="21"/>
          <w:szCs w:val="21"/>
          <w:highlight w:val="none"/>
        </w:rPr>
        <w:t>投资者持有本理财产品至产品</w:t>
      </w:r>
      <w:r>
        <w:rPr>
          <w:rFonts w:hint="eastAsia" w:ascii="楷体" w:hAnsi="楷体" w:eastAsia="楷体" w:cs="楷体"/>
          <w:b w:val="0"/>
          <w:bCs w:val="0"/>
          <w:color w:val="auto"/>
          <w:sz w:val="21"/>
          <w:szCs w:val="21"/>
          <w:highlight w:val="none"/>
          <w:lang w:val="en-US" w:eastAsia="zh-CN"/>
        </w:rPr>
        <w:t>到期日</w:t>
      </w:r>
      <w:r>
        <w:rPr>
          <w:rFonts w:hint="eastAsia" w:ascii="楷体" w:hAnsi="楷体" w:eastAsia="楷体" w:cs="楷体"/>
          <w:b w:val="0"/>
          <w:bCs w:val="0"/>
          <w:color w:val="auto"/>
          <w:sz w:val="21"/>
          <w:szCs w:val="21"/>
          <w:highlight w:val="none"/>
        </w:rPr>
        <w:t>，投资者的投资本金和收益（如有）将在产品到期后一次性支付。</w:t>
      </w:r>
    </w:p>
    <w:p>
      <w:pPr>
        <w:keepNext w:val="0"/>
        <w:keepLines w:val="0"/>
        <w:pageBreakBefore w:val="0"/>
        <w:numPr>
          <w:ilvl w:val="0"/>
          <w:numId w:val="11"/>
        </w:numPr>
        <w:tabs>
          <w:tab w:val="left" w:pos="993"/>
        </w:tabs>
        <w:kinsoku/>
        <w:wordWrap/>
        <w:overflowPunct w:val="0"/>
        <w:topLinePunct w:val="0"/>
        <w:autoSpaceDE w:val="0"/>
        <w:autoSpaceDN w:val="0"/>
        <w:bidi w:val="0"/>
        <w:spacing w:line="310" w:lineRule="exact"/>
        <w:ind w:left="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延期</w:t>
      </w:r>
      <w:r>
        <w:rPr>
          <w:rFonts w:hint="eastAsia" w:ascii="楷体" w:hAnsi="楷体" w:eastAsia="楷体" w:cs="楷体"/>
          <w:color w:val="auto"/>
          <w:sz w:val="21"/>
          <w:szCs w:val="21"/>
          <w:highlight w:val="none"/>
          <w:lang w:val="en-US" w:eastAsia="zh-CN"/>
        </w:rPr>
        <w:t>终止</w:t>
      </w:r>
    </w:p>
    <w:p>
      <w:pPr>
        <w:keepNext w:val="0"/>
        <w:keepLines w:val="0"/>
        <w:pageBreakBefore w:val="0"/>
        <w:kinsoku/>
        <w:wordWrap/>
        <w:topLinePunct w:val="0"/>
        <w:bidi w:val="0"/>
        <w:spacing w:line="310" w:lineRule="exact"/>
        <w:ind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因不可抗力、法律法规规定或监管部门认定的其他情形</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产品管理人有权延长本理财产品的终止日。产品管理人决定延期兑付的，将至少提前2个工作日（含）按说明书约定的信息披露方式予以披露。</w:t>
      </w:r>
    </w:p>
    <w:p>
      <w:pPr>
        <w:keepNext w:val="0"/>
        <w:keepLines w:val="0"/>
        <w:pageBreakBefore w:val="0"/>
        <w:numPr>
          <w:ilvl w:val="0"/>
          <w:numId w:val="11"/>
        </w:numPr>
        <w:tabs>
          <w:tab w:val="left" w:pos="993"/>
        </w:tabs>
        <w:kinsoku/>
        <w:wordWrap/>
        <w:overflowPunct w:val="0"/>
        <w:topLinePunct w:val="0"/>
        <w:autoSpaceDE w:val="0"/>
        <w:autoSpaceDN w:val="0"/>
        <w:bidi w:val="0"/>
        <w:spacing w:line="310" w:lineRule="exact"/>
        <w:ind w:left="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投资者可得资金计算</w:t>
      </w:r>
    </w:p>
    <w:p>
      <w:pPr>
        <w:keepNext w:val="0"/>
        <w:keepLines w:val="0"/>
        <w:pageBreakBefore w:val="0"/>
        <w:kinsoku/>
        <w:wordWrap/>
        <w:overflowPunct w:val="0"/>
        <w:topLinePunct w:val="0"/>
        <w:autoSpaceDE w:val="0"/>
        <w:autoSpaceDN w:val="0"/>
        <w:bidi w:val="0"/>
        <w:spacing w:line="310" w:lineRule="exact"/>
        <w:ind w:firstLine="420" w:firstLineChars="200"/>
        <w:textAlignment w:val="auto"/>
        <w:rPr>
          <w:rFonts w:hint="eastAsia" w:ascii="楷体" w:hAnsi="楷体" w:eastAsia="楷体" w:cs="楷体"/>
          <w:b w:val="0"/>
          <w:bCs w:val="0"/>
          <w:color w:val="auto"/>
          <w:sz w:val="21"/>
          <w:szCs w:val="21"/>
          <w:highlight w:val="none"/>
        </w:rPr>
      </w:pPr>
      <w:r>
        <w:rPr>
          <w:rFonts w:hint="eastAsia" w:ascii="楷体" w:hAnsi="楷体" w:eastAsia="楷体" w:cs="楷体"/>
          <w:b w:val="0"/>
          <w:bCs w:val="0"/>
          <w:color w:val="auto"/>
          <w:sz w:val="21"/>
          <w:szCs w:val="21"/>
          <w:highlight w:val="none"/>
        </w:rPr>
        <w:t>投资者可得资金=投资者持有份额×产品到期</w:t>
      </w:r>
      <w:r>
        <w:rPr>
          <w:rFonts w:hint="eastAsia" w:ascii="楷体" w:hAnsi="楷体" w:eastAsia="楷体" w:cs="楷体"/>
          <w:b w:val="0"/>
          <w:bCs w:val="0"/>
          <w:color w:val="auto"/>
          <w:sz w:val="21"/>
          <w:szCs w:val="21"/>
          <w:highlight w:val="none"/>
          <w:lang w:eastAsia="zh-CN"/>
        </w:rPr>
        <w:t>（</w:t>
      </w:r>
      <w:r>
        <w:rPr>
          <w:rFonts w:hint="eastAsia" w:ascii="楷体" w:hAnsi="楷体" w:eastAsia="楷体" w:cs="楷体"/>
          <w:b w:val="0"/>
          <w:bCs w:val="0"/>
          <w:color w:val="auto"/>
          <w:sz w:val="21"/>
          <w:szCs w:val="21"/>
          <w:highlight w:val="none"/>
          <w:lang w:val="en-US" w:eastAsia="zh-CN"/>
        </w:rPr>
        <w:t>终止）</w:t>
      </w:r>
      <w:r>
        <w:rPr>
          <w:rFonts w:hint="eastAsia" w:ascii="楷体" w:hAnsi="楷体" w:eastAsia="楷体" w:cs="楷体"/>
          <w:b w:val="0"/>
          <w:bCs w:val="0"/>
          <w:color w:val="auto"/>
          <w:sz w:val="21"/>
          <w:szCs w:val="21"/>
          <w:highlight w:val="none"/>
        </w:rPr>
        <w:t>时单位净值</w:t>
      </w:r>
      <w:r>
        <w:rPr>
          <w:rFonts w:hint="eastAsia" w:ascii="楷体" w:hAnsi="楷体" w:eastAsia="楷体" w:cs="楷体"/>
          <w:b w:val="0"/>
          <w:bCs w:val="0"/>
          <w:color w:val="auto"/>
          <w:sz w:val="21"/>
          <w:szCs w:val="21"/>
          <w:highlight w:val="none"/>
          <w:lang w:val="en-US" w:eastAsia="zh-CN"/>
        </w:rPr>
        <w:t>-超额业绩报酬（如有）</w:t>
      </w:r>
      <w:r>
        <w:rPr>
          <w:rFonts w:hint="eastAsia" w:ascii="楷体" w:hAnsi="楷体" w:eastAsia="楷体" w:cs="楷体"/>
          <w:b w:val="0"/>
          <w:bCs w:val="0"/>
          <w:color w:val="auto"/>
          <w:sz w:val="21"/>
          <w:szCs w:val="21"/>
          <w:highlight w:val="none"/>
          <w:lang w:eastAsia="zh-CN"/>
        </w:rPr>
        <w:t>，</w:t>
      </w:r>
      <w:r>
        <w:rPr>
          <w:rFonts w:hint="eastAsia" w:ascii="楷体" w:hAnsi="楷体" w:eastAsia="楷体" w:cs="楷体"/>
          <w:b w:val="0"/>
          <w:bCs w:val="0"/>
          <w:color w:val="auto"/>
          <w:sz w:val="21"/>
          <w:szCs w:val="21"/>
          <w:highlight w:val="none"/>
        </w:rPr>
        <w:t>投资者可得资金以四舍五入的方法保留到小数点后两位。</w:t>
      </w:r>
    </w:p>
    <w:p>
      <w:pPr>
        <w:keepNext w:val="0"/>
        <w:keepLines w:val="0"/>
        <w:pageBreakBefore w:val="0"/>
        <w:numPr>
          <w:ilvl w:val="0"/>
          <w:numId w:val="11"/>
        </w:numPr>
        <w:tabs>
          <w:tab w:val="left" w:pos="993"/>
        </w:tabs>
        <w:kinsoku/>
        <w:wordWrap/>
        <w:overflowPunct w:val="0"/>
        <w:topLinePunct w:val="0"/>
        <w:autoSpaceDE w:val="0"/>
        <w:autoSpaceDN w:val="0"/>
        <w:bidi w:val="0"/>
        <w:spacing w:line="310" w:lineRule="exact"/>
        <w:ind w:left="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终止</w:t>
      </w:r>
      <w:r>
        <w:rPr>
          <w:rFonts w:hint="eastAsia" w:ascii="楷体" w:hAnsi="楷体" w:eastAsia="楷体" w:cs="楷体"/>
          <w:color w:val="auto"/>
          <w:sz w:val="21"/>
          <w:szCs w:val="21"/>
          <w:highlight w:val="none"/>
        </w:rPr>
        <w:t>清算</w:t>
      </w:r>
    </w:p>
    <w:p>
      <w:pPr>
        <w:keepNext w:val="0"/>
        <w:keepLines w:val="0"/>
        <w:pageBreakBefore w:val="0"/>
        <w:kinsoku/>
        <w:wordWrap/>
        <w:overflowPunct w:val="0"/>
        <w:topLinePunct w:val="0"/>
        <w:autoSpaceDE w:val="0"/>
        <w:autoSpaceDN w:val="0"/>
        <w:bidi w:val="0"/>
        <w:spacing w:line="310" w:lineRule="exact"/>
        <w:ind w:firstLine="420" w:firstLineChars="200"/>
        <w:textAlignment w:val="auto"/>
        <w:rPr>
          <w:rFonts w:hint="eastAsia" w:ascii="楷体" w:hAnsi="楷体" w:eastAsia="楷体" w:cs="楷体"/>
          <w:sz w:val="21"/>
          <w:szCs w:val="21"/>
          <w:highlight w:val="none"/>
          <w:lang w:eastAsia="zh-CN"/>
        </w:rPr>
      </w:pPr>
      <w:r>
        <w:rPr>
          <w:rFonts w:hint="eastAsia" w:ascii="楷体" w:hAnsi="楷体" w:eastAsia="楷体" w:cs="楷体"/>
          <w:color w:val="auto"/>
          <w:sz w:val="21"/>
          <w:szCs w:val="21"/>
          <w:highlight w:val="none"/>
        </w:rPr>
        <w:t>投资者的投资本金和收益（如有）将于产品到期日</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lang w:val="en-US" w:eastAsia="zh-CN"/>
        </w:rPr>
        <w:t>产品终止日）</w:t>
      </w:r>
      <w:r>
        <w:rPr>
          <w:rFonts w:hint="eastAsia" w:ascii="楷体" w:hAnsi="楷体" w:eastAsia="楷体" w:cs="楷体"/>
          <w:color w:val="auto"/>
          <w:sz w:val="21"/>
          <w:szCs w:val="21"/>
          <w:highlight w:val="none"/>
        </w:rPr>
        <w:t>后5个工作日以内划至投资者指定账户，如遇</w:t>
      </w:r>
      <w:r>
        <w:rPr>
          <w:rFonts w:hint="eastAsia" w:ascii="楷体" w:hAnsi="楷体" w:eastAsia="楷体" w:cs="楷体"/>
          <w:color w:val="auto"/>
          <w:sz w:val="21"/>
          <w:szCs w:val="21"/>
          <w:highlight w:val="none"/>
          <w:lang w:val="en-US" w:eastAsia="zh-CN"/>
        </w:rPr>
        <w:t>非工作日</w:t>
      </w:r>
      <w:r>
        <w:rPr>
          <w:rFonts w:hint="eastAsia" w:ascii="楷体" w:hAnsi="楷体" w:eastAsia="楷体" w:cs="楷体"/>
          <w:color w:val="auto"/>
          <w:sz w:val="21"/>
          <w:szCs w:val="21"/>
          <w:highlight w:val="none"/>
        </w:rPr>
        <w:t>则相应顺延。如预期无法</w:t>
      </w:r>
      <w:r>
        <w:rPr>
          <w:rFonts w:hint="eastAsia" w:ascii="楷体" w:hAnsi="楷体" w:eastAsia="楷体" w:cs="楷体"/>
          <w:color w:val="auto"/>
          <w:sz w:val="21"/>
          <w:szCs w:val="21"/>
          <w:highlight w:val="none"/>
          <w:lang w:val="en-US" w:eastAsia="zh-CN"/>
        </w:rPr>
        <w:t>在</w:t>
      </w:r>
      <w:r>
        <w:rPr>
          <w:rFonts w:hint="eastAsia" w:ascii="楷体" w:hAnsi="楷体" w:eastAsia="楷体" w:cs="楷体"/>
          <w:color w:val="auto"/>
          <w:sz w:val="21"/>
          <w:szCs w:val="21"/>
          <w:highlight w:val="none"/>
        </w:rPr>
        <w:t>规定的清算期内完成清算，管理人</w:t>
      </w:r>
      <w:r>
        <w:rPr>
          <w:rFonts w:hint="eastAsia" w:ascii="楷体" w:hAnsi="楷体" w:eastAsia="楷体" w:cs="楷体"/>
          <w:color w:val="auto"/>
          <w:sz w:val="21"/>
          <w:szCs w:val="21"/>
          <w:highlight w:val="none"/>
          <w:lang w:val="en-US" w:eastAsia="zh-CN"/>
        </w:rPr>
        <w:t>将</w:t>
      </w:r>
      <w:r>
        <w:rPr>
          <w:rFonts w:hint="eastAsia" w:ascii="楷体" w:hAnsi="楷体" w:eastAsia="楷体" w:cs="楷体"/>
          <w:color w:val="auto"/>
          <w:sz w:val="21"/>
          <w:szCs w:val="21"/>
          <w:highlight w:val="none"/>
        </w:rPr>
        <w:t>在原清算期结束前向投资者进行披露</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理财产品终止清算后，因发生无法预期事项</w:t>
      </w:r>
      <w:r>
        <w:rPr>
          <w:rFonts w:hint="eastAsia" w:ascii="楷体" w:hAnsi="楷体" w:eastAsia="楷体" w:cs="楷体"/>
          <w:color w:val="auto"/>
          <w:sz w:val="21"/>
          <w:szCs w:val="21"/>
          <w:highlight w:val="none"/>
          <w:lang w:val="en-US" w:eastAsia="zh-CN"/>
        </w:rPr>
        <w:t>须</w:t>
      </w:r>
      <w:r>
        <w:rPr>
          <w:rFonts w:hint="eastAsia" w:ascii="楷体" w:hAnsi="楷体" w:eastAsia="楷体" w:cs="楷体"/>
          <w:color w:val="auto"/>
          <w:sz w:val="21"/>
          <w:szCs w:val="21"/>
          <w:highlight w:val="none"/>
        </w:rPr>
        <w:t>再次清算的，</w:t>
      </w:r>
      <w:r>
        <w:rPr>
          <w:rFonts w:hint="eastAsia" w:ascii="楷体" w:hAnsi="楷体" w:eastAsia="楷体" w:cs="楷体"/>
          <w:color w:val="auto"/>
          <w:sz w:val="21"/>
          <w:szCs w:val="21"/>
          <w:highlight w:val="none"/>
          <w:lang w:val="en-US" w:eastAsia="zh-CN"/>
        </w:rPr>
        <w:t>管理人将</w:t>
      </w:r>
      <w:r>
        <w:rPr>
          <w:rFonts w:hint="eastAsia" w:ascii="楷体" w:hAnsi="楷体" w:eastAsia="楷体" w:cs="楷体"/>
          <w:color w:val="auto"/>
          <w:sz w:val="21"/>
          <w:szCs w:val="21"/>
          <w:highlight w:val="none"/>
        </w:rPr>
        <w:t>在完成再次清算之日起</w:t>
      </w:r>
      <w:r>
        <w:rPr>
          <w:rFonts w:hint="eastAsia" w:ascii="楷体" w:hAnsi="楷体" w:eastAsia="楷体" w:cs="楷体"/>
          <w:color w:val="auto"/>
          <w:sz w:val="21"/>
          <w:szCs w:val="21"/>
          <w:highlight w:val="none"/>
          <w:lang w:val="en-US" w:eastAsia="zh-CN"/>
        </w:rPr>
        <w:t>2</w:t>
      </w:r>
      <w:r>
        <w:rPr>
          <w:rFonts w:hint="eastAsia" w:ascii="楷体" w:hAnsi="楷体" w:eastAsia="楷体" w:cs="楷体"/>
          <w:color w:val="auto"/>
          <w:sz w:val="21"/>
          <w:szCs w:val="21"/>
          <w:highlight w:val="none"/>
        </w:rPr>
        <w:t>个工作日内，向投资者披露清算资金分配情况等信息。</w:t>
      </w:r>
    </w:p>
    <w:p>
      <w:pPr>
        <w:keepNext w:val="0"/>
        <w:keepLines w:val="0"/>
        <w:pageBreakBefore w:val="0"/>
        <w:numPr>
          <w:ilvl w:val="0"/>
          <w:numId w:val="1"/>
        </w:numPr>
        <w:tabs>
          <w:tab w:val="left" w:pos="1134"/>
        </w:tabs>
        <w:kinsoku/>
        <w:wordWrap/>
        <w:overflowPunct w:val="0"/>
        <w:topLinePunct w:val="0"/>
        <w:autoSpaceDE w:val="0"/>
        <w:autoSpaceDN w:val="0"/>
        <w:bidi w:val="0"/>
        <w:spacing w:line="310" w:lineRule="exact"/>
        <w:ind w:left="0" w:leftChars="0" w:firstLine="422" w:firstLineChars="200"/>
        <w:textAlignment w:val="auto"/>
        <w:outlineLvl w:val="1"/>
        <w:rPr>
          <w:rFonts w:hint="eastAsia" w:ascii="楷体" w:hAnsi="楷体" w:eastAsia="楷体" w:cs="楷体"/>
          <w:b/>
          <w:color w:val="auto"/>
          <w:sz w:val="21"/>
          <w:szCs w:val="21"/>
          <w:highlight w:val="none"/>
          <w:lang w:val="en-US" w:eastAsia="zh-CN"/>
        </w:rPr>
      </w:pPr>
      <w:r>
        <w:rPr>
          <w:rFonts w:hint="eastAsia" w:ascii="楷体" w:hAnsi="楷体" w:eastAsia="楷体" w:cs="楷体"/>
          <w:b/>
          <w:color w:val="auto"/>
          <w:sz w:val="21"/>
          <w:szCs w:val="21"/>
          <w:highlight w:val="none"/>
          <w:lang w:val="en-US" w:eastAsia="zh-CN"/>
        </w:rPr>
        <w:t>情景示例</w:t>
      </w:r>
    </w:p>
    <w:p>
      <w:pPr>
        <w:keepNext w:val="0"/>
        <w:keepLines w:val="0"/>
        <w:pageBreakBefore w:val="0"/>
        <w:kinsoku/>
        <w:wordWrap/>
        <w:topLinePunct w:val="0"/>
        <w:bidi w:val="0"/>
        <w:spacing w:line="310" w:lineRule="exact"/>
        <w:ind w:firstLine="422" w:firstLineChars="200"/>
        <w:rPr>
          <w:rFonts w:hint="eastAsia" w:ascii="楷体" w:hAnsi="楷体" w:eastAsia="楷体"/>
          <w:b/>
          <w:color w:val="auto"/>
          <w:sz w:val="21"/>
          <w:szCs w:val="21"/>
          <w:highlight w:val="none"/>
          <w:u w:val="single"/>
        </w:rPr>
      </w:pPr>
      <w:r>
        <w:rPr>
          <w:rFonts w:hint="eastAsia" w:ascii="楷体" w:hAnsi="楷体" w:eastAsia="楷体"/>
          <w:b/>
          <w:color w:val="auto"/>
          <w:sz w:val="21"/>
          <w:szCs w:val="21"/>
          <w:highlight w:val="none"/>
          <w:u w:val="single"/>
        </w:rPr>
        <w:t>以下示例均为假设情况，不代表本产品实际投资业绩。</w:t>
      </w:r>
    </w:p>
    <w:p>
      <w:pPr>
        <w:keepNext w:val="0"/>
        <w:keepLines w:val="0"/>
        <w:pageBreakBefore w:val="0"/>
        <w:kinsoku/>
        <w:wordWrap/>
        <w:topLinePunct w:val="0"/>
        <w:bidi w:val="0"/>
        <w:spacing w:line="310" w:lineRule="exact"/>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1.情景一</w:t>
      </w:r>
    </w:p>
    <w:p>
      <w:pPr>
        <w:keepNext w:val="0"/>
        <w:keepLines w:val="0"/>
        <w:pageBreakBefore w:val="0"/>
        <w:kinsoku/>
        <w:wordWrap/>
        <w:topLinePunct w:val="0"/>
        <w:bidi w:val="0"/>
        <w:spacing w:line="310" w:lineRule="exact"/>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假定投资者</w:t>
      </w:r>
      <w:r>
        <w:rPr>
          <w:rFonts w:hint="eastAsia" w:ascii="楷体" w:hAnsi="楷体" w:eastAsia="楷体"/>
          <w:color w:val="auto"/>
          <w:sz w:val="21"/>
          <w:szCs w:val="21"/>
          <w:highlight w:val="none"/>
          <w:lang w:val="en-US" w:eastAsia="zh-CN"/>
        </w:rPr>
        <w:t>购买</w:t>
      </w:r>
      <w:r>
        <w:rPr>
          <w:rFonts w:hint="eastAsia" w:ascii="楷体" w:hAnsi="楷体" w:eastAsia="楷体"/>
          <w:color w:val="auto"/>
          <w:sz w:val="21"/>
          <w:szCs w:val="21"/>
          <w:highlight w:val="none"/>
        </w:rPr>
        <w:t>本产品，投资金额为10,000.00元，</w:t>
      </w:r>
      <w:r>
        <w:rPr>
          <w:rFonts w:hint="eastAsia" w:ascii="楷体" w:hAnsi="楷体" w:eastAsia="楷体"/>
          <w:color w:val="auto"/>
          <w:sz w:val="21"/>
          <w:szCs w:val="21"/>
          <w:highlight w:val="none"/>
          <w:lang w:val="en-US" w:eastAsia="zh-CN"/>
        </w:rPr>
        <w:t>产品单位净值</w:t>
      </w:r>
      <w:r>
        <w:rPr>
          <w:rFonts w:hint="eastAsia" w:ascii="楷体" w:hAnsi="楷体" w:eastAsia="楷体"/>
          <w:color w:val="auto"/>
          <w:sz w:val="21"/>
          <w:szCs w:val="21"/>
          <w:highlight w:val="none"/>
        </w:rPr>
        <w:t>为1元</w:t>
      </w:r>
      <w:r>
        <w:rPr>
          <w:rFonts w:hint="eastAsia" w:ascii="楷体" w:hAnsi="楷体" w:eastAsia="楷体"/>
          <w:color w:val="auto"/>
          <w:sz w:val="21"/>
          <w:szCs w:val="21"/>
          <w:highlight w:val="none"/>
          <w:lang w:val="en-US" w:eastAsia="zh-CN"/>
        </w:rPr>
        <w:t>/份</w:t>
      </w:r>
      <w:r>
        <w:rPr>
          <w:rFonts w:hint="eastAsia" w:ascii="楷体" w:hAnsi="楷体" w:eastAsia="楷体"/>
          <w:color w:val="auto"/>
          <w:sz w:val="21"/>
          <w:szCs w:val="21"/>
          <w:highlight w:val="none"/>
        </w:rPr>
        <w:t>，折算份额为10,000.00份。</w:t>
      </w:r>
      <w:r>
        <w:rPr>
          <w:rFonts w:hint="eastAsia" w:ascii="楷体" w:hAnsi="楷体" w:eastAsia="楷体"/>
          <w:color w:val="auto"/>
          <w:sz w:val="21"/>
          <w:szCs w:val="21"/>
          <w:highlight w:val="none"/>
          <w:lang w:val="en-US" w:eastAsia="zh-CN"/>
        </w:rPr>
        <w:t>投资者赎回/</w:t>
      </w:r>
      <w:r>
        <w:rPr>
          <w:rFonts w:hint="eastAsia" w:ascii="楷体" w:hAnsi="楷体" w:eastAsia="楷体"/>
          <w:color w:val="auto"/>
          <w:sz w:val="21"/>
          <w:szCs w:val="21"/>
          <w:highlight w:val="none"/>
        </w:rPr>
        <w:t>到期时，产品单位净值为</w:t>
      </w:r>
      <w:r>
        <w:rPr>
          <w:rFonts w:ascii="楷体" w:hAnsi="楷体" w:eastAsia="楷体"/>
          <w:color w:val="auto"/>
          <w:sz w:val="21"/>
          <w:szCs w:val="21"/>
          <w:highlight w:val="none"/>
        </w:rPr>
        <w:t>1.0</w:t>
      </w:r>
      <w:r>
        <w:rPr>
          <w:rFonts w:hint="eastAsia" w:ascii="楷体" w:hAnsi="楷体" w:eastAsia="楷体"/>
          <w:color w:val="auto"/>
          <w:sz w:val="21"/>
          <w:szCs w:val="21"/>
          <w:highlight w:val="none"/>
          <w:lang w:val="en-US" w:eastAsia="zh-CN"/>
        </w:rPr>
        <w:t>25503</w:t>
      </w:r>
      <w:r>
        <w:rPr>
          <w:rFonts w:hint="eastAsia" w:ascii="楷体" w:hAnsi="楷体" w:eastAsia="楷体"/>
          <w:color w:val="auto"/>
          <w:sz w:val="21"/>
          <w:szCs w:val="21"/>
          <w:highlight w:val="none"/>
        </w:rPr>
        <w:t>元。</w:t>
      </w:r>
    </w:p>
    <w:p>
      <w:pPr>
        <w:keepNext w:val="0"/>
        <w:keepLines w:val="0"/>
        <w:pageBreakBefore w:val="0"/>
        <w:kinsoku/>
        <w:wordWrap/>
        <w:topLinePunct w:val="0"/>
        <w:bidi w:val="0"/>
        <w:spacing w:line="310" w:lineRule="exact"/>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投资者可得资金=10,000.00×</w:t>
      </w:r>
      <w:r>
        <w:rPr>
          <w:rFonts w:ascii="楷体" w:hAnsi="楷体" w:eastAsia="楷体"/>
          <w:color w:val="auto"/>
          <w:sz w:val="21"/>
          <w:szCs w:val="21"/>
          <w:highlight w:val="none"/>
        </w:rPr>
        <w:t>1.0</w:t>
      </w:r>
      <w:r>
        <w:rPr>
          <w:rFonts w:hint="eastAsia" w:ascii="楷体" w:hAnsi="楷体" w:eastAsia="楷体"/>
          <w:color w:val="auto"/>
          <w:sz w:val="21"/>
          <w:szCs w:val="21"/>
          <w:highlight w:val="none"/>
          <w:lang w:val="en-US" w:eastAsia="zh-CN"/>
        </w:rPr>
        <w:t>25503</w:t>
      </w:r>
      <w:r>
        <w:rPr>
          <w:rFonts w:hint="eastAsia" w:ascii="楷体" w:hAnsi="楷体" w:eastAsia="楷体"/>
          <w:color w:val="auto"/>
          <w:sz w:val="21"/>
          <w:szCs w:val="21"/>
          <w:highlight w:val="none"/>
        </w:rPr>
        <w:t>=</w:t>
      </w:r>
      <w:r>
        <w:rPr>
          <w:rFonts w:ascii="楷体" w:hAnsi="楷体" w:eastAsia="楷体"/>
          <w:color w:val="auto"/>
          <w:sz w:val="21"/>
          <w:szCs w:val="21"/>
          <w:highlight w:val="none"/>
        </w:rPr>
        <w:t>10</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255</w:t>
      </w:r>
      <w:r>
        <w:rPr>
          <w:rFonts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03</w:t>
      </w:r>
      <w:r>
        <w:rPr>
          <w:rFonts w:hint="eastAsia" w:ascii="楷体" w:hAnsi="楷体" w:eastAsia="楷体"/>
          <w:color w:val="auto"/>
          <w:sz w:val="21"/>
          <w:szCs w:val="21"/>
          <w:highlight w:val="none"/>
        </w:rPr>
        <w:t>（元）</w:t>
      </w:r>
    </w:p>
    <w:p>
      <w:pPr>
        <w:keepNext w:val="0"/>
        <w:keepLines w:val="0"/>
        <w:pageBreakBefore w:val="0"/>
        <w:kinsoku/>
        <w:wordWrap/>
        <w:topLinePunct w:val="0"/>
        <w:bidi w:val="0"/>
        <w:spacing w:line="310" w:lineRule="exact"/>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投资者投资收益=</w:t>
      </w:r>
      <w:r>
        <w:rPr>
          <w:rFonts w:ascii="楷体" w:hAnsi="楷体" w:eastAsia="楷体"/>
          <w:color w:val="auto"/>
          <w:sz w:val="21"/>
          <w:szCs w:val="21"/>
          <w:highlight w:val="none"/>
        </w:rPr>
        <w:t>10</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255</w:t>
      </w:r>
      <w:r>
        <w:rPr>
          <w:rFonts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03</w:t>
      </w:r>
      <w:r>
        <w:rPr>
          <w:rFonts w:hint="eastAsia" w:ascii="楷体" w:hAnsi="楷体" w:eastAsia="楷体"/>
          <w:color w:val="auto"/>
          <w:sz w:val="21"/>
          <w:szCs w:val="21"/>
          <w:highlight w:val="none"/>
        </w:rPr>
        <w:t>-10,000.00=</w:t>
      </w:r>
      <w:r>
        <w:rPr>
          <w:rFonts w:hint="eastAsia" w:ascii="楷体" w:hAnsi="楷体" w:eastAsia="楷体"/>
          <w:color w:val="auto"/>
          <w:sz w:val="21"/>
          <w:szCs w:val="21"/>
          <w:highlight w:val="none"/>
          <w:lang w:val="en-US" w:eastAsia="zh-CN"/>
        </w:rPr>
        <w:t>255</w:t>
      </w:r>
      <w:r>
        <w:rPr>
          <w:rFonts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03</w:t>
      </w:r>
      <w:r>
        <w:rPr>
          <w:rFonts w:hint="eastAsia" w:ascii="楷体" w:hAnsi="楷体" w:eastAsia="楷体"/>
          <w:color w:val="auto"/>
          <w:sz w:val="21"/>
          <w:szCs w:val="21"/>
          <w:highlight w:val="none"/>
        </w:rPr>
        <w:t>（元）</w:t>
      </w:r>
    </w:p>
    <w:p>
      <w:pPr>
        <w:keepNext w:val="0"/>
        <w:keepLines w:val="0"/>
        <w:pageBreakBefore w:val="0"/>
        <w:kinsoku/>
        <w:wordWrap/>
        <w:topLinePunct w:val="0"/>
        <w:bidi w:val="0"/>
        <w:spacing w:line="310" w:lineRule="exact"/>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2.情景二</w:t>
      </w:r>
    </w:p>
    <w:p>
      <w:pPr>
        <w:keepNext w:val="0"/>
        <w:keepLines w:val="0"/>
        <w:pageBreakBefore w:val="0"/>
        <w:kinsoku/>
        <w:wordWrap/>
        <w:topLinePunct w:val="0"/>
        <w:bidi w:val="0"/>
        <w:spacing w:line="310" w:lineRule="exact"/>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假定投资者</w:t>
      </w:r>
      <w:r>
        <w:rPr>
          <w:rFonts w:hint="eastAsia" w:ascii="楷体" w:hAnsi="楷体" w:eastAsia="楷体"/>
          <w:color w:val="auto"/>
          <w:sz w:val="21"/>
          <w:szCs w:val="21"/>
          <w:highlight w:val="none"/>
          <w:lang w:val="en-US" w:eastAsia="zh-CN"/>
        </w:rPr>
        <w:t>购买</w:t>
      </w:r>
      <w:r>
        <w:rPr>
          <w:rFonts w:hint="eastAsia" w:ascii="楷体" w:hAnsi="楷体" w:eastAsia="楷体"/>
          <w:color w:val="auto"/>
          <w:sz w:val="21"/>
          <w:szCs w:val="21"/>
          <w:highlight w:val="none"/>
        </w:rPr>
        <w:t>本产品，投资金额为10,000.00元，</w:t>
      </w:r>
      <w:r>
        <w:rPr>
          <w:rFonts w:hint="eastAsia" w:ascii="楷体" w:hAnsi="楷体" w:eastAsia="楷体"/>
          <w:color w:val="auto"/>
          <w:sz w:val="21"/>
          <w:szCs w:val="21"/>
          <w:highlight w:val="none"/>
          <w:lang w:val="en-US" w:eastAsia="zh-CN"/>
        </w:rPr>
        <w:t>产品单位净值</w:t>
      </w:r>
      <w:r>
        <w:rPr>
          <w:rFonts w:hint="eastAsia" w:ascii="楷体" w:hAnsi="楷体" w:eastAsia="楷体"/>
          <w:color w:val="auto"/>
          <w:sz w:val="21"/>
          <w:szCs w:val="21"/>
          <w:highlight w:val="none"/>
        </w:rPr>
        <w:t>为1元</w:t>
      </w:r>
      <w:r>
        <w:rPr>
          <w:rFonts w:hint="eastAsia" w:ascii="楷体" w:hAnsi="楷体" w:eastAsia="楷体"/>
          <w:color w:val="auto"/>
          <w:sz w:val="21"/>
          <w:szCs w:val="21"/>
          <w:highlight w:val="none"/>
          <w:lang w:val="en-US" w:eastAsia="zh-CN"/>
        </w:rPr>
        <w:t>/份</w:t>
      </w:r>
      <w:r>
        <w:rPr>
          <w:rFonts w:hint="eastAsia" w:ascii="楷体" w:hAnsi="楷体" w:eastAsia="楷体"/>
          <w:color w:val="auto"/>
          <w:sz w:val="21"/>
          <w:szCs w:val="21"/>
          <w:highlight w:val="none"/>
        </w:rPr>
        <w:t>，折算份额为10,000.00份。</w:t>
      </w:r>
      <w:r>
        <w:rPr>
          <w:rFonts w:hint="eastAsia" w:ascii="楷体" w:hAnsi="楷体" w:eastAsia="楷体"/>
          <w:color w:val="auto"/>
          <w:sz w:val="21"/>
          <w:szCs w:val="21"/>
          <w:highlight w:val="none"/>
          <w:lang w:val="en-US" w:eastAsia="zh-CN"/>
        </w:rPr>
        <w:t>投资者赎回/</w:t>
      </w:r>
      <w:r>
        <w:rPr>
          <w:rFonts w:hint="eastAsia" w:ascii="楷体" w:hAnsi="楷体" w:eastAsia="楷体"/>
          <w:color w:val="auto"/>
          <w:sz w:val="21"/>
          <w:szCs w:val="21"/>
          <w:highlight w:val="none"/>
        </w:rPr>
        <w:t>到期时，产品单位净值为</w:t>
      </w:r>
      <w:r>
        <w:rPr>
          <w:rFonts w:ascii="楷体" w:hAnsi="楷体" w:eastAsia="楷体"/>
          <w:color w:val="auto"/>
          <w:sz w:val="21"/>
          <w:szCs w:val="21"/>
          <w:highlight w:val="none"/>
        </w:rPr>
        <w:t>0.9975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元。</w:t>
      </w:r>
    </w:p>
    <w:p>
      <w:pPr>
        <w:keepNext w:val="0"/>
        <w:keepLines w:val="0"/>
        <w:pageBreakBefore w:val="0"/>
        <w:kinsoku/>
        <w:wordWrap/>
        <w:topLinePunct w:val="0"/>
        <w:bidi w:val="0"/>
        <w:spacing w:line="310" w:lineRule="exact"/>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投资者可得资金=10,000.00×0.9975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（元）</w:t>
      </w:r>
    </w:p>
    <w:p>
      <w:pPr>
        <w:keepNext w:val="0"/>
        <w:keepLines w:val="0"/>
        <w:pageBreakBefore w:val="0"/>
        <w:kinsoku/>
        <w:wordWrap/>
        <w:topLinePunct w:val="0"/>
        <w:bidi w:val="0"/>
        <w:spacing w:line="310" w:lineRule="exact"/>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投资者投资收益=9,975.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-10,000.00=-</w:t>
      </w:r>
      <w:r>
        <w:rPr>
          <w:rFonts w:ascii="楷体" w:hAnsi="楷体" w:eastAsia="楷体"/>
          <w:color w:val="auto"/>
          <w:sz w:val="21"/>
          <w:szCs w:val="21"/>
          <w:highlight w:val="none"/>
        </w:rPr>
        <w:t>2</w:t>
      </w:r>
      <w:r>
        <w:rPr>
          <w:rFonts w:hint="eastAsia" w:ascii="楷体" w:hAnsi="楷体" w:eastAsia="楷体"/>
          <w:color w:val="auto"/>
          <w:sz w:val="21"/>
          <w:szCs w:val="21"/>
          <w:highlight w:val="none"/>
          <w:lang w:val="en-US" w:eastAsia="zh-CN"/>
        </w:rPr>
        <w:t>4</w:t>
      </w:r>
      <w:r>
        <w:rPr>
          <w:rFonts w:hint="eastAsia" w:ascii="楷体" w:hAnsi="楷体" w:eastAsia="楷体"/>
          <w:color w:val="auto"/>
          <w:sz w:val="21"/>
          <w:szCs w:val="21"/>
          <w:highlight w:val="none"/>
        </w:rPr>
        <w:t>.</w:t>
      </w:r>
      <w:r>
        <w:rPr>
          <w:rFonts w:ascii="楷体" w:hAnsi="楷体" w:eastAsia="楷体"/>
          <w:color w:val="auto"/>
          <w:sz w:val="21"/>
          <w:szCs w:val="21"/>
          <w:highlight w:val="none"/>
        </w:rPr>
        <w:t>0</w:t>
      </w:r>
      <w:r>
        <w:rPr>
          <w:rFonts w:hint="eastAsia" w:ascii="楷体" w:hAnsi="楷体" w:eastAsia="楷体"/>
          <w:color w:val="auto"/>
          <w:sz w:val="21"/>
          <w:szCs w:val="21"/>
          <w:highlight w:val="none"/>
          <w:lang w:val="en-US" w:eastAsia="zh-CN"/>
        </w:rPr>
        <w:t>6</w:t>
      </w:r>
      <w:r>
        <w:rPr>
          <w:rFonts w:hint="eastAsia" w:ascii="楷体" w:hAnsi="楷体" w:eastAsia="楷体"/>
          <w:color w:val="auto"/>
          <w:sz w:val="21"/>
          <w:szCs w:val="21"/>
          <w:highlight w:val="none"/>
        </w:rPr>
        <w:t>（元）</w:t>
      </w:r>
    </w:p>
    <w:p>
      <w:pPr>
        <w:keepNext w:val="0"/>
        <w:keepLines w:val="0"/>
        <w:pageBreakBefore w:val="0"/>
        <w:kinsoku/>
        <w:wordWrap/>
        <w:topLinePunct w:val="0"/>
        <w:bidi w:val="0"/>
        <w:spacing w:line="310" w:lineRule="exact"/>
        <w:ind w:firstLine="422" w:firstLineChars="200"/>
        <w:rPr>
          <w:rFonts w:hint="eastAsia" w:ascii="楷体" w:hAnsi="楷体" w:eastAsia="楷体"/>
          <w:b/>
          <w:color w:val="auto"/>
          <w:sz w:val="21"/>
          <w:szCs w:val="21"/>
          <w:highlight w:val="none"/>
          <w:u w:val="single"/>
        </w:rPr>
      </w:pPr>
      <w:r>
        <w:rPr>
          <w:rFonts w:hint="eastAsia" w:ascii="楷体" w:hAnsi="楷体" w:eastAsia="楷体"/>
          <w:b/>
          <w:color w:val="auto"/>
          <w:sz w:val="21"/>
          <w:szCs w:val="21"/>
          <w:highlight w:val="none"/>
          <w:u w:val="single"/>
        </w:rPr>
        <w:t>最不利的情形下，投资者可能损失100%本金。</w:t>
      </w:r>
    </w:p>
    <w:p>
      <w:pPr>
        <w:keepNext w:val="0"/>
        <w:keepLines w:val="0"/>
        <w:pageBreakBefore w:val="0"/>
        <w:kinsoku/>
        <w:wordWrap/>
        <w:topLinePunct w:val="0"/>
        <w:bidi w:val="0"/>
        <w:spacing w:line="310" w:lineRule="exact"/>
        <w:ind w:left="0" w:leftChars="0" w:firstLine="422" w:firstLineChars="200"/>
        <w:rPr>
          <w:highlight w:val="none"/>
        </w:rPr>
      </w:pPr>
      <w:r>
        <w:rPr>
          <w:rFonts w:hint="eastAsia" w:ascii="楷体" w:hAnsi="楷体" w:eastAsia="楷体"/>
          <w:b/>
          <w:color w:val="auto"/>
          <w:sz w:val="21"/>
          <w:szCs w:val="21"/>
          <w:highlight w:val="none"/>
          <w:u w:val="single"/>
        </w:rPr>
        <w:t>上述情况假设仅用于向投资者示例收益计算方法之用，并不代表管理人对实际投资情况的预期判断，</w:t>
      </w:r>
      <w:r>
        <w:rPr>
          <w:rFonts w:hint="eastAsia" w:ascii="楷体" w:hAnsi="楷体" w:eastAsia="楷体"/>
          <w:b/>
          <w:color w:val="auto"/>
          <w:sz w:val="21"/>
          <w:szCs w:val="21"/>
          <w:highlight w:val="none"/>
          <w:u w:val="single"/>
          <w:lang w:val="en-US" w:eastAsia="zh-CN"/>
        </w:rPr>
        <w:t>也不代表</w:t>
      </w:r>
      <w:r>
        <w:rPr>
          <w:rFonts w:hint="eastAsia" w:ascii="楷体" w:hAnsi="楷体" w:eastAsia="楷体"/>
          <w:b/>
          <w:color w:val="auto"/>
          <w:sz w:val="21"/>
          <w:szCs w:val="21"/>
          <w:highlight w:val="none"/>
          <w:u w:val="single"/>
        </w:rPr>
        <w:t>以上所有情形或某一情形一定会发生，或管理人认为发生的可能性很大。投资者获得的最终收益以产品实际运作表现及管理人实际支付为准。</w:t>
      </w:r>
    </w:p>
    <w:p>
      <w:pPr>
        <w:keepNext w:val="0"/>
        <w:keepLines w:val="0"/>
        <w:pageBreakBefore w:val="0"/>
        <w:numPr>
          <w:ilvl w:val="0"/>
          <w:numId w:val="1"/>
        </w:numPr>
        <w:tabs>
          <w:tab w:val="left" w:pos="1134"/>
        </w:tabs>
        <w:kinsoku/>
        <w:wordWrap/>
        <w:overflowPunct w:val="0"/>
        <w:topLinePunct w:val="0"/>
        <w:autoSpaceDE w:val="0"/>
        <w:autoSpaceDN w:val="0"/>
        <w:bidi w:val="0"/>
        <w:spacing w:line="310" w:lineRule="exact"/>
        <w:ind w:left="0" w:leftChars="0" w:firstLine="422" w:firstLineChars="200"/>
        <w:textAlignment w:val="auto"/>
        <w:outlineLvl w:val="1"/>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产品估值</w:t>
      </w:r>
    </w:p>
    <w:p>
      <w:pPr>
        <w:keepNext w:val="0"/>
        <w:keepLines w:val="0"/>
        <w:pageBreakBefore w:val="0"/>
        <w:numPr>
          <w:ilvl w:val="0"/>
          <w:numId w:val="12"/>
        </w:numPr>
        <w:tabs>
          <w:tab w:val="left" w:pos="993"/>
        </w:tabs>
        <w:kinsoku/>
        <w:wordWrap/>
        <w:topLinePunct w:val="0"/>
        <w:bidi w:val="0"/>
        <w:spacing w:line="310" w:lineRule="exact"/>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估值对象</w:t>
      </w:r>
    </w:p>
    <w:p>
      <w:pPr>
        <w:keepNext w:val="0"/>
        <w:keepLines w:val="0"/>
        <w:pageBreakBefore w:val="0"/>
        <w:kinsoku/>
        <w:wordWrap/>
        <w:topLinePunct w:val="0"/>
        <w:bidi w:val="0"/>
        <w:spacing w:line="310" w:lineRule="exact"/>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本产品所拥有的各类证券、银行存款、应收款项及其它资产及负债。</w:t>
      </w:r>
    </w:p>
    <w:p>
      <w:pPr>
        <w:keepNext w:val="0"/>
        <w:keepLines w:val="0"/>
        <w:pageBreakBefore w:val="0"/>
        <w:numPr>
          <w:ilvl w:val="0"/>
          <w:numId w:val="12"/>
        </w:numPr>
        <w:tabs>
          <w:tab w:val="left" w:pos="993"/>
        </w:tabs>
        <w:kinsoku/>
        <w:wordWrap/>
        <w:topLinePunct w:val="0"/>
        <w:bidi w:val="0"/>
        <w:spacing w:line="310" w:lineRule="exact"/>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估值目的和</w:t>
      </w:r>
      <w:r>
        <w:rPr>
          <w:rFonts w:hint="eastAsia" w:ascii="楷体" w:hAnsi="楷体" w:eastAsia="楷体" w:cs="楷体"/>
          <w:color w:val="auto"/>
          <w:sz w:val="21"/>
          <w:szCs w:val="21"/>
          <w:highlight w:val="none"/>
        </w:rPr>
        <w:t>估值</w:t>
      </w:r>
      <w:r>
        <w:rPr>
          <w:rFonts w:hint="eastAsia" w:ascii="楷体" w:hAnsi="楷体" w:eastAsia="楷体" w:cs="楷体"/>
          <w:color w:val="auto"/>
          <w:sz w:val="21"/>
          <w:szCs w:val="21"/>
          <w:highlight w:val="none"/>
          <w:lang w:val="en-US" w:eastAsia="zh-CN"/>
        </w:rPr>
        <w:t>原则</w:t>
      </w:r>
    </w:p>
    <w:p>
      <w:pPr>
        <w:keepNext w:val="0"/>
        <w:keepLines w:val="0"/>
        <w:pageBreakBefore w:val="0"/>
        <w:numPr>
          <w:ilvl w:val="0"/>
          <w:numId w:val="0"/>
        </w:numPr>
        <w:tabs>
          <w:tab w:val="left" w:pos="728"/>
        </w:tabs>
        <w:kinsoku/>
        <w:wordWrap/>
        <w:topLinePunct w:val="0"/>
        <w:bidi w:val="0"/>
        <w:spacing w:line="310" w:lineRule="exact"/>
        <w:ind w:left="0" w:leftChars="0" w:firstLine="420" w:firstLineChars="200"/>
        <w:rPr>
          <w:rFonts w:hint="default"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rPr>
        <w:t>本产品资产估值的</w:t>
      </w:r>
      <w:r>
        <w:rPr>
          <w:rFonts w:hint="eastAsia" w:ascii="楷体" w:hAnsi="楷体" w:eastAsia="楷体" w:cs="楷体"/>
          <w:color w:val="auto"/>
          <w:sz w:val="21"/>
          <w:szCs w:val="21"/>
          <w:highlight w:val="none"/>
          <w:lang w:val="en-US" w:eastAsia="zh-CN"/>
        </w:rPr>
        <w:t>目的</w:t>
      </w:r>
      <w:r>
        <w:rPr>
          <w:rFonts w:hint="eastAsia" w:ascii="楷体" w:hAnsi="楷体" w:eastAsia="楷体" w:cs="楷体"/>
          <w:color w:val="auto"/>
          <w:sz w:val="21"/>
          <w:szCs w:val="21"/>
          <w:highlight w:val="none"/>
        </w:rPr>
        <w:t>是客观、准确</w:t>
      </w:r>
      <w:r>
        <w:rPr>
          <w:rFonts w:hint="eastAsia" w:ascii="楷体" w:hAnsi="楷体" w:eastAsia="楷体" w:cs="楷体"/>
          <w:color w:val="auto"/>
          <w:sz w:val="21"/>
          <w:szCs w:val="21"/>
          <w:highlight w:val="none"/>
          <w:lang w:val="en-US" w:eastAsia="zh-CN"/>
        </w:rPr>
        <w:t>地</w:t>
      </w:r>
      <w:r>
        <w:rPr>
          <w:rFonts w:hint="eastAsia" w:ascii="楷体" w:hAnsi="楷体" w:eastAsia="楷体" w:cs="楷体"/>
          <w:color w:val="auto"/>
          <w:sz w:val="21"/>
          <w:szCs w:val="21"/>
          <w:highlight w:val="none"/>
        </w:rPr>
        <w:t>反映资产净值，确定理财产品资产净值，并为理财产品的</w:t>
      </w:r>
      <w:r>
        <w:rPr>
          <w:rFonts w:hint="eastAsia" w:ascii="楷体" w:hAnsi="楷体" w:eastAsia="楷体" w:cs="楷体"/>
          <w:color w:val="auto"/>
          <w:sz w:val="21"/>
          <w:szCs w:val="21"/>
          <w:highlight w:val="none"/>
          <w:lang w:val="en-US" w:eastAsia="zh-CN"/>
        </w:rPr>
        <w:t>申购、赎回和</w:t>
      </w:r>
      <w:r>
        <w:rPr>
          <w:rFonts w:hint="eastAsia" w:ascii="楷体" w:hAnsi="楷体" w:eastAsia="楷体" w:cs="楷体"/>
          <w:color w:val="auto"/>
          <w:sz w:val="21"/>
          <w:szCs w:val="21"/>
          <w:highlight w:val="none"/>
        </w:rPr>
        <w:t>兑付提供计价依据。</w:t>
      </w:r>
      <w:r>
        <w:rPr>
          <w:rFonts w:hint="eastAsia" w:ascii="楷体" w:hAnsi="楷体" w:eastAsia="楷体" w:cs="楷体"/>
          <w:color w:val="auto"/>
          <w:sz w:val="21"/>
          <w:szCs w:val="21"/>
          <w:highlight w:val="none"/>
          <w:lang w:val="en-US" w:eastAsia="zh-CN"/>
        </w:rPr>
        <w:t>估值中坚持公允价值计量原则。金融资产的公允价值确定方法应与理财产品的类型相匹配。</w:t>
      </w:r>
    </w:p>
    <w:p>
      <w:pPr>
        <w:keepNext w:val="0"/>
        <w:keepLines w:val="0"/>
        <w:pageBreakBefore w:val="0"/>
        <w:numPr>
          <w:ilvl w:val="0"/>
          <w:numId w:val="12"/>
        </w:numPr>
        <w:tabs>
          <w:tab w:val="left" w:pos="993"/>
        </w:tabs>
        <w:kinsoku/>
        <w:wordWrap/>
        <w:topLinePunct w:val="0"/>
        <w:bidi w:val="0"/>
        <w:spacing w:line="310" w:lineRule="exact"/>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估值方法</w:t>
      </w:r>
    </w:p>
    <w:p>
      <w:pPr>
        <w:keepNext w:val="0"/>
        <w:keepLines w:val="0"/>
        <w:pageBreakBefore w:val="0"/>
        <w:kinsoku/>
        <w:wordWrap/>
        <w:topLinePunct w:val="0"/>
        <w:bidi w:val="0"/>
        <w:spacing w:line="310" w:lineRule="exact"/>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1.存款类资产、货币市场工具：以本金列示，逐日计提利息。</w:t>
      </w:r>
    </w:p>
    <w:p>
      <w:pPr>
        <w:keepNext w:val="0"/>
        <w:keepLines w:val="0"/>
        <w:pageBreakBefore w:val="0"/>
        <w:kinsoku/>
        <w:wordWrap/>
        <w:topLinePunct w:val="0"/>
        <w:bidi w:val="0"/>
        <w:spacing w:line="310" w:lineRule="exact"/>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2.货币市场基金：按公允价值进行估值，以估值截止时间点能够取得的最新每万份收益进行估值。</w:t>
      </w:r>
    </w:p>
    <w:p>
      <w:pPr>
        <w:keepNext w:val="0"/>
        <w:keepLines w:val="0"/>
        <w:pageBreakBefore w:val="0"/>
        <w:kinsoku/>
        <w:wordWrap/>
        <w:topLinePunct w:val="0"/>
        <w:bidi w:val="0"/>
        <w:spacing w:line="310" w:lineRule="exact"/>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keepNext w:val="0"/>
        <w:keepLines w:val="0"/>
        <w:pageBreakBefore w:val="0"/>
        <w:kinsoku/>
        <w:wordWrap/>
        <w:topLinePunct w:val="0"/>
        <w:bidi w:val="0"/>
        <w:spacing w:line="310" w:lineRule="exact"/>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keepNext w:val="0"/>
        <w:keepLines w:val="0"/>
        <w:pageBreakBefore w:val="0"/>
        <w:kinsoku/>
        <w:wordWrap/>
        <w:topLinePunct w:val="0"/>
        <w:bidi w:val="0"/>
        <w:spacing w:line="310" w:lineRule="exact"/>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5.权益类资产：按公允价值进行估值，采用市价、监管认可的第三方估值机构提供的估值价格进行估值。</w:t>
      </w:r>
    </w:p>
    <w:p>
      <w:pPr>
        <w:keepNext w:val="0"/>
        <w:keepLines w:val="0"/>
        <w:pageBreakBefore w:val="0"/>
        <w:kinsoku/>
        <w:wordWrap/>
        <w:topLinePunct w:val="0"/>
        <w:bidi w:val="0"/>
        <w:spacing w:line="310" w:lineRule="exact"/>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keepNext w:val="0"/>
        <w:keepLines w:val="0"/>
        <w:pageBreakBefore w:val="0"/>
        <w:kinsoku/>
        <w:wordWrap/>
        <w:topLinePunct w:val="0"/>
        <w:bidi w:val="0"/>
        <w:spacing w:line="310" w:lineRule="exact"/>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7.其他资产：按公允价值进行估值。</w:t>
      </w:r>
    </w:p>
    <w:p>
      <w:pPr>
        <w:keepNext w:val="0"/>
        <w:keepLines w:val="0"/>
        <w:pageBreakBefore w:val="0"/>
        <w:kinsoku/>
        <w:wordWrap/>
        <w:topLinePunct w:val="0"/>
        <w:bidi w:val="0"/>
        <w:spacing w:line="310" w:lineRule="exact"/>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如有新增事项或变更事项，按国家法律法规及监管最新规定执行。</w:t>
      </w:r>
    </w:p>
    <w:p>
      <w:pPr>
        <w:keepNext w:val="0"/>
        <w:keepLines w:val="0"/>
        <w:pageBreakBefore w:val="0"/>
        <w:numPr>
          <w:ilvl w:val="0"/>
          <w:numId w:val="12"/>
        </w:numPr>
        <w:tabs>
          <w:tab w:val="left" w:pos="993"/>
        </w:tabs>
        <w:kinsoku/>
        <w:wordWrap/>
        <w:topLinePunct w:val="0"/>
        <w:bidi w:val="0"/>
        <w:spacing w:line="310" w:lineRule="exact"/>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估值错误的处理</w:t>
      </w:r>
    </w:p>
    <w:p>
      <w:pPr>
        <w:keepNext w:val="0"/>
        <w:keepLines w:val="0"/>
        <w:pageBreakBefore w:val="0"/>
        <w:kinsoku/>
        <w:wordWrap/>
        <w:topLinePunct w:val="0"/>
        <w:bidi w:val="0"/>
        <w:spacing w:line="310" w:lineRule="exact"/>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keepNext w:val="0"/>
        <w:keepLines w:val="0"/>
        <w:pageBreakBefore w:val="0"/>
        <w:numPr>
          <w:ilvl w:val="0"/>
          <w:numId w:val="12"/>
        </w:numPr>
        <w:tabs>
          <w:tab w:val="left" w:pos="993"/>
        </w:tabs>
        <w:kinsoku/>
        <w:wordWrap/>
        <w:topLinePunct w:val="0"/>
        <w:bidi w:val="0"/>
        <w:spacing w:line="310" w:lineRule="exact"/>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暂停估值</w:t>
      </w:r>
    </w:p>
    <w:p>
      <w:pPr>
        <w:keepNext w:val="0"/>
        <w:keepLines w:val="0"/>
        <w:pageBreakBefore w:val="0"/>
        <w:kinsoku/>
        <w:wordWrap/>
        <w:overflowPunct w:val="0"/>
        <w:topLinePunct w:val="0"/>
        <w:autoSpaceDE w:val="0"/>
        <w:autoSpaceDN w:val="0"/>
        <w:bidi w:val="0"/>
        <w:spacing w:line="310" w:lineRule="exact"/>
        <w:ind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理财产品投资所涉及的证券交易所遇法定节假日或其他原因暂停营业时，或因任何不可抗力致使无法准确评估资产价值时，可暂停估值。但估值条件恢复时，将按规定完成估值工作。</w:t>
      </w:r>
    </w:p>
    <w:p>
      <w:pPr>
        <w:keepNext w:val="0"/>
        <w:keepLines w:val="0"/>
        <w:pageBreakBefore w:val="0"/>
        <w:numPr>
          <w:ilvl w:val="0"/>
          <w:numId w:val="12"/>
        </w:numPr>
        <w:tabs>
          <w:tab w:val="left" w:pos="993"/>
        </w:tabs>
        <w:kinsoku/>
        <w:wordWrap/>
        <w:topLinePunct w:val="0"/>
        <w:bidi w:val="0"/>
        <w:spacing w:line="310" w:lineRule="exact"/>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产品单位净值的计算</w:t>
      </w:r>
    </w:p>
    <w:p>
      <w:pPr>
        <w:keepNext w:val="0"/>
        <w:keepLines w:val="0"/>
        <w:pageBreakBefore w:val="0"/>
        <w:numPr>
          <w:ilvl w:val="0"/>
          <w:numId w:val="0"/>
        </w:numPr>
        <w:tabs>
          <w:tab w:val="left" w:pos="728"/>
        </w:tabs>
        <w:kinsoku/>
        <w:wordWrap/>
        <w:topLinePunct w:val="0"/>
        <w:bidi w:val="0"/>
        <w:spacing w:line="310" w:lineRule="exact"/>
        <w:ind w:left="0" w:leftChars="0" w:firstLine="420" w:firstLineChars="200"/>
        <w:rPr>
          <w:rFonts w:hint="eastAsia" w:ascii="楷体" w:hAnsi="楷体" w:eastAsia="楷体" w:cs="楷体"/>
          <w:b/>
          <w:color w:val="auto"/>
          <w:sz w:val="21"/>
          <w:szCs w:val="21"/>
          <w:highlight w:val="none"/>
        </w:rPr>
      </w:pPr>
      <w:r>
        <w:rPr>
          <w:rFonts w:hint="eastAsia" w:ascii="楷体" w:hAnsi="楷体" w:eastAsia="楷体" w:cs="楷体"/>
          <w:color w:val="auto"/>
          <w:sz w:val="21"/>
          <w:szCs w:val="21"/>
          <w:highlight w:val="none"/>
          <w:lang w:val="en-US" w:eastAsia="zh-CN"/>
        </w:rPr>
        <w:t>产品单位</w:t>
      </w:r>
      <w:r>
        <w:rPr>
          <w:rFonts w:hint="eastAsia" w:ascii="楷体" w:hAnsi="楷体" w:eastAsia="楷体" w:cs="楷体"/>
          <w:color w:val="auto"/>
          <w:sz w:val="21"/>
          <w:szCs w:val="21"/>
          <w:highlight w:val="none"/>
        </w:rPr>
        <w:t>净值为提取相关费用后的理财产品份额净值，投资者按该</w:t>
      </w:r>
      <w:r>
        <w:rPr>
          <w:rFonts w:hint="eastAsia" w:ascii="楷体" w:hAnsi="楷体" w:eastAsia="楷体" w:cs="楷体"/>
          <w:color w:val="auto"/>
          <w:sz w:val="21"/>
          <w:szCs w:val="21"/>
          <w:highlight w:val="none"/>
          <w:lang w:val="en-US" w:eastAsia="zh-CN"/>
        </w:rPr>
        <w:t>单位</w:t>
      </w:r>
      <w:r>
        <w:rPr>
          <w:rFonts w:hint="eastAsia" w:ascii="楷体" w:hAnsi="楷体" w:eastAsia="楷体" w:cs="楷体"/>
          <w:color w:val="auto"/>
          <w:sz w:val="21"/>
          <w:szCs w:val="21"/>
          <w:highlight w:val="none"/>
        </w:rPr>
        <w:t>净值进行申购、赎回和到期/终止时的分配。本产品单位净值精确到小数点后</w:t>
      </w:r>
      <w:r>
        <w:rPr>
          <w:rFonts w:hint="eastAsia" w:ascii="楷体" w:hAnsi="楷体" w:eastAsia="楷体" w:cs="楷体"/>
          <w:color w:val="auto"/>
          <w:sz w:val="21"/>
          <w:szCs w:val="21"/>
          <w:highlight w:val="none"/>
          <w:lang w:val="en-US" w:eastAsia="zh-CN"/>
        </w:rPr>
        <w:t>6</w:t>
      </w:r>
      <w:r>
        <w:rPr>
          <w:rFonts w:hint="eastAsia" w:ascii="楷体" w:hAnsi="楷体" w:eastAsia="楷体" w:cs="楷体"/>
          <w:color w:val="auto"/>
          <w:sz w:val="21"/>
          <w:szCs w:val="21"/>
          <w:highlight w:val="none"/>
        </w:rPr>
        <w:t>位，小数点</w:t>
      </w:r>
      <w:r>
        <w:rPr>
          <w:rFonts w:hint="eastAsia" w:ascii="楷体" w:hAnsi="楷体" w:eastAsia="楷体" w:cs="楷体"/>
          <w:color w:val="auto"/>
          <w:sz w:val="21"/>
          <w:szCs w:val="21"/>
          <w:highlight w:val="none"/>
          <w:lang w:val="en-US" w:eastAsia="zh-CN"/>
        </w:rPr>
        <w:t>6</w:t>
      </w:r>
      <w:r>
        <w:rPr>
          <w:rFonts w:hint="eastAsia" w:ascii="楷体" w:hAnsi="楷体" w:eastAsia="楷体" w:cs="楷体"/>
          <w:color w:val="auto"/>
          <w:sz w:val="21"/>
          <w:szCs w:val="21"/>
          <w:highlight w:val="none"/>
        </w:rPr>
        <w:t>位后截位。</w:t>
      </w:r>
    </w:p>
    <w:p>
      <w:pPr>
        <w:keepNext w:val="0"/>
        <w:keepLines w:val="0"/>
        <w:pageBreakBefore w:val="0"/>
        <w:numPr>
          <w:ilvl w:val="0"/>
          <w:numId w:val="1"/>
        </w:numPr>
        <w:tabs>
          <w:tab w:val="left" w:pos="1134"/>
        </w:tabs>
        <w:kinsoku/>
        <w:wordWrap/>
        <w:overflowPunct w:val="0"/>
        <w:topLinePunct w:val="0"/>
        <w:autoSpaceDE w:val="0"/>
        <w:autoSpaceDN w:val="0"/>
        <w:bidi w:val="0"/>
        <w:spacing w:line="310" w:lineRule="exact"/>
        <w:ind w:left="0" w:leftChars="0" w:firstLine="422" w:firstLineChars="200"/>
        <w:textAlignment w:val="auto"/>
        <w:outlineLvl w:val="1"/>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lang w:val="en-US" w:eastAsia="zh-CN"/>
        </w:rPr>
        <w:t>风险提示</w:t>
      </w:r>
    </w:p>
    <w:p>
      <w:pPr>
        <w:keepNext w:val="0"/>
        <w:keepLines w:val="0"/>
        <w:pageBreakBefore w:val="0"/>
        <w:kinsoku/>
        <w:wordWrap/>
        <w:overflowPunct w:val="0"/>
        <w:topLinePunct w:val="0"/>
        <w:autoSpaceDE w:val="0"/>
        <w:autoSpaceDN w:val="0"/>
        <w:bidi w:val="0"/>
        <w:spacing w:line="310" w:lineRule="exact"/>
        <w:ind w:firstLine="422" w:firstLineChars="200"/>
        <w:textAlignment w:val="auto"/>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u w:val="single"/>
        </w:rPr>
        <w:t>本理财产品为非保本浮动收益净值型理财产品，根据法律法规及监管要求的有关规定，特向投资者提示如下：与银行存款比较，本理财产品存在投资风险，投资者的本金和收益可能会因市场变动等原因而蒙受损失，投资者应充分认识投资风险，谨慎投资。本理财产品可能面临的风险主要包括</w:t>
      </w:r>
      <w:r>
        <w:rPr>
          <w:rFonts w:hint="eastAsia" w:ascii="楷体" w:hAnsi="楷体" w:eastAsia="楷体" w:cs="楷体"/>
          <w:b/>
          <w:color w:val="auto"/>
          <w:sz w:val="21"/>
          <w:szCs w:val="21"/>
          <w:highlight w:val="none"/>
          <w:u w:val="single"/>
          <w:lang w:eastAsia="zh-CN"/>
        </w:rPr>
        <w:t>但不限于</w:t>
      </w:r>
      <w:r>
        <w:rPr>
          <w:rFonts w:hint="eastAsia" w:ascii="楷体" w:hAnsi="楷体" w:eastAsia="楷体" w:cs="楷体"/>
          <w:b/>
          <w:color w:val="auto"/>
          <w:sz w:val="21"/>
          <w:szCs w:val="21"/>
          <w:highlight w:val="none"/>
          <w:u w:val="single"/>
        </w:rPr>
        <w:t>：</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一）</w:t>
      </w:r>
      <w:r>
        <w:rPr>
          <w:rFonts w:hint="eastAsia" w:ascii="楷体" w:hAnsi="楷体" w:eastAsia="楷体"/>
          <w:b/>
          <w:color w:val="auto"/>
          <w:sz w:val="21"/>
          <w:szCs w:val="21"/>
          <w:highlight w:val="none"/>
        </w:rPr>
        <w:t>政策风险：</w:t>
      </w:r>
      <w:r>
        <w:rPr>
          <w:rFonts w:hint="eastAsia" w:ascii="楷体" w:hAnsi="楷体" w:eastAsia="楷体"/>
          <w:color w:val="auto"/>
          <w:sz w:val="21"/>
          <w:szCs w:val="21"/>
          <w:highlight w:val="none"/>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b/>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二）</w:t>
      </w:r>
      <w:r>
        <w:rPr>
          <w:rFonts w:hint="eastAsia" w:ascii="楷体" w:hAnsi="楷体" w:eastAsia="楷体"/>
          <w:b/>
          <w:color w:val="auto"/>
          <w:sz w:val="21"/>
          <w:szCs w:val="21"/>
          <w:highlight w:val="none"/>
        </w:rPr>
        <w:t>信用风险：</w:t>
      </w:r>
      <w:r>
        <w:rPr>
          <w:rFonts w:hint="eastAsia" w:ascii="楷体" w:hAnsi="楷体" w:eastAsia="楷体"/>
          <w:color w:val="auto"/>
          <w:sz w:val="21"/>
          <w:szCs w:val="21"/>
          <w:highlight w:val="none"/>
        </w:rPr>
        <w:t>本理财产品</w:t>
      </w:r>
      <w:r>
        <w:rPr>
          <w:rFonts w:hint="eastAsia" w:ascii="楷体" w:hAnsi="楷体" w:eastAsia="楷体"/>
          <w:color w:val="auto"/>
          <w:sz w:val="21"/>
          <w:szCs w:val="21"/>
          <w:highlight w:val="none"/>
          <w:lang w:val="en-US" w:eastAsia="zh-CN"/>
        </w:rPr>
        <w:t>投资于各类金融</w:t>
      </w:r>
      <w:r>
        <w:rPr>
          <w:rFonts w:hint="eastAsia" w:ascii="楷体" w:hAnsi="楷体" w:eastAsia="楷体"/>
          <w:color w:val="auto"/>
          <w:sz w:val="21"/>
          <w:szCs w:val="21"/>
          <w:highlight w:val="none"/>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highlight w:val="none"/>
          <w:lang w:val="en-US" w:eastAsia="zh-CN"/>
        </w:rPr>
        <w:t>管理人</w:t>
      </w:r>
      <w:r>
        <w:rPr>
          <w:rFonts w:hint="eastAsia" w:ascii="楷体" w:hAnsi="楷体" w:eastAsia="楷体"/>
          <w:color w:val="auto"/>
          <w:sz w:val="21"/>
          <w:szCs w:val="21"/>
          <w:highlight w:val="none"/>
        </w:rPr>
        <w:t>将按照投资实际收益情况，并以资产变现实际收到的资金为限支付投资</w:t>
      </w:r>
      <w:r>
        <w:rPr>
          <w:rFonts w:hint="eastAsia" w:ascii="楷体" w:hAnsi="楷体" w:eastAsia="楷体"/>
          <w:color w:val="auto"/>
          <w:sz w:val="21"/>
          <w:szCs w:val="21"/>
          <w:highlight w:val="none"/>
          <w:lang w:val="en-US" w:eastAsia="zh-CN"/>
        </w:rPr>
        <w:t>者</w:t>
      </w:r>
      <w:r>
        <w:rPr>
          <w:rFonts w:hint="eastAsia" w:ascii="楷体" w:hAnsi="楷体" w:eastAsia="楷体"/>
          <w:color w:val="auto"/>
          <w:sz w:val="21"/>
          <w:szCs w:val="21"/>
          <w:highlight w:val="none"/>
        </w:rPr>
        <w:t>收益，投资</w:t>
      </w:r>
      <w:r>
        <w:rPr>
          <w:rFonts w:hint="eastAsia" w:ascii="楷体" w:hAnsi="楷体" w:eastAsia="楷体"/>
          <w:color w:val="auto"/>
          <w:sz w:val="21"/>
          <w:szCs w:val="21"/>
          <w:highlight w:val="none"/>
          <w:lang w:val="en-US" w:eastAsia="zh-CN"/>
        </w:rPr>
        <w:t>者</w:t>
      </w:r>
      <w:r>
        <w:rPr>
          <w:rFonts w:hint="eastAsia" w:ascii="楷体" w:hAnsi="楷体" w:eastAsia="楷体"/>
          <w:color w:val="auto"/>
          <w:sz w:val="21"/>
          <w:szCs w:val="21"/>
          <w:highlight w:val="none"/>
        </w:rPr>
        <w:t>将自行承担由此而导致本金和收益遭受部分甚至全部损失的风险。</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三）</w:t>
      </w:r>
      <w:r>
        <w:rPr>
          <w:rFonts w:hint="eastAsia" w:ascii="楷体" w:hAnsi="楷体" w:eastAsia="楷体"/>
          <w:b/>
          <w:color w:val="auto"/>
          <w:sz w:val="21"/>
          <w:szCs w:val="21"/>
          <w:highlight w:val="none"/>
        </w:rPr>
        <w:t>市场风险：</w:t>
      </w:r>
      <w:r>
        <w:rPr>
          <w:rFonts w:hint="eastAsia" w:ascii="楷体" w:hAnsi="楷体" w:eastAsia="楷体"/>
          <w:color w:val="auto"/>
          <w:sz w:val="21"/>
          <w:szCs w:val="21"/>
          <w:highlight w:val="none"/>
        </w:rPr>
        <w:t>本理财产品投资</w:t>
      </w:r>
      <w:r>
        <w:rPr>
          <w:rFonts w:hint="eastAsia" w:ascii="楷体" w:hAnsi="楷体" w:eastAsia="楷体"/>
          <w:color w:val="auto"/>
          <w:sz w:val="21"/>
          <w:szCs w:val="21"/>
          <w:highlight w:val="none"/>
          <w:lang w:val="en-US" w:eastAsia="zh-CN"/>
        </w:rPr>
        <w:t>的金融</w:t>
      </w:r>
      <w:r>
        <w:rPr>
          <w:rFonts w:hint="eastAsia" w:ascii="楷体" w:hAnsi="楷体" w:eastAsia="楷体"/>
          <w:color w:val="auto"/>
          <w:sz w:val="21"/>
          <w:szCs w:val="21"/>
          <w:highlight w:val="none"/>
        </w:rPr>
        <w:t>资产的价格受到经济因素、政治因素、投资心理和交易制度等各种因素的影响，可能导致本理财产品资产收益水平变化，投资者可能面临本金和收益遭受部分甚至全部损失的风险。</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b/>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四）</w:t>
      </w: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u w:val="single"/>
        </w:rPr>
        <w:t>在理财产品开放日净赎回额（赎回申请份额总数扣除申购申请份额总数）超过理财产品存续份额10%时，即为发生巨额赎回，此时苏银理财有权拒绝赎回申请，这可能影响投资者的资金安排，带来流动性风险。</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五）</w:t>
      </w:r>
      <w:r>
        <w:rPr>
          <w:rFonts w:hint="eastAsia" w:ascii="楷体" w:hAnsi="楷体" w:eastAsia="楷体"/>
          <w:b/>
          <w:color w:val="auto"/>
          <w:sz w:val="21"/>
          <w:szCs w:val="21"/>
          <w:highlight w:val="none"/>
        </w:rPr>
        <w:t>管理风险：</w:t>
      </w:r>
      <w:r>
        <w:rPr>
          <w:rFonts w:hint="eastAsia" w:ascii="楷体" w:hAnsi="楷体" w:eastAsia="楷体"/>
          <w:color w:val="auto"/>
          <w:sz w:val="21"/>
          <w:szCs w:val="21"/>
          <w:highlight w:val="none"/>
        </w:rPr>
        <w:t>在本理财产品运作过程中，投资管理各方受经验、技能、执行力等综合因素的限制，可能会对本理财产品的运作和管理造成一定影响，投资者可能面临本金和收益遭受部分甚至全部损失的风险。</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六）</w:t>
      </w:r>
      <w:r>
        <w:rPr>
          <w:rFonts w:hint="eastAsia" w:ascii="楷体" w:hAnsi="楷体" w:eastAsia="楷体"/>
          <w:b/>
          <w:color w:val="auto"/>
          <w:sz w:val="21"/>
          <w:szCs w:val="21"/>
          <w:highlight w:val="none"/>
        </w:rPr>
        <w:t>操作风险：</w:t>
      </w:r>
      <w:r>
        <w:rPr>
          <w:rFonts w:hint="eastAsia" w:ascii="楷体" w:hAnsi="楷体" w:eastAsia="楷体"/>
          <w:color w:val="auto"/>
          <w:sz w:val="21"/>
          <w:szCs w:val="21"/>
          <w:highlight w:val="none"/>
        </w:rPr>
        <w:t>如本理财产品管理人由于内部作业、人员管理、系统操作及事务处理不当或失误等，则投资者可能面临本金和收益遭受部分甚至全部损失的风险。</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color w:val="auto"/>
          <w:sz w:val="21"/>
          <w:szCs w:val="21"/>
          <w:highlight w:val="none"/>
        </w:rPr>
      </w:pPr>
      <w:r>
        <w:rPr>
          <w:rFonts w:hint="eastAsia" w:ascii="楷体" w:hAnsi="楷体" w:eastAsia="楷体"/>
          <w:b/>
          <w:bCs/>
          <w:color w:val="auto"/>
          <w:sz w:val="21"/>
          <w:szCs w:val="21"/>
          <w:highlight w:val="none"/>
          <w:lang w:val="en-US" w:eastAsia="zh-CN"/>
        </w:rPr>
        <w:t>（七）理财产品不成立风险：</w:t>
      </w:r>
      <w:r>
        <w:rPr>
          <w:rFonts w:hint="eastAsia" w:ascii="楷体" w:hAnsi="楷体" w:eastAsia="楷体"/>
          <w:color w:val="auto"/>
          <w:sz w:val="21"/>
          <w:szCs w:val="21"/>
          <w:highlight w:val="none"/>
          <w:lang w:val="en-US" w:eastAsia="zh-CN"/>
        </w:rPr>
        <w:t>募集期届满时，</w:t>
      </w:r>
      <w:r>
        <w:rPr>
          <w:rFonts w:hint="eastAsia" w:ascii="楷体" w:hAnsi="楷体" w:eastAsia="楷体" w:cs="楷体"/>
          <w:color w:val="auto"/>
          <w:spacing w:val="-2"/>
          <w:sz w:val="21"/>
          <w:szCs w:val="21"/>
          <w:highlight w:val="none"/>
        </w:rPr>
        <w:t>若产品认购规模未达到最低发行规模，或新的法律、法规或监管政策导致本产品无法合法合规运行，或出现其他导致影响产品成立</w:t>
      </w:r>
      <w:r>
        <w:rPr>
          <w:rFonts w:hint="eastAsia" w:ascii="楷体" w:hAnsi="楷体" w:eastAsia="楷体" w:cs="楷体"/>
          <w:color w:val="auto"/>
          <w:spacing w:val="-2"/>
          <w:sz w:val="21"/>
          <w:szCs w:val="21"/>
          <w:highlight w:val="none"/>
          <w:lang w:val="en-US" w:eastAsia="zh-CN"/>
        </w:rPr>
        <w:t>的</w:t>
      </w:r>
      <w:r>
        <w:rPr>
          <w:rFonts w:hint="eastAsia" w:ascii="楷体" w:hAnsi="楷体" w:eastAsia="楷体" w:cs="楷体"/>
          <w:color w:val="auto"/>
          <w:spacing w:val="-2"/>
          <w:sz w:val="21"/>
          <w:szCs w:val="21"/>
          <w:highlight w:val="none"/>
        </w:rPr>
        <w:t>不可抗力因素，</w:t>
      </w:r>
      <w:r>
        <w:rPr>
          <w:rFonts w:hint="eastAsia" w:ascii="楷体" w:hAnsi="楷体" w:eastAsia="楷体"/>
          <w:color w:val="auto"/>
          <w:sz w:val="21"/>
          <w:szCs w:val="21"/>
          <w:highlight w:val="none"/>
          <w:lang w:val="en-US" w:eastAsia="zh-CN"/>
        </w:rPr>
        <w:t>经管理人谨慎合理判断难以按照本理财产品说明书的规定向投资者提供本理财服务的，管理人有权宣布（或通过销售机构通知）理财产品不成立且不承担任何违约责任，投资者将面临再投资风险。</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八）</w:t>
      </w:r>
      <w:r>
        <w:rPr>
          <w:rFonts w:hint="eastAsia" w:ascii="楷体" w:hAnsi="楷体" w:eastAsia="楷体"/>
          <w:b/>
          <w:color w:val="auto"/>
          <w:sz w:val="21"/>
          <w:szCs w:val="21"/>
          <w:highlight w:val="none"/>
        </w:rPr>
        <w:t>延期兑付风险：</w:t>
      </w:r>
      <w:r>
        <w:rPr>
          <w:rFonts w:hint="eastAsia" w:ascii="楷体" w:hAnsi="楷体" w:eastAsia="楷体"/>
          <w:color w:val="auto"/>
          <w:sz w:val="21"/>
          <w:szCs w:val="21"/>
          <w:highlight w:val="none"/>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九）</w:t>
      </w:r>
      <w:r>
        <w:rPr>
          <w:rFonts w:hint="eastAsia" w:ascii="楷体" w:hAnsi="楷体" w:eastAsia="楷体"/>
          <w:b/>
          <w:color w:val="auto"/>
          <w:sz w:val="21"/>
          <w:szCs w:val="21"/>
          <w:highlight w:val="none"/>
        </w:rPr>
        <w:t>提前终止风险：</w:t>
      </w:r>
      <w:r>
        <w:rPr>
          <w:rFonts w:hint="eastAsia" w:ascii="楷体" w:hAnsi="楷体" w:eastAsia="楷体"/>
          <w:color w:val="auto"/>
          <w:sz w:val="21"/>
          <w:szCs w:val="21"/>
          <w:highlight w:val="none"/>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highlight w:val="none"/>
          <w:lang w:val="en-US" w:eastAsia="zh-CN"/>
        </w:rPr>
        <w:t>产品销售文件</w:t>
      </w:r>
      <w:r>
        <w:rPr>
          <w:rFonts w:hint="eastAsia" w:ascii="楷体" w:hAnsi="楷体" w:eastAsia="楷体"/>
          <w:color w:val="auto"/>
          <w:sz w:val="21"/>
          <w:szCs w:val="21"/>
          <w:highlight w:val="none"/>
        </w:rPr>
        <w:t>的，产品管理人有权提前终止理财产品</w:t>
      </w:r>
      <w:r>
        <w:rPr>
          <w:rFonts w:hint="eastAsia" w:ascii="楷体" w:hAnsi="楷体" w:eastAsia="楷体"/>
          <w:color w:val="auto"/>
          <w:sz w:val="21"/>
          <w:szCs w:val="21"/>
          <w:highlight w:val="none"/>
          <w:lang w:val="en-US" w:eastAsia="zh-CN"/>
        </w:rPr>
        <w:t>销售文件</w:t>
      </w:r>
      <w:r>
        <w:rPr>
          <w:rFonts w:hint="eastAsia" w:ascii="楷体" w:hAnsi="楷体" w:eastAsia="楷体"/>
          <w:color w:val="auto"/>
          <w:sz w:val="21"/>
          <w:szCs w:val="21"/>
          <w:highlight w:val="none"/>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十）</w:t>
      </w:r>
      <w:r>
        <w:rPr>
          <w:rFonts w:hint="eastAsia" w:ascii="楷体" w:hAnsi="楷体" w:eastAsia="楷体"/>
          <w:b/>
          <w:color w:val="auto"/>
          <w:sz w:val="21"/>
          <w:szCs w:val="21"/>
          <w:highlight w:val="none"/>
        </w:rPr>
        <w:t>信息传递风险：</w:t>
      </w:r>
      <w:r>
        <w:rPr>
          <w:rFonts w:hint="eastAsia" w:ascii="楷体" w:hAnsi="楷体" w:eastAsia="楷体"/>
          <w:color w:val="auto"/>
          <w:sz w:val="21"/>
          <w:szCs w:val="21"/>
          <w:highlight w:val="none"/>
        </w:rPr>
        <w:t>产品管理人将按照本理财产品</w:t>
      </w:r>
      <w:r>
        <w:rPr>
          <w:rFonts w:hint="eastAsia" w:ascii="楷体" w:hAnsi="楷体" w:eastAsia="楷体"/>
          <w:color w:val="auto"/>
          <w:sz w:val="21"/>
          <w:szCs w:val="21"/>
          <w:highlight w:val="none"/>
          <w:lang w:val="en-US" w:eastAsia="zh-CN"/>
        </w:rPr>
        <w:t>销售文件</w:t>
      </w:r>
      <w:r>
        <w:rPr>
          <w:rFonts w:hint="eastAsia" w:ascii="楷体" w:hAnsi="楷体" w:eastAsia="楷体"/>
          <w:color w:val="auto"/>
          <w:sz w:val="21"/>
          <w:szCs w:val="21"/>
          <w:highlight w:val="none"/>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sz w:val="21"/>
          <w:szCs w:val="21"/>
          <w:highlight w:val="none"/>
        </w:rPr>
      </w:pP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十一）</w:t>
      </w: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highlight w:val="none"/>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约定划付至代销机构清算账户后，由代销机构向投资者划付投资者应得赎回资金。不同代销机构的销售渠道，其认购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十二）</w:t>
      </w:r>
      <w:r>
        <w:rPr>
          <w:rFonts w:hint="eastAsia" w:ascii="楷体" w:hAnsi="楷体" w:eastAsia="楷体"/>
          <w:b/>
          <w:color w:val="auto"/>
          <w:sz w:val="21"/>
          <w:szCs w:val="21"/>
          <w:highlight w:val="none"/>
        </w:rPr>
        <w:t>不可抗力</w:t>
      </w:r>
      <w:r>
        <w:rPr>
          <w:rFonts w:hint="eastAsia" w:ascii="楷体" w:hAnsi="楷体" w:eastAsia="楷体"/>
          <w:b/>
          <w:color w:val="auto"/>
          <w:sz w:val="21"/>
          <w:szCs w:val="21"/>
          <w:highlight w:val="none"/>
          <w:lang w:val="en-US" w:eastAsia="zh-CN"/>
        </w:rPr>
        <w:t>及意外事件</w:t>
      </w:r>
      <w:r>
        <w:rPr>
          <w:rFonts w:hint="eastAsia" w:ascii="楷体" w:hAnsi="楷体" w:eastAsia="楷体"/>
          <w:b/>
          <w:color w:val="auto"/>
          <w:sz w:val="21"/>
          <w:szCs w:val="21"/>
          <w:highlight w:val="none"/>
        </w:rPr>
        <w:t>风险：</w:t>
      </w:r>
      <w:r>
        <w:rPr>
          <w:rFonts w:hint="eastAsia" w:ascii="楷体" w:hAnsi="楷体" w:eastAsia="楷体"/>
          <w:color w:val="auto"/>
          <w:sz w:val="21"/>
          <w:szCs w:val="21"/>
          <w:highlight w:val="none"/>
        </w:rPr>
        <w:t>自然灾害、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color w:val="auto"/>
          <w:sz w:val="21"/>
          <w:szCs w:val="21"/>
          <w:highlight w:val="none"/>
        </w:rPr>
      </w:pPr>
      <w:r>
        <w:rPr>
          <w:rFonts w:hint="eastAsia" w:ascii="楷体" w:hAnsi="楷体" w:eastAsia="楷体" w:cs="Times New Roman"/>
          <w:b/>
          <w:bCs/>
          <w:color w:val="auto"/>
          <w:sz w:val="21"/>
          <w:szCs w:val="21"/>
          <w:highlight w:val="none"/>
          <w:lang w:eastAsia="zh-CN"/>
        </w:rPr>
        <w:t>（</w:t>
      </w:r>
      <w:r>
        <w:rPr>
          <w:rFonts w:hint="eastAsia" w:ascii="楷体" w:hAnsi="楷体" w:eastAsia="楷体" w:cs="Times New Roman"/>
          <w:b/>
          <w:bCs/>
          <w:color w:val="auto"/>
          <w:sz w:val="21"/>
          <w:szCs w:val="21"/>
          <w:highlight w:val="none"/>
          <w:lang w:val="en-US" w:eastAsia="zh-CN"/>
        </w:rPr>
        <w:t>十三）</w:t>
      </w:r>
      <w:r>
        <w:rPr>
          <w:rFonts w:hint="eastAsia" w:ascii="楷体" w:hAnsi="楷体" w:eastAsia="楷体" w:cs="Times New Roman"/>
          <w:b/>
          <w:bCs/>
          <w:color w:val="auto"/>
          <w:sz w:val="21"/>
          <w:szCs w:val="21"/>
          <w:highlight w:val="none"/>
        </w:rPr>
        <w:t>关联关系及关联交易风险</w:t>
      </w:r>
      <w:r>
        <w:rPr>
          <w:rFonts w:hint="eastAsia" w:ascii="楷体" w:hAnsi="楷体" w:eastAsia="楷体" w:cs="Times New Roman"/>
          <w:color w:val="auto"/>
          <w:sz w:val="21"/>
          <w:szCs w:val="21"/>
          <w:highlight w:val="none"/>
        </w:rPr>
        <w:t>：本理财产品由</w:t>
      </w:r>
      <w:r>
        <w:rPr>
          <w:rFonts w:hint="eastAsia" w:ascii="楷体" w:hAnsi="楷体" w:eastAsia="楷体" w:cs="Times New Roman"/>
          <w:color w:val="auto"/>
          <w:sz w:val="21"/>
          <w:szCs w:val="21"/>
          <w:highlight w:val="none"/>
          <w:lang w:val="en-US" w:eastAsia="zh-CN"/>
        </w:rPr>
        <w:t>苏银</w:t>
      </w:r>
      <w:r>
        <w:rPr>
          <w:rFonts w:hint="eastAsia" w:ascii="楷体" w:hAnsi="楷体" w:eastAsia="楷体" w:cs="Times New Roman"/>
          <w:color w:val="auto"/>
          <w:sz w:val="21"/>
          <w:szCs w:val="21"/>
          <w:highlight w:val="none"/>
        </w:rPr>
        <w:t>理财发行并作为管理人，独立履行产品管理职责，</w:t>
      </w:r>
      <w:r>
        <w:rPr>
          <w:rFonts w:hint="eastAsia" w:ascii="楷体" w:hAnsi="楷体" w:eastAsia="楷体" w:cs="Times New Roman"/>
          <w:b w:val="0"/>
          <w:bCs w:val="0"/>
          <w:color w:val="auto"/>
          <w:sz w:val="21"/>
          <w:szCs w:val="21"/>
          <w:highlight w:val="none"/>
          <w:lang w:val="en-US" w:eastAsia="zh-CN"/>
        </w:rPr>
        <w:t>在运作过程中，可能涉及管理人的关联方担任销售机构、托管机构或投资顾问等，届时苏银理财与关联方之间</w:t>
      </w:r>
      <w:r>
        <w:rPr>
          <w:rFonts w:hint="eastAsia" w:ascii="楷体" w:hAnsi="楷体" w:eastAsia="楷体" w:cs="Times New Roman"/>
          <w:b w:val="0"/>
          <w:bCs w:val="0"/>
          <w:color w:val="auto"/>
          <w:sz w:val="21"/>
          <w:szCs w:val="21"/>
          <w:highlight w:val="none"/>
        </w:rPr>
        <w:t>可能出现关联交易行为。</w:t>
      </w:r>
      <w:r>
        <w:rPr>
          <w:rFonts w:hint="eastAsia" w:ascii="楷体" w:hAnsi="楷体" w:eastAsia="楷体" w:cs="Times New Roman"/>
          <w:color w:val="auto"/>
          <w:sz w:val="21"/>
          <w:szCs w:val="21"/>
          <w:highlight w:val="none"/>
          <w:lang w:val="en-US" w:eastAsia="zh-CN"/>
        </w:rPr>
        <w:t>苏银</w:t>
      </w:r>
      <w:r>
        <w:rPr>
          <w:rFonts w:hint="eastAsia" w:ascii="楷体" w:hAnsi="楷体" w:eastAsia="楷体" w:cs="Times New Roman"/>
          <w:color w:val="auto"/>
          <w:sz w:val="21"/>
          <w:szCs w:val="21"/>
          <w:highlight w:val="none"/>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r>
        <w:rPr>
          <w:rFonts w:hint="eastAsia" w:ascii="楷体" w:hAnsi="楷体" w:eastAsia="楷体" w:cs="楷体"/>
          <w:b/>
          <w:bCs/>
          <w:color w:val="auto"/>
          <w:sz w:val="21"/>
          <w:szCs w:val="21"/>
          <w:highlight w:val="none"/>
          <w:u w:val="single"/>
          <w:lang w:val="en-US" w:eastAsia="zh-CN"/>
        </w:rPr>
        <w:t>管理人在此特别披露：销售机构江苏苏州农村商业银行股份有限公司、江苏仪征农村商业银行股份有限公司、江苏银行股份有限公司、苏银理财有限责任公司、苏州银行股份有限公司，托管机构江苏银行股份有限公司为产品管理人的关联方。</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b/>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十四）</w:t>
      </w:r>
      <w:r>
        <w:rPr>
          <w:rFonts w:hint="eastAsia" w:ascii="楷体" w:hAnsi="楷体" w:eastAsia="楷体"/>
          <w:b/>
          <w:color w:val="auto"/>
          <w:sz w:val="21"/>
          <w:szCs w:val="21"/>
          <w:highlight w:val="none"/>
        </w:rPr>
        <w:t>特定投资标的风险：</w:t>
      </w:r>
    </w:p>
    <w:p>
      <w:pPr>
        <w:numPr>
          <w:numId w:val="0"/>
        </w:numPr>
        <w:tabs>
          <w:tab w:val="left" w:pos="742"/>
        </w:tabs>
        <w:ind w:leftChars="200"/>
        <w:rPr>
          <w:rFonts w:hint="eastAsia" w:ascii="楷体" w:hAnsi="楷体" w:eastAsia="楷体"/>
          <w:color w:val="auto"/>
          <w:sz w:val="21"/>
          <w:szCs w:val="21"/>
        </w:rPr>
      </w:pPr>
      <w:r>
        <w:rPr>
          <w:rFonts w:hint="eastAsia" w:ascii="楷体" w:hAnsi="楷体" w:eastAsia="楷体"/>
          <w:color w:val="auto"/>
          <w:sz w:val="21"/>
          <w:szCs w:val="21"/>
          <w:lang w:val="en-US" w:eastAsia="zh-CN"/>
        </w:rPr>
        <w:t>1.</w:t>
      </w: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numId w:val="0"/>
        </w:numPr>
        <w:tabs>
          <w:tab w:val="left" w:pos="742"/>
        </w:tabs>
        <w:ind w:left="480" w:leftChars="0"/>
        <w:rPr>
          <w:rFonts w:hint="eastAsia" w:ascii="楷体" w:hAnsi="楷体" w:eastAsia="楷体"/>
          <w:b/>
          <w:bCs w:val="0"/>
          <w:color w:val="auto"/>
          <w:sz w:val="21"/>
          <w:szCs w:val="21"/>
        </w:rPr>
      </w:pPr>
      <w:r>
        <w:rPr>
          <w:rFonts w:hint="eastAsia" w:ascii="楷体" w:hAnsi="楷体" w:eastAsia="楷体"/>
          <w:color w:val="auto"/>
          <w:sz w:val="21"/>
          <w:szCs w:val="21"/>
          <w:lang w:val="en-US" w:eastAsia="zh-CN"/>
        </w:rPr>
        <w:t>2.</w:t>
      </w: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numId w:val="0"/>
        </w:numPr>
        <w:tabs>
          <w:tab w:val="left" w:pos="742"/>
        </w:tabs>
        <w:ind w:left="480" w:leftChars="0"/>
        <w:rPr>
          <w:rFonts w:hint="eastAsia" w:ascii="楷体" w:hAnsi="楷体" w:eastAsia="楷体"/>
          <w:color w:val="auto"/>
          <w:sz w:val="21"/>
          <w:szCs w:val="21"/>
        </w:rPr>
      </w:pPr>
      <w:r>
        <w:rPr>
          <w:rFonts w:hint="eastAsia" w:ascii="楷体" w:hAnsi="楷体" w:eastAsia="楷体"/>
          <w:color w:val="auto"/>
          <w:sz w:val="21"/>
          <w:szCs w:val="21"/>
          <w:lang w:val="en-US" w:eastAsia="zh-CN"/>
        </w:rPr>
        <w:t>3.</w:t>
      </w: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numId w:val="0"/>
        </w:numPr>
        <w:tabs>
          <w:tab w:val="left" w:pos="742"/>
        </w:tabs>
        <w:ind w:left="480" w:leftChars="0"/>
        <w:rPr>
          <w:rFonts w:hint="eastAsia" w:ascii="楷体" w:hAnsi="楷体" w:eastAsia="楷体"/>
          <w:color w:val="auto"/>
          <w:sz w:val="21"/>
          <w:szCs w:val="21"/>
        </w:rPr>
      </w:pPr>
      <w:r>
        <w:rPr>
          <w:rFonts w:hint="eastAsia" w:ascii="楷体" w:hAnsi="楷体" w:eastAsia="楷体"/>
          <w:color w:val="auto"/>
          <w:sz w:val="21"/>
          <w:szCs w:val="21"/>
          <w:lang w:val="en-US" w:eastAsia="zh-CN"/>
        </w:rPr>
        <w:t>4.</w:t>
      </w:r>
      <w:r>
        <w:rPr>
          <w:rFonts w:hint="eastAsia" w:ascii="楷体" w:hAnsi="楷体" w:eastAsia="楷体"/>
          <w:color w:val="auto"/>
          <w:sz w:val="21"/>
          <w:szCs w:val="21"/>
        </w:rPr>
        <w:t>资产管理计划或</w:t>
      </w:r>
      <w:r>
        <w:rPr>
          <w:rFonts w:hint="eastAsia" w:ascii="楷体" w:hAnsi="楷体" w:eastAsia="楷体"/>
          <w:color w:val="auto"/>
          <w:sz w:val="21"/>
          <w:szCs w:val="21"/>
          <w:lang w:val="en-US" w:eastAsia="zh-CN"/>
        </w:rPr>
        <w:t>基金产品</w:t>
      </w:r>
      <w:r>
        <w:rPr>
          <w:rFonts w:hint="eastAsia" w:ascii="楷体" w:hAnsi="楷体" w:eastAsia="楷体"/>
          <w:color w:val="auto"/>
          <w:sz w:val="21"/>
          <w:szCs w:val="21"/>
        </w:rPr>
        <w:t>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w:t>
      </w:r>
      <w:r>
        <w:rPr>
          <w:rFonts w:hint="eastAsia" w:ascii="楷体" w:hAnsi="楷体" w:eastAsia="楷体"/>
          <w:color w:val="auto"/>
          <w:sz w:val="21"/>
          <w:szCs w:val="21"/>
        </w:rPr>
        <w:t>将本理财产品交付的资金运用于违反相关</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约定的投资范围，导致本理财产品项下委托财产的损失等风险。</w:t>
      </w:r>
    </w:p>
    <w:p>
      <w:pPr>
        <w:numPr>
          <w:numId w:val="0"/>
        </w:numPr>
        <w:tabs>
          <w:tab w:val="left" w:pos="742"/>
        </w:tabs>
        <w:ind w:left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5.结构性存款的特殊风险</w:t>
      </w:r>
    </w:p>
    <w:p>
      <w:pPr>
        <w:numPr>
          <w:ilvl w:val="0"/>
          <w:numId w:val="0"/>
        </w:numPr>
        <w:tabs>
          <w:tab w:val="left" w:pos="1092"/>
        </w:tabs>
        <w:ind w:left="0" w:leftChars="0" w:firstLine="422" w:firstLineChars="200"/>
        <w:rPr>
          <w:rFonts w:hint="default" w:ascii="楷体" w:hAnsi="楷体" w:eastAsia="楷体"/>
          <w:b/>
          <w:bCs w:val="0"/>
          <w:color w:val="auto"/>
          <w:sz w:val="21"/>
          <w:szCs w:val="21"/>
          <w:highlight w:val="none"/>
          <w:lang w:val="en-US" w:eastAsia="zh-CN"/>
        </w:rPr>
      </w:pPr>
      <w:r>
        <w:rPr>
          <w:rFonts w:hint="default" w:ascii="楷体" w:hAnsi="楷体" w:eastAsia="楷体"/>
          <w:b/>
          <w:bCs w:val="0"/>
          <w:color w:val="auto"/>
          <w:sz w:val="21"/>
          <w:szCs w:val="21"/>
        </w:rPr>
        <w:t>①</w:t>
      </w:r>
      <w:r>
        <w:rPr>
          <w:rFonts w:hint="default" w:ascii="楷体" w:hAnsi="楷体" w:eastAsia="楷体"/>
          <w:b/>
          <w:bCs w:val="0"/>
          <w:color w:val="auto"/>
          <w:sz w:val="21"/>
          <w:szCs w:val="21"/>
          <w:highlight w:val="none"/>
          <w:lang w:val="en-US" w:eastAsia="zh-CN"/>
        </w:rPr>
        <w:t>市场风险。结构性存款挂钩的境内外债券、股票、利率、汇率、指数等标的受相关国家或地区的金融市场和经济趋势的影响，收益存在不确定性。</w:t>
      </w:r>
      <w:r>
        <w:rPr>
          <w:rFonts w:hint="default" w:ascii="楷体" w:hAnsi="楷体" w:eastAsia="楷体"/>
          <w:b/>
          <w:bCs w:val="0"/>
          <w:color w:val="auto"/>
          <w:sz w:val="21"/>
          <w:szCs w:val="21"/>
        </w:rPr>
        <w:t>②</w:t>
      </w:r>
      <w:r>
        <w:rPr>
          <w:rFonts w:hint="default" w:ascii="楷体" w:hAnsi="楷体" w:eastAsia="楷体"/>
          <w:b/>
          <w:bCs w:val="0"/>
          <w:color w:val="auto"/>
          <w:sz w:val="21"/>
          <w:szCs w:val="21"/>
          <w:highlight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default" w:ascii="楷体" w:hAnsi="楷体" w:eastAsia="楷体"/>
          <w:b/>
          <w:bCs w:val="0"/>
          <w:color w:val="auto"/>
          <w:sz w:val="21"/>
          <w:szCs w:val="21"/>
        </w:rPr>
        <w:t>③</w:t>
      </w:r>
      <w:r>
        <w:rPr>
          <w:rFonts w:hint="default" w:ascii="楷体" w:hAnsi="楷体" w:eastAsia="楷体"/>
          <w:b/>
          <w:bCs w:val="0"/>
          <w:color w:val="auto"/>
          <w:sz w:val="21"/>
          <w:szCs w:val="21"/>
          <w:highlight w:val="none"/>
          <w:lang w:val="en-US" w:eastAsia="zh-CN"/>
        </w:rPr>
        <w:t>利率风险。结构性存款如挂钩特定债券或债券指数，可能因相关利率变动而导致产品收益发生变化。</w:t>
      </w:r>
      <w:r>
        <w:rPr>
          <w:rFonts w:hint="eastAsia" w:ascii="楷体" w:hAnsi="楷体" w:eastAsia="楷体"/>
          <w:b/>
          <w:color w:val="auto"/>
          <w:sz w:val="21"/>
          <w:szCs w:val="21"/>
          <w:u w:val="none"/>
        </w:rPr>
        <w:t>④</w:t>
      </w:r>
      <w:r>
        <w:rPr>
          <w:rFonts w:hint="default" w:ascii="楷体" w:hAnsi="楷体" w:eastAsia="楷体"/>
          <w:b/>
          <w:bCs w:val="0"/>
          <w:color w:val="auto"/>
          <w:sz w:val="21"/>
          <w:szCs w:val="21"/>
          <w:highlight w:val="none"/>
          <w:lang w:val="en-US" w:eastAsia="zh-CN"/>
        </w:rPr>
        <w:t>汇率风险。结构性存款如挂钩境外证券资产，可能面临以非人民币计价的各类资产受汇率波动影响而引起人民币估值下的理财产品资产净值波动的风险。</w:t>
      </w:r>
      <w:r>
        <w:rPr>
          <w:rFonts w:hint="default" w:ascii="楷体" w:hAnsi="楷体" w:eastAsia="楷体" w:cs="宋体"/>
          <w:b/>
          <w:color w:val="auto"/>
          <w:sz w:val="21"/>
          <w:szCs w:val="21"/>
          <w:u w:val="none"/>
          <w:lang w:val="en-US" w:eastAsia="zh-CN" w:bidi="ar-SA"/>
        </w:rPr>
        <w:t>⑤</w:t>
      </w:r>
      <w:r>
        <w:rPr>
          <w:rFonts w:hint="default" w:ascii="楷体" w:hAnsi="楷体" w:eastAsia="楷体"/>
          <w:b/>
          <w:bCs w:val="0"/>
          <w:color w:val="auto"/>
          <w:sz w:val="21"/>
          <w:szCs w:val="21"/>
          <w:highlight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numId w:val="0"/>
        </w:numPr>
        <w:tabs>
          <w:tab w:val="left" w:pos="742"/>
        </w:tabs>
        <w:ind w:left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6.</w:t>
      </w:r>
      <w:bookmarkStart w:id="1" w:name="_GoBack"/>
      <w:bookmarkEnd w:id="1"/>
      <w:r>
        <w:rPr>
          <w:rFonts w:hint="eastAsia" w:ascii="楷体" w:hAnsi="楷体" w:eastAsia="楷体"/>
          <w:color w:val="auto"/>
          <w:sz w:val="21"/>
          <w:szCs w:val="21"/>
          <w:lang w:val="en-US" w:eastAsia="zh-CN"/>
        </w:rPr>
        <w:t>黄金、黄金主题股票、黄金ETF基金等黄金类资产的特殊风险</w:t>
      </w:r>
    </w:p>
    <w:p>
      <w:pPr>
        <w:keepNext w:val="0"/>
        <w:keepLines w:val="0"/>
        <w:pageBreakBefore w:val="0"/>
        <w:widowControl w:val="0"/>
        <w:numPr>
          <w:ilvl w:val="0"/>
          <w:numId w:val="0"/>
        </w:numPr>
        <w:tabs>
          <w:tab w:val="left" w:pos="742"/>
        </w:tabs>
        <w:bidi w:val="0"/>
        <w:ind w:left="0" w:firstLine="422"/>
        <w:rPr>
          <w:rFonts w:hint="eastAsia" w:ascii="楷体" w:hAnsi="楷体" w:eastAsia="楷体" w:cs="楷体"/>
          <w:b/>
          <w:bCs/>
          <w:color w:val="auto"/>
          <w:sz w:val="21"/>
          <w:szCs w:val="21"/>
          <w:highlight w:val="none"/>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r>
        <w:rPr>
          <w:rFonts w:hint="eastAsia" w:ascii="楷体" w:hAnsi="楷体" w:eastAsia="楷体" w:cs="楷体"/>
          <w:b/>
          <w:bCs/>
          <w:color w:val="auto"/>
          <w:sz w:val="21"/>
          <w:szCs w:val="21"/>
          <w:highlight w:val="none"/>
        </w:rPr>
        <w:t>。</w:t>
      </w:r>
    </w:p>
    <w:p>
      <w:pPr>
        <w:keepNext w:val="0"/>
        <w:keepLines w:val="0"/>
        <w:pageBreakBefore w:val="0"/>
        <w:kinsoku/>
        <w:wordWrap/>
        <w:overflowPunct w:val="0"/>
        <w:topLinePunct w:val="0"/>
        <w:autoSpaceDE w:val="0"/>
        <w:autoSpaceDN w:val="0"/>
        <w:bidi w:val="0"/>
        <w:spacing w:line="310" w:lineRule="exact"/>
        <w:ind w:firstLine="420" w:firstLineChars="200"/>
        <w:textAlignment w:val="auto"/>
        <w:rPr>
          <w:rFonts w:hint="default"/>
          <w:highlight w:val="none"/>
          <w:lang w:val="en-US" w:eastAsia="zh-CN"/>
        </w:rPr>
      </w:pPr>
      <w:r>
        <w:rPr>
          <w:rFonts w:hint="eastAsia" w:ascii="楷体" w:hAnsi="楷体" w:eastAsia="楷体"/>
          <w:color w:val="auto"/>
          <w:sz w:val="21"/>
          <w:szCs w:val="21"/>
          <w:highlight w:val="none"/>
          <w:lang w:val="en-US" w:eastAsia="zh-CN"/>
        </w:rPr>
        <w:t xml:space="preserve">本理财产品风险管理措施：管理人将本着“诚实信用、勤勉尽责”的原则管理和运用理财产品财产。管理人将密切跟踪货币市场、债券市场及其他证券市场走势，在各类资产间灵活配置，设定单类资产的配置比例，降低市场风险。同时，限制理财产品财产的投资范围和比例，严格按投资原则进行投资运作。管理人将对所投资的各类债权类资产的风险承担主体的财务状况、行业背景以及公司治理等进行密切跟踪及分析，并根据内部投资评级的要求，严格控制风险暴露；另外，管理人将基于谨慎性原则，对交易对手的资质进行严格挑选。 </w:t>
      </w:r>
    </w:p>
    <w:p>
      <w:pPr>
        <w:keepNext w:val="0"/>
        <w:keepLines w:val="0"/>
        <w:pageBreakBefore w:val="0"/>
        <w:numPr>
          <w:ilvl w:val="0"/>
          <w:numId w:val="1"/>
        </w:numPr>
        <w:tabs>
          <w:tab w:val="left" w:pos="1134"/>
        </w:tabs>
        <w:kinsoku/>
        <w:wordWrap/>
        <w:overflowPunct w:val="0"/>
        <w:topLinePunct w:val="0"/>
        <w:autoSpaceDE w:val="0"/>
        <w:autoSpaceDN w:val="0"/>
        <w:bidi w:val="0"/>
        <w:spacing w:line="310" w:lineRule="exact"/>
        <w:ind w:left="0" w:leftChars="0" w:firstLine="422" w:firstLineChars="200"/>
        <w:textAlignment w:val="auto"/>
        <w:outlineLvl w:val="1"/>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信息披露</w:t>
      </w:r>
      <w:bookmarkEnd w:id="0"/>
    </w:p>
    <w:p>
      <w:pPr>
        <w:keepNext w:val="0"/>
        <w:keepLines w:val="0"/>
        <w:pageBreakBefore w:val="0"/>
        <w:numPr>
          <w:ilvl w:val="0"/>
          <w:numId w:val="13"/>
        </w:numPr>
        <w:tabs>
          <w:tab w:val="left" w:pos="993"/>
        </w:tabs>
        <w:kinsoku/>
        <w:wordWrap/>
        <w:topLinePunct w:val="0"/>
        <w:bidi w:val="0"/>
        <w:spacing w:line="310" w:lineRule="exact"/>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信息披露</w:t>
      </w:r>
      <w:r>
        <w:rPr>
          <w:rFonts w:hint="eastAsia" w:ascii="楷体" w:hAnsi="楷体" w:eastAsia="楷体" w:cs="楷体"/>
          <w:color w:val="auto"/>
          <w:sz w:val="21"/>
          <w:szCs w:val="21"/>
          <w:highlight w:val="none"/>
          <w:lang w:val="en-US" w:eastAsia="zh-CN"/>
        </w:rPr>
        <w:t>渠道</w:t>
      </w:r>
    </w:p>
    <w:p>
      <w:pPr>
        <w:keepNext w:val="0"/>
        <w:keepLines w:val="0"/>
        <w:pageBreakBefore w:val="0"/>
        <w:numPr>
          <w:ilvl w:val="0"/>
          <w:numId w:val="14"/>
        </w:numPr>
        <w:tabs>
          <w:tab w:val="left" w:pos="728"/>
        </w:tabs>
        <w:kinsoku/>
        <w:wordWrap/>
        <w:topLinePunct w:val="0"/>
        <w:bidi w:val="0"/>
        <w:spacing w:line="310" w:lineRule="exact"/>
        <w:ind w:left="0" w:firstLine="420" w:firstLineChars="200"/>
        <w:rPr>
          <w:rFonts w:hint="eastAsia" w:ascii="楷体" w:hAnsi="楷体" w:eastAsia="楷体" w:cs="楷体"/>
          <w:color w:val="auto"/>
          <w:sz w:val="21"/>
          <w:szCs w:val="21"/>
          <w:highlight w:val="none"/>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通过</w:t>
      </w:r>
      <w:r>
        <w:rPr>
          <w:rFonts w:hint="eastAsia" w:ascii="楷体" w:hAnsi="楷体" w:eastAsia="楷体" w:cs="楷体"/>
          <w:sz w:val="21"/>
          <w:szCs w:val="21"/>
          <w:highlight w:val="none"/>
          <w:lang w:val="en-US" w:eastAsia="zh-CN"/>
        </w:rPr>
        <w:t>中国理财网（www.chinawealth.com.cn)、</w:t>
      </w:r>
      <w:r>
        <w:rPr>
          <w:rFonts w:hint="eastAsia" w:ascii="楷体" w:hAnsi="楷体" w:eastAsia="楷体" w:cs="楷体"/>
          <w:sz w:val="21"/>
          <w:szCs w:val="21"/>
          <w:highlight w:val="none"/>
        </w:rPr>
        <w:t>苏银理财有限责任公司官方网站（www</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suyinwealth</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com）进行</w:t>
      </w:r>
      <w:r>
        <w:rPr>
          <w:rFonts w:hint="eastAsia" w:ascii="楷体" w:hAnsi="楷体" w:eastAsia="楷体" w:cs="楷体"/>
          <w:sz w:val="21"/>
          <w:szCs w:val="21"/>
          <w:highlight w:val="none"/>
          <w:lang w:val="en-US" w:eastAsia="zh-CN"/>
        </w:rPr>
        <w:t>公募理财产品</w:t>
      </w:r>
      <w:r>
        <w:rPr>
          <w:rFonts w:hint="eastAsia" w:ascii="楷体" w:hAnsi="楷体" w:eastAsia="楷体" w:cs="楷体"/>
          <w:sz w:val="21"/>
          <w:szCs w:val="21"/>
          <w:highlight w:val="none"/>
        </w:rPr>
        <w:t>信息披露</w:t>
      </w:r>
      <w:r>
        <w:rPr>
          <w:rFonts w:hint="eastAsia" w:ascii="楷体" w:hAnsi="楷体" w:eastAsia="楷体" w:cs="楷体"/>
          <w:sz w:val="21"/>
          <w:szCs w:val="21"/>
          <w:highlight w:val="none"/>
          <w:lang w:eastAsia="zh-CN"/>
        </w:rPr>
        <w:t>；</w:t>
      </w:r>
      <w:r>
        <w:rPr>
          <w:rFonts w:hint="eastAsia" w:ascii="楷体" w:hAnsi="楷体" w:eastAsia="楷体" w:cs="楷体"/>
          <w:sz w:val="21"/>
          <w:szCs w:val="21"/>
          <w:highlight w:val="none"/>
          <w:lang w:val="en-US" w:eastAsia="zh-CN"/>
        </w:rPr>
        <w:t>通过</w:t>
      </w:r>
      <w:r>
        <w:rPr>
          <w:rFonts w:hint="eastAsia" w:ascii="楷体" w:hAnsi="楷体" w:eastAsia="楷体" w:cs="楷体"/>
          <w:sz w:val="21"/>
          <w:szCs w:val="21"/>
          <w:highlight w:val="none"/>
        </w:rPr>
        <w:t>苏银理财有限责任公司官方网站（www</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suyinwealth</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com）进行</w:t>
      </w:r>
      <w:r>
        <w:rPr>
          <w:rFonts w:hint="eastAsia" w:ascii="楷体" w:hAnsi="楷体" w:eastAsia="楷体" w:cs="楷体"/>
          <w:sz w:val="21"/>
          <w:szCs w:val="21"/>
          <w:highlight w:val="none"/>
          <w:lang w:val="en-US" w:eastAsia="zh-CN"/>
        </w:rPr>
        <w:t>私募理财产品</w:t>
      </w:r>
      <w:r>
        <w:rPr>
          <w:rFonts w:hint="eastAsia" w:ascii="楷体" w:hAnsi="楷体" w:eastAsia="楷体" w:cs="楷体"/>
          <w:sz w:val="21"/>
          <w:szCs w:val="21"/>
          <w:highlight w:val="none"/>
        </w:rPr>
        <w:t>信息披露</w:t>
      </w:r>
      <w:r>
        <w:rPr>
          <w:rFonts w:hint="eastAsia" w:ascii="楷体" w:hAnsi="楷体" w:eastAsia="楷体" w:cs="楷体"/>
          <w:sz w:val="21"/>
          <w:szCs w:val="21"/>
          <w:highlight w:val="none"/>
          <w:lang w:eastAsia="zh-CN"/>
        </w:rPr>
        <w:t>。</w:t>
      </w:r>
    </w:p>
    <w:p>
      <w:pPr>
        <w:keepNext w:val="0"/>
        <w:keepLines w:val="0"/>
        <w:pageBreakBefore w:val="0"/>
        <w:numPr>
          <w:ilvl w:val="0"/>
          <w:numId w:val="14"/>
        </w:numPr>
        <w:tabs>
          <w:tab w:val="left" w:pos="728"/>
        </w:tabs>
        <w:kinsoku/>
        <w:wordWrap/>
        <w:topLinePunct w:val="0"/>
        <w:bidi w:val="0"/>
        <w:spacing w:line="310" w:lineRule="exact"/>
        <w:ind w:left="0" w:firstLine="420" w:firstLineChars="200"/>
        <w:rPr>
          <w:rFonts w:hint="eastAsia" w:ascii="楷体" w:hAnsi="楷体" w:eastAsia="楷体" w:cs="楷体"/>
          <w:color w:val="auto"/>
          <w:sz w:val="21"/>
          <w:szCs w:val="21"/>
          <w:highlight w:val="none"/>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将信息披露内容发送销售机构，由销售机构通过</w:t>
      </w:r>
      <w:r>
        <w:rPr>
          <w:rFonts w:hint="eastAsia" w:ascii="楷体" w:hAnsi="楷体" w:eastAsia="楷体" w:cs="楷体"/>
          <w:sz w:val="21"/>
          <w:szCs w:val="21"/>
          <w:highlight w:val="none"/>
          <w:lang w:val="en-US" w:eastAsia="zh-CN"/>
        </w:rPr>
        <w:t>短信及</w:t>
      </w:r>
      <w:r>
        <w:rPr>
          <w:rFonts w:hint="eastAsia" w:ascii="楷体" w:hAnsi="楷体" w:eastAsia="楷体" w:cs="楷体"/>
          <w:sz w:val="21"/>
          <w:szCs w:val="21"/>
          <w:highlight w:val="none"/>
        </w:rPr>
        <w:t>销售机构电子渠道和营业网点</w:t>
      </w:r>
      <w:r>
        <w:rPr>
          <w:rFonts w:hint="eastAsia" w:ascii="楷体" w:hAnsi="楷体" w:eastAsia="楷体" w:cs="楷体"/>
          <w:sz w:val="21"/>
          <w:szCs w:val="21"/>
          <w:highlight w:val="none"/>
          <w:lang w:val="en-US" w:eastAsia="zh-CN"/>
        </w:rPr>
        <w:t>等方式</w:t>
      </w:r>
      <w:r>
        <w:rPr>
          <w:rFonts w:hint="eastAsia" w:ascii="楷体" w:hAnsi="楷体" w:eastAsia="楷体" w:cs="楷体"/>
          <w:sz w:val="21"/>
          <w:szCs w:val="21"/>
          <w:highlight w:val="none"/>
        </w:rPr>
        <w:t>进行信息披露。</w:t>
      </w:r>
    </w:p>
    <w:p>
      <w:pPr>
        <w:keepNext w:val="0"/>
        <w:keepLines w:val="0"/>
        <w:pageBreakBefore w:val="0"/>
        <w:numPr>
          <w:ilvl w:val="0"/>
          <w:numId w:val="0"/>
        </w:numPr>
        <w:tabs>
          <w:tab w:val="left" w:pos="728"/>
        </w:tabs>
        <w:kinsoku/>
        <w:wordWrap/>
        <w:topLinePunct w:val="0"/>
        <w:bidi w:val="0"/>
        <w:spacing w:line="310" w:lineRule="exact"/>
        <w:ind w:firstLine="420" w:firstLineChars="200"/>
        <w:rPr>
          <w:rFonts w:hint="eastAsia" w:ascii="楷体" w:hAnsi="楷体" w:eastAsia="楷体" w:cs="楷体"/>
          <w:color w:val="auto"/>
          <w:sz w:val="21"/>
          <w:szCs w:val="21"/>
          <w:highlight w:val="none"/>
          <w:lang w:eastAsia="zh-CN"/>
        </w:rPr>
      </w:pPr>
      <w:r>
        <w:rPr>
          <w:rFonts w:hint="eastAsia" w:ascii="楷体" w:hAnsi="楷体" w:eastAsia="楷体" w:cs="楷体"/>
          <w:color w:val="auto"/>
          <w:sz w:val="21"/>
          <w:szCs w:val="21"/>
          <w:highlight w:val="none"/>
          <w:lang w:eastAsia="zh-CN"/>
        </w:rPr>
        <w:t>相关信息在发布或发出之日视为通知已送达投资者并生效，</w:t>
      </w:r>
      <w:r>
        <w:rPr>
          <w:rFonts w:hint="eastAsia" w:ascii="楷体" w:hAnsi="楷体" w:eastAsia="楷体" w:cs="楷体"/>
          <w:color w:val="auto"/>
          <w:sz w:val="21"/>
          <w:szCs w:val="21"/>
          <w:highlight w:val="none"/>
          <w:lang w:val="en-US" w:eastAsia="zh-CN"/>
        </w:rPr>
        <w:t>管理人已完全履行信息披露义务。如因投资者未及时查询，或由于不可抗力、及/或通讯故障、非产品管理人原因的系统故障等意外事件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cs="楷体"/>
          <w:color w:val="auto"/>
          <w:sz w:val="21"/>
          <w:szCs w:val="21"/>
          <w:highlight w:val="none"/>
          <w:lang w:eastAsia="zh-CN"/>
        </w:rPr>
        <w:t>请</w:t>
      </w:r>
      <w:r>
        <w:rPr>
          <w:rFonts w:hint="eastAsia" w:ascii="楷体" w:hAnsi="楷体" w:eastAsia="楷体" w:cs="楷体"/>
          <w:color w:val="auto"/>
          <w:sz w:val="21"/>
          <w:szCs w:val="21"/>
          <w:highlight w:val="none"/>
          <w:lang w:val="en-US" w:eastAsia="zh-CN"/>
        </w:rPr>
        <w:t>投资者</w:t>
      </w:r>
      <w:r>
        <w:rPr>
          <w:rFonts w:hint="eastAsia" w:ascii="楷体" w:hAnsi="楷体" w:eastAsia="楷体" w:cs="楷体"/>
          <w:color w:val="auto"/>
          <w:sz w:val="21"/>
          <w:szCs w:val="21"/>
          <w:highlight w:val="none"/>
          <w:lang w:eastAsia="zh-CN"/>
        </w:rPr>
        <w:t>及时登陆苏银理财有限责任</w:t>
      </w:r>
      <w:r>
        <w:rPr>
          <w:rFonts w:hint="eastAsia" w:ascii="楷体" w:hAnsi="楷体" w:eastAsia="楷体" w:cs="楷体"/>
          <w:color w:val="auto"/>
          <w:sz w:val="21"/>
          <w:szCs w:val="21"/>
          <w:highlight w:val="none"/>
          <w:lang w:val="en-US" w:eastAsia="zh-CN"/>
        </w:rPr>
        <w:t>公司</w:t>
      </w:r>
      <w:r>
        <w:rPr>
          <w:rFonts w:hint="eastAsia" w:ascii="楷体" w:hAnsi="楷体" w:eastAsia="楷体" w:cs="楷体"/>
          <w:color w:val="auto"/>
          <w:sz w:val="21"/>
          <w:szCs w:val="21"/>
          <w:highlight w:val="none"/>
          <w:lang w:eastAsia="zh-CN"/>
        </w:rPr>
        <w:t>官方网站或者向销售机构查询获取披露信息。</w:t>
      </w:r>
    </w:p>
    <w:p>
      <w:pPr>
        <w:keepNext w:val="0"/>
        <w:keepLines w:val="0"/>
        <w:pageBreakBefore w:val="0"/>
        <w:numPr>
          <w:ilvl w:val="0"/>
          <w:numId w:val="13"/>
        </w:numPr>
        <w:tabs>
          <w:tab w:val="left" w:pos="993"/>
        </w:tabs>
        <w:kinsoku/>
        <w:wordWrap/>
        <w:topLinePunct w:val="0"/>
        <w:bidi w:val="0"/>
        <w:spacing w:line="310" w:lineRule="exact"/>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信息披露</w:t>
      </w:r>
      <w:r>
        <w:rPr>
          <w:rFonts w:hint="eastAsia" w:ascii="楷体" w:hAnsi="楷体" w:eastAsia="楷体" w:cs="楷体"/>
          <w:color w:val="auto"/>
          <w:sz w:val="21"/>
          <w:szCs w:val="21"/>
          <w:highlight w:val="none"/>
          <w:lang w:val="en-US" w:eastAsia="zh-CN"/>
        </w:rPr>
        <w:t>内容及时间</w:t>
      </w:r>
    </w:p>
    <w:p>
      <w:pPr>
        <w:keepNext w:val="0"/>
        <w:keepLines w:val="0"/>
        <w:pageBreakBefore w:val="0"/>
        <w:numPr>
          <w:ilvl w:val="0"/>
          <w:numId w:val="15"/>
        </w:numPr>
        <w:tabs>
          <w:tab w:val="left" w:pos="728"/>
        </w:tabs>
        <w:kinsoku/>
        <w:wordWrap/>
        <w:topLinePunct w:val="0"/>
        <w:bidi w:val="0"/>
        <w:spacing w:line="310" w:lineRule="exact"/>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产品净值：</w:t>
      </w:r>
      <w:r>
        <w:rPr>
          <w:rFonts w:hint="eastAsia" w:ascii="楷体" w:hAnsi="楷体" w:eastAsia="楷体" w:cs="楷体"/>
          <w:color w:val="auto"/>
          <w:sz w:val="21"/>
          <w:szCs w:val="21"/>
          <w:highlight w:val="none"/>
          <w:lang w:val="en-US" w:eastAsia="zh-CN"/>
        </w:rPr>
        <w:t>公募封闭式产品和处于封闭期的定期开放式产品至少</w:t>
      </w:r>
      <w:r>
        <w:rPr>
          <w:rFonts w:hint="eastAsia" w:ascii="楷体" w:hAnsi="楷体" w:eastAsia="楷体" w:cs="楷体"/>
          <w:color w:val="auto"/>
          <w:sz w:val="21"/>
          <w:szCs w:val="21"/>
          <w:highlight w:val="none"/>
        </w:rPr>
        <w:t>每周向投资者披露一次产品的份额净值、份额累计净值</w:t>
      </w:r>
      <w:r>
        <w:rPr>
          <w:rFonts w:hint="eastAsia" w:ascii="楷体" w:hAnsi="楷体" w:eastAsia="楷体" w:cs="楷体"/>
          <w:color w:val="auto"/>
          <w:sz w:val="21"/>
          <w:szCs w:val="21"/>
          <w:highlight w:val="none"/>
          <w:lang w:val="en-US" w:eastAsia="zh-CN"/>
        </w:rPr>
        <w:t>和资产净值；公募开放式产品</w:t>
      </w:r>
      <w:r>
        <w:rPr>
          <w:rFonts w:hint="eastAsia" w:ascii="楷体" w:hAnsi="楷体" w:eastAsia="楷体" w:cs="楷体"/>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楷体"/>
          <w:color w:val="auto"/>
          <w:sz w:val="21"/>
          <w:szCs w:val="21"/>
          <w:highlight w:val="none"/>
          <w:lang w:val="en-US" w:eastAsia="zh-CN"/>
        </w:rPr>
        <w:t>；私募产品至少每季度向投资者披露一次产品的份额净值、份额累计净值、资产净值，以管理人实际披露为准；现金管理类产品在每个开放日披露上一开放日每万份收益和七日年化收益率。</w:t>
      </w:r>
    </w:p>
    <w:p>
      <w:pPr>
        <w:keepNext w:val="0"/>
        <w:keepLines w:val="0"/>
        <w:pageBreakBefore w:val="0"/>
        <w:numPr>
          <w:ilvl w:val="0"/>
          <w:numId w:val="15"/>
        </w:numPr>
        <w:tabs>
          <w:tab w:val="left" w:pos="728"/>
        </w:tabs>
        <w:kinsoku/>
        <w:wordWrap/>
        <w:topLinePunct w:val="0"/>
        <w:bidi w:val="0"/>
        <w:spacing w:line="310" w:lineRule="exact"/>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发行公告：管理人在产品成立后5个工作日内，披露产品成立公告，内容包括理财产品成立日期和募集规模等信息。</w:t>
      </w:r>
    </w:p>
    <w:p>
      <w:pPr>
        <w:keepNext w:val="0"/>
        <w:keepLines w:val="0"/>
        <w:pageBreakBefore w:val="0"/>
        <w:numPr>
          <w:ilvl w:val="0"/>
          <w:numId w:val="15"/>
        </w:numPr>
        <w:tabs>
          <w:tab w:val="left" w:pos="728"/>
        </w:tabs>
        <w:kinsoku/>
        <w:wordWrap/>
        <w:topLinePunct w:val="0"/>
        <w:bidi w:val="0"/>
        <w:spacing w:line="310" w:lineRule="exact"/>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定期公告：管理人在每个季度结束之日起15个工作日内</w:t>
      </w:r>
      <w:r>
        <w:rPr>
          <w:rFonts w:hint="eastAsia" w:ascii="楷体" w:hAnsi="楷体" w:eastAsia="楷体" w:cs="楷体"/>
          <w:color w:val="auto"/>
          <w:sz w:val="21"/>
          <w:szCs w:val="21"/>
          <w:highlight w:val="none"/>
          <w:lang w:val="en-US" w:eastAsia="zh-CN"/>
        </w:rPr>
        <w:t>披露产品的季度报告，每年8月31日前披露产品的半年度报告，每年4月30日前披露产品上一年度的年度报告。</w:t>
      </w:r>
      <w:r>
        <w:rPr>
          <w:rFonts w:hint="eastAsia" w:ascii="楷体" w:hAnsi="楷体" w:eastAsia="楷体" w:cs="楷体"/>
          <w:color w:val="auto"/>
          <w:sz w:val="21"/>
          <w:szCs w:val="21"/>
          <w:highlight w:val="none"/>
        </w:rPr>
        <w:t>产品成立不足90个</w:t>
      </w:r>
      <w:r>
        <w:rPr>
          <w:rFonts w:hint="eastAsia" w:ascii="楷体" w:hAnsi="楷体" w:eastAsia="楷体" w:cs="楷体"/>
          <w:color w:val="auto"/>
          <w:sz w:val="21"/>
          <w:szCs w:val="21"/>
          <w:highlight w:val="none"/>
          <w:lang w:val="en-US" w:eastAsia="zh-CN"/>
        </w:rPr>
        <w:t>自然日</w:t>
      </w:r>
      <w:r>
        <w:rPr>
          <w:rFonts w:hint="eastAsia" w:ascii="楷体" w:hAnsi="楷体" w:eastAsia="楷体" w:cs="楷体"/>
          <w:color w:val="auto"/>
          <w:sz w:val="21"/>
          <w:szCs w:val="21"/>
          <w:highlight w:val="none"/>
        </w:rPr>
        <w:t>的，管理人</w:t>
      </w:r>
      <w:r>
        <w:rPr>
          <w:rFonts w:hint="eastAsia" w:ascii="楷体" w:hAnsi="楷体" w:eastAsia="楷体" w:cs="楷体"/>
          <w:color w:val="auto"/>
          <w:sz w:val="21"/>
          <w:szCs w:val="21"/>
          <w:highlight w:val="none"/>
          <w:lang w:val="en-US" w:eastAsia="zh-CN"/>
        </w:rPr>
        <w:t>可以</w:t>
      </w:r>
      <w:r>
        <w:rPr>
          <w:rFonts w:hint="eastAsia" w:ascii="楷体" w:hAnsi="楷体" w:eastAsia="楷体" w:cs="楷体"/>
          <w:color w:val="auto"/>
          <w:sz w:val="21"/>
          <w:szCs w:val="21"/>
          <w:highlight w:val="none"/>
        </w:rPr>
        <w:t>不编制当期的季度、半年和年度报告；内容包括理财产品的存续规模、收益表现，</w:t>
      </w:r>
      <w:r>
        <w:rPr>
          <w:rFonts w:hint="eastAsia" w:ascii="楷体" w:hAnsi="楷体" w:eastAsia="楷体" w:cs="楷体"/>
          <w:color w:val="auto"/>
          <w:sz w:val="21"/>
          <w:szCs w:val="21"/>
          <w:highlight w:val="none"/>
          <w:lang w:val="en-US" w:eastAsia="zh-CN"/>
        </w:rPr>
        <w:t>产品主要投资资产情况</w:t>
      </w:r>
      <w:r>
        <w:rPr>
          <w:rFonts w:hint="eastAsia" w:ascii="楷体" w:hAnsi="楷体" w:eastAsia="楷体" w:cs="楷体"/>
          <w:color w:val="auto"/>
          <w:sz w:val="21"/>
          <w:szCs w:val="21"/>
          <w:highlight w:val="none"/>
        </w:rPr>
        <w:t>、投资组合的流动性风险分析，以及前十项资产具体名称、规模和比例等信息。针对现金管理类产品，管理人将在理财产品的半年和年度报告中披露理财产品前10名投资者的类别、持有份额及占总份额的比例等信息。现金管理类产品存续期间，如出现单一投资者持有产品份额达到或者超过该产品总份额20%的情形，为保障其他投资者的权益，管理人将在定期报告中披露该投资者的类别、持有份额及占比、持有份额变化情况及产品风险等信息，监管机构认定的特殊情形除外。</w:t>
      </w:r>
    </w:p>
    <w:p>
      <w:pPr>
        <w:keepNext w:val="0"/>
        <w:keepLines w:val="0"/>
        <w:pageBreakBefore w:val="0"/>
        <w:numPr>
          <w:ilvl w:val="0"/>
          <w:numId w:val="15"/>
        </w:numPr>
        <w:tabs>
          <w:tab w:val="left" w:pos="728"/>
        </w:tabs>
        <w:kinsoku/>
        <w:wordWrap/>
        <w:topLinePunct w:val="0"/>
        <w:bidi w:val="0"/>
        <w:spacing w:line="310" w:lineRule="exact"/>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到期公告：</w:t>
      </w:r>
      <w:r>
        <w:rPr>
          <w:rFonts w:hint="eastAsia" w:ascii="楷体" w:hAnsi="楷体" w:eastAsia="楷体" w:cs="Calibri"/>
          <w:color w:val="auto"/>
          <w:sz w:val="21"/>
          <w:szCs w:val="21"/>
          <w:highlight w:val="none"/>
        </w:rPr>
        <w:t>管理人在产品终止后5个工作日内，披露产品到期公告，内容包括理财产品的存续期限、终止日期、收费情况和收益分配情况等信息。</w:t>
      </w:r>
    </w:p>
    <w:p>
      <w:pPr>
        <w:keepNext w:val="0"/>
        <w:keepLines w:val="0"/>
        <w:pageBreakBefore w:val="0"/>
        <w:numPr>
          <w:ilvl w:val="0"/>
          <w:numId w:val="15"/>
        </w:numPr>
        <w:tabs>
          <w:tab w:val="left" w:pos="728"/>
        </w:tabs>
        <w:kinsoku/>
        <w:wordWrap/>
        <w:topLinePunct w:val="0"/>
        <w:bidi w:val="0"/>
        <w:spacing w:line="310" w:lineRule="exact"/>
        <w:ind w:left="0" w:firstLine="420" w:firstLineChars="200"/>
        <w:rPr>
          <w:rFonts w:hint="eastAsia" w:ascii="楷体" w:hAnsi="楷体" w:eastAsia="楷体"/>
          <w:b w:val="0"/>
          <w:bCs w:val="0"/>
          <w:sz w:val="21"/>
          <w:szCs w:val="21"/>
          <w:highlight w:val="none"/>
          <w:lang w:val="en-US" w:eastAsia="zh-CN"/>
        </w:rPr>
      </w:pPr>
      <w:r>
        <w:rPr>
          <w:rFonts w:hint="eastAsia" w:ascii="楷体" w:hAnsi="楷体" w:eastAsia="楷体" w:cs="Calibri"/>
          <w:color w:val="auto"/>
          <w:sz w:val="21"/>
          <w:szCs w:val="21"/>
          <w:highlight w:val="none"/>
        </w:rPr>
        <w:t>临时性信息：管理人将及时披露国务院银行业监督管理机构规定的其他信息。</w:t>
      </w:r>
    </w:p>
    <w:p>
      <w:pPr>
        <w:keepNext w:val="0"/>
        <w:keepLines w:val="0"/>
        <w:pageBreakBefore w:val="0"/>
        <w:numPr>
          <w:ilvl w:val="0"/>
          <w:numId w:val="15"/>
        </w:numPr>
        <w:tabs>
          <w:tab w:val="left" w:pos="728"/>
        </w:tabs>
        <w:kinsoku/>
        <w:wordWrap/>
        <w:topLinePunct w:val="0"/>
        <w:bidi w:val="0"/>
        <w:spacing w:line="310" w:lineRule="exact"/>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半年度整体报告：每半年披露从事理财业务活动的有关信息。</w:t>
      </w:r>
    </w:p>
    <w:p>
      <w:pPr>
        <w:keepNext w:val="0"/>
        <w:keepLines w:val="0"/>
        <w:pageBreakBefore w:val="0"/>
        <w:numPr>
          <w:ilvl w:val="0"/>
          <w:numId w:val="15"/>
        </w:numPr>
        <w:tabs>
          <w:tab w:val="left" w:pos="728"/>
        </w:tabs>
        <w:kinsoku/>
        <w:wordWrap/>
        <w:topLinePunct w:val="0"/>
        <w:bidi w:val="0"/>
        <w:spacing w:line="310" w:lineRule="exact"/>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 w:val="21"/>
          <w:szCs w:val="21"/>
          <w:highlight w:val="none"/>
        </w:rPr>
        <w:t>理财账单：管理人每月向投资者提供其所持有的理财产品账单，账单内容包括但不限于投资者持有的理财产品份额、认购金额、份额</w:t>
      </w:r>
      <w:r>
        <w:rPr>
          <w:rFonts w:hint="eastAsia" w:ascii="楷体" w:hAnsi="楷体" w:eastAsia="楷体" w:cs="楷体"/>
          <w:color w:val="auto"/>
          <w:sz w:val="21"/>
          <w:szCs w:val="21"/>
          <w:highlight w:val="none"/>
          <w:lang w:val="en-US" w:eastAsia="zh-CN"/>
        </w:rPr>
        <w:t>单位</w:t>
      </w:r>
      <w:r>
        <w:rPr>
          <w:rFonts w:hint="eastAsia" w:ascii="楷体" w:hAnsi="楷体" w:eastAsia="楷体" w:cs="楷体"/>
          <w:color w:val="auto"/>
          <w:sz w:val="21"/>
          <w:szCs w:val="21"/>
          <w:highlight w:val="none"/>
        </w:rPr>
        <w:t>净值、份额累计净值、资产净值、收益情况、投资者理财交易账户发生的交易明细记录等信息。</w:t>
      </w:r>
    </w:p>
    <w:p>
      <w:pPr>
        <w:keepNext w:val="0"/>
        <w:keepLines w:val="0"/>
        <w:pageBreakBefore w:val="0"/>
        <w:numPr>
          <w:ilvl w:val="0"/>
          <w:numId w:val="1"/>
        </w:numPr>
        <w:tabs>
          <w:tab w:val="left" w:pos="1134"/>
        </w:tabs>
        <w:kinsoku/>
        <w:wordWrap/>
        <w:overflowPunct w:val="0"/>
        <w:topLinePunct w:val="0"/>
        <w:autoSpaceDE w:val="0"/>
        <w:autoSpaceDN w:val="0"/>
        <w:bidi w:val="0"/>
        <w:spacing w:line="310" w:lineRule="exact"/>
        <w:ind w:left="0" w:leftChars="0" w:firstLine="422" w:firstLineChars="200"/>
        <w:textAlignment w:val="auto"/>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其他</w:t>
      </w:r>
    </w:p>
    <w:p>
      <w:pPr>
        <w:keepNext w:val="0"/>
        <w:keepLines w:val="0"/>
        <w:pageBreakBefore w:val="0"/>
        <w:numPr>
          <w:ilvl w:val="0"/>
          <w:numId w:val="16"/>
        </w:numPr>
        <w:tabs>
          <w:tab w:val="left" w:pos="993"/>
        </w:tabs>
        <w:kinsoku/>
        <w:wordWrap/>
        <w:topLinePunct w:val="0"/>
        <w:bidi w:val="0"/>
        <w:spacing w:line="310" w:lineRule="exact"/>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追索条款</w:t>
      </w:r>
    </w:p>
    <w:p>
      <w:pPr>
        <w:keepNext w:val="0"/>
        <w:keepLines w:val="0"/>
        <w:pageBreakBefore w:val="0"/>
        <w:kinsoku/>
        <w:wordWrap/>
        <w:topLinePunct w:val="0"/>
        <w:bidi w:val="0"/>
        <w:spacing w:line="310" w:lineRule="exact"/>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若本理财产品所投资的金融资产到期不能全部偿付导致资产减值甚至本金大幅损失，则苏银理财将以管理人名义，代表理财产品投资者利益行使诉讼权利或者实施其他权利救济措施。</w:t>
      </w:r>
    </w:p>
    <w:p>
      <w:pPr>
        <w:keepNext w:val="0"/>
        <w:keepLines w:val="0"/>
        <w:pageBreakBefore w:val="0"/>
        <w:numPr>
          <w:ilvl w:val="0"/>
          <w:numId w:val="16"/>
        </w:numPr>
        <w:tabs>
          <w:tab w:val="left" w:pos="993"/>
        </w:tabs>
        <w:kinsoku/>
        <w:wordWrap/>
        <w:topLinePunct w:val="0"/>
        <w:bidi w:val="0"/>
        <w:spacing w:line="310" w:lineRule="exact"/>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信息安全</w:t>
      </w:r>
    </w:p>
    <w:p>
      <w:pPr>
        <w:keepNext w:val="0"/>
        <w:keepLines w:val="0"/>
        <w:pageBreakBefore w:val="0"/>
        <w:kinsoku/>
        <w:wordWrap/>
        <w:topLinePunct w:val="0"/>
        <w:bidi w:val="0"/>
        <w:spacing w:line="310" w:lineRule="exact"/>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苏银理财及</w:t>
      </w:r>
      <w:r>
        <w:rPr>
          <w:rFonts w:hint="eastAsia" w:ascii="楷体" w:hAnsi="楷体" w:eastAsia="楷体" w:cs="楷体"/>
          <w:color w:val="auto"/>
          <w:sz w:val="21"/>
          <w:szCs w:val="21"/>
          <w:highlight w:val="none"/>
          <w:lang w:val="en-US" w:eastAsia="zh-CN"/>
        </w:rPr>
        <w:t>销售</w:t>
      </w:r>
      <w:r>
        <w:rPr>
          <w:rFonts w:hint="eastAsia" w:ascii="楷体" w:hAnsi="楷体" w:eastAsia="楷体" w:cs="楷体"/>
          <w:color w:val="auto"/>
          <w:sz w:val="21"/>
          <w:szCs w:val="21"/>
          <w:highlight w:val="none"/>
        </w:rPr>
        <w:t>机构将据相关法律、法规严格履行投资者信息保密责任，除监管机构或司法机关等有权机构外，不得对其他第三方提供任何投资者信息。</w:t>
      </w:r>
    </w:p>
    <w:p>
      <w:pPr>
        <w:keepNext w:val="0"/>
        <w:keepLines w:val="0"/>
        <w:pageBreakBefore w:val="0"/>
        <w:numPr>
          <w:ilvl w:val="0"/>
          <w:numId w:val="16"/>
        </w:numPr>
        <w:tabs>
          <w:tab w:val="left" w:pos="993"/>
        </w:tabs>
        <w:kinsoku/>
        <w:wordWrap/>
        <w:topLinePunct w:val="0"/>
        <w:bidi w:val="0"/>
        <w:spacing w:line="310" w:lineRule="exact"/>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争议解决</w:t>
      </w:r>
    </w:p>
    <w:p>
      <w:pPr>
        <w:keepNext w:val="0"/>
        <w:keepLines w:val="0"/>
        <w:pageBreakBefore w:val="0"/>
        <w:kinsoku/>
        <w:wordWrap/>
        <w:overflowPunct w:val="0"/>
        <w:topLinePunct w:val="0"/>
        <w:autoSpaceDE w:val="0"/>
        <w:autoSpaceDN w:val="0"/>
        <w:bidi w:val="0"/>
        <w:spacing w:line="310" w:lineRule="exact"/>
        <w:ind w:firstLine="420" w:firstLineChars="200"/>
        <w:jc w:val="left"/>
        <w:textAlignment w:val="auto"/>
        <w:rPr>
          <w:rFonts w:hint="eastAsia" w:ascii="楷体" w:hAnsi="楷体" w:eastAsia="楷体" w:cs="楷体"/>
          <w:highlight w:val="none"/>
        </w:rPr>
      </w:pPr>
      <w:r>
        <w:rPr>
          <w:rFonts w:hint="eastAsia" w:ascii="楷体" w:hAnsi="楷体" w:eastAsia="楷体" w:cs="楷体"/>
          <w:b w:val="0"/>
          <w:bCs w:val="0"/>
          <w:color w:val="auto"/>
          <w:sz w:val="21"/>
          <w:szCs w:val="21"/>
          <w:highlight w:val="none"/>
          <w:lang w:val="en-US" w:eastAsia="zh-CN"/>
        </w:rPr>
        <w:t>本产品说明书</w:t>
      </w:r>
      <w:r>
        <w:rPr>
          <w:rFonts w:hint="eastAsia" w:ascii="楷体" w:hAnsi="楷体" w:eastAsia="楷体" w:cs="楷体"/>
          <w:b w:val="0"/>
          <w:bCs w:val="0"/>
          <w:color w:val="auto"/>
          <w:sz w:val="21"/>
          <w:szCs w:val="21"/>
          <w:highlight w:val="none"/>
        </w:rPr>
        <w:t>的订立、生效、履行、解释、修改和终止等事项均适用中华人民共和国（为本合同目的，不包括香港特别行政区、澳门特别行政区和台湾地区）法律。</w:t>
      </w:r>
      <w:r>
        <w:rPr>
          <w:rFonts w:hint="eastAsia" w:ascii="楷体" w:hAnsi="楷体" w:eastAsia="楷体" w:cs="楷体"/>
          <w:b w:val="0"/>
          <w:bCs w:val="0"/>
          <w:color w:val="auto"/>
          <w:sz w:val="21"/>
          <w:szCs w:val="21"/>
          <w:highlight w:val="none"/>
          <w:lang w:val="en-US" w:eastAsia="zh-CN"/>
        </w:rPr>
        <w:t>因本产品说明书</w:t>
      </w:r>
      <w:r>
        <w:rPr>
          <w:rFonts w:hint="eastAsia" w:ascii="楷体" w:hAnsi="楷体" w:eastAsia="楷体" w:cs="楷体"/>
          <w:b w:val="0"/>
          <w:bCs w:val="0"/>
          <w:color w:val="auto"/>
          <w:sz w:val="21"/>
          <w:szCs w:val="21"/>
          <w:highlight w:val="none"/>
        </w:rPr>
        <w:t>引起的或与</w:t>
      </w:r>
      <w:r>
        <w:rPr>
          <w:rFonts w:hint="eastAsia" w:ascii="楷体" w:hAnsi="楷体" w:eastAsia="楷体" w:cs="楷体"/>
          <w:b w:val="0"/>
          <w:bCs w:val="0"/>
          <w:color w:val="auto"/>
          <w:sz w:val="21"/>
          <w:szCs w:val="21"/>
          <w:highlight w:val="none"/>
          <w:lang w:val="en-US" w:eastAsia="zh-CN"/>
        </w:rPr>
        <w:t>本产品说明书</w:t>
      </w:r>
      <w:r>
        <w:rPr>
          <w:rFonts w:hint="eastAsia" w:ascii="楷体" w:hAnsi="楷体" w:eastAsia="楷体" w:cs="楷体"/>
          <w:b w:val="0"/>
          <w:bCs w:val="0"/>
          <w:color w:val="auto"/>
          <w:sz w:val="21"/>
          <w:szCs w:val="21"/>
          <w:highlight w:val="none"/>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 w:name="方正仿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WordPictureWatermark1026" o:spid="_x0000_s4098" o:spt="75" alt="C:\Users\sylc\Desktop\水印.jpg水印" type="#_x0000_t75" style="position:absolute;left:0pt;margin-left:-315.9pt;margin-top:-81.05pt;height:862.85pt;width:1137.75pt;mso-position-horizontal-relative:margin;mso-position-vertical-relative:margin;z-index:-251655168;mso-width-relative:page;mso-height-relative:page;" filled="f" o:preferrelative="t" stroked="f" coordsize="21600,21600" o:allowincell="f">
          <v:path/>
          <v:fill on="f" focussize="0,0"/>
          <v:stroke on="f"/>
          <v:imagedata r:id="rId1" o:title="水印"/>
          <o:lock v:ext="edit" aspectratio="t"/>
        </v:shape>
      </w:pict>
    </w:r>
    <w:r>
      <w:pict>
        <v:shape id="图片 1" o:spid="_x0000_s4099"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2" o:title="苏银理财"/>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1025" o:spid="_x0000_s4100"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1027" o:spid="_x0000_s4097"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A4B87"/>
    <w:multiLevelType w:val="multilevel"/>
    <w:tmpl w:val="813A4B8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81B3EFF4"/>
    <w:multiLevelType w:val="singleLevel"/>
    <w:tmpl w:val="81B3EFF4"/>
    <w:lvl w:ilvl="0" w:tentative="0">
      <w:start w:val="1"/>
      <w:numFmt w:val="decimal"/>
      <w:suff w:val="nothing"/>
      <w:lvlText w:val="（%1）"/>
      <w:lvlJc w:val="left"/>
    </w:lvl>
  </w:abstractNum>
  <w:abstractNum w:abstractNumId="2">
    <w:nsid w:val="8461FADE"/>
    <w:multiLevelType w:val="multilevel"/>
    <w:tmpl w:val="8461FAD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9288B902"/>
    <w:multiLevelType w:val="multilevel"/>
    <w:tmpl w:val="9288B90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9C8AC8EF"/>
    <w:multiLevelType w:val="multilevel"/>
    <w:tmpl w:val="9C8AC8EF"/>
    <w:lvl w:ilvl="0" w:tentative="0">
      <w:start w:val="1"/>
      <w:numFmt w:val="chineseCountingThousand"/>
      <w:suff w:val="nothing"/>
      <w:lvlText w:val="%1、"/>
      <w:lvlJc w:val="left"/>
      <w:pPr>
        <w:ind w:left="0" w:leftChars="0" w:firstLine="40" w:firstLineChars="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B0F1ACD9"/>
    <w:multiLevelType w:val="multilevel"/>
    <w:tmpl w:val="B0F1ACD9"/>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BE923771"/>
    <w:multiLevelType w:val="multilevel"/>
    <w:tmpl w:val="BE923771"/>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E640482"/>
    <w:multiLevelType w:val="multilevel"/>
    <w:tmpl w:val="0E640482"/>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46A08BB8"/>
    <w:multiLevelType w:val="multilevel"/>
    <w:tmpl w:val="46A08BB8"/>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1BAE26"/>
    <w:multiLevelType w:val="singleLevel"/>
    <w:tmpl w:val="4C1BAE26"/>
    <w:lvl w:ilvl="0" w:tentative="0">
      <w:start w:val="1"/>
      <w:numFmt w:val="decimal"/>
      <w:suff w:val="nothing"/>
      <w:lvlText w:val="(%1）"/>
      <w:lvlJc w:val="left"/>
    </w:lvl>
  </w:abstractNum>
  <w:abstractNum w:abstractNumId="10">
    <w:nsid w:val="58765686"/>
    <w:multiLevelType w:val="multilevel"/>
    <w:tmpl w:val="5876568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60382F6E"/>
    <w:multiLevelType w:val="multilevel"/>
    <w:tmpl w:val="60382F6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2">
    <w:nsid w:val="629F7852"/>
    <w:multiLevelType w:val="multilevel"/>
    <w:tmpl w:val="629F785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7ECEA79"/>
    <w:multiLevelType w:val="multilevel"/>
    <w:tmpl w:val="77ECEA79"/>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C246926"/>
    <w:multiLevelType w:val="singleLevel"/>
    <w:tmpl w:val="7C246926"/>
    <w:lvl w:ilvl="0" w:tentative="0">
      <w:start w:val="1"/>
      <w:numFmt w:val="decimal"/>
      <w:suff w:val="nothing"/>
      <w:lvlText w:val="%1."/>
      <w:lvlJc w:val="left"/>
      <w:pPr>
        <w:tabs>
          <w:tab w:val="left" w:pos="0"/>
        </w:tabs>
        <w:ind w:left="0" w:firstLine="0"/>
      </w:pPr>
      <w:rPr>
        <w:rFonts w:hint="default"/>
      </w:rPr>
    </w:lvl>
  </w:abstractNum>
  <w:abstractNum w:abstractNumId="15">
    <w:nsid w:val="7DEC2089"/>
    <w:multiLevelType w:val="multilevel"/>
    <w:tmpl w:val="7DEC208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9"/>
  </w:num>
  <w:num w:numId="3">
    <w:abstractNumId w:val="11"/>
  </w:num>
  <w:num w:numId="4">
    <w:abstractNumId w:val="7"/>
  </w:num>
  <w:num w:numId="5">
    <w:abstractNumId w:val="8"/>
  </w:num>
  <w:num w:numId="6">
    <w:abstractNumId w:val="5"/>
  </w:num>
  <w:num w:numId="7">
    <w:abstractNumId w:val="1"/>
  </w:num>
  <w:num w:numId="8">
    <w:abstractNumId w:val="14"/>
  </w:num>
  <w:num w:numId="9">
    <w:abstractNumId w:val="13"/>
  </w:num>
  <w:num w:numId="10">
    <w:abstractNumId w:val="6"/>
  </w:num>
  <w:num w:numId="11">
    <w:abstractNumId w:val="12"/>
  </w:num>
  <w:num w:numId="12">
    <w:abstractNumId w:val="3"/>
  </w:num>
  <w:num w:numId="13">
    <w:abstractNumId w:val="2"/>
  </w:num>
  <w:num w:numId="14">
    <w:abstractNumId w:val="10"/>
  </w:num>
  <w:num w:numId="15">
    <w:abstractNumId w:val="1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0"/>
  <w:bordersDoNotSurroundFooter w:val="0"/>
  <w:doNotTrackMoves/>
  <w:documentProtection w:enforcement="0"/>
  <w:defaultTabStop w:val="420"/>
  <w:drawingGridHorizontalSpacing w:val="21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810A13"/>
    <w:rsid w:val="073D250C"/>
    <w:rsid w:val="0BB50A03"/>
    <w:rsid w:val="0E53500F"/>
    <w:rsid w:val="0ED61A76"/>
    <w:rsid w:val="14C232C9"/>
    <w:rsid w:val="15731102"/>
    <w:rsid w:val="18DF28D5"/>
    <w:rsid w:val="1C8A4F27"/>
    <w:rsid w:val="1E1A048F"/>
    <w:rsid w:val="1F8B4890"/>
    <w:rsid w:val="1F953BA5"/>
    <w:rsid w:val="20F40FA1"/>
    <w:rsid w:val="24936E8E"/>
    <w:rsid w:val="27757136"/>
    <w:rsid w:val="2A107339"/>
    <w:rsid w:val="2A945004"/>
    <w:rsid w:val="2B534C6C"/>
    <w:rsid w:val="303B5E5F"/>
    <w:rsid w:val="30E852C9"/>
    <w:rsid w:val="31E568FF"/>
    <w:rsid w:val="35BB40EE"/>
    <w:rsid w:val="390E25CF"/>
    <w:rsid w:val="3DB759F0"/>
    <w:rsid w:val="3F1F711D"/>
    <w:rsid w:val="40011C8E"/>
    <w:rsid w:val="41905C1D"/>
    <w:rsid w:val="43957F2A"/>
    <w:rsid w:val="44B3655E"/>
    <w:rsid w:val="46E22257"/>
    <w:rsid w:val="4A34540A"/>
    <w:rsid w:val="4A4628E8"/>
    <w:rsid w:val="4B4D315A"/>
    <w:rsid w:val="4C4B38E2"/>
    <w:rsid w:val="4D077EEE"/>
    <w:rsid w:val="4DD10995"/>
    <w:rsid w:val="4EE151F5"/>
    <w:rsid w:val="510D05F9"/>
    <w:rsid w:val="51901A98"/>
    <w:rsid w:val="54105DF7"/>
    <w:rsid w:val="546E6190"/>
    <w:rsid w:val="5A261275"/>
    <w:rsid w:val="5C7E7465"/>
    <w:rsid w:val="5E7F1542"/>
    <w:rsid w:val="603107FF"/>
    <w:rsid w:val="6A9C13FA"/>
    <w:rsid w:val="6C0E51FD"/>
    <w:rsid w:val="71130CDF"/>
    <w:rsid w:val="74C12A19"/>
    <w:rsid w:val="74FC737A"/>
    <w:rsid w:val="79903450"/>
    <w:rsid w:val="7B1B7885"/>
    <w:rsid w:val="7C191347"/>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宋体"/>
      <w:kern w:val="2"/>
      <w:sz w:val="28"/>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unhideWhenUsed/>
    <w:qFormat/>
    <w:uiPriority w:val="99"/>
    <w:pPr>
      <w:jc w:val="left"/>
    </w:pPr>
  </w:style>
  <w:style w:type="paragraph" w:styleId="7">
    <w:name w:val="Date"/>
    <w:basedOn w:val="1"/>
    <w:next w:val="1"/>
    <w:unhideWhenUsed/>
    <w:qFormat/>
    <w:uiPriority w:val="99"/>
    <w:pPr>
      <w:ind w:left="100" w:leftChars="2500"/>
    </w:pPr>
  </w:style>
  <w:style w:type="paragraph" w:styleId="8">
    <w:name w:val="Balloon Text"/>
    <w:basedOn w:val="1"/>
    <w:unhideWhenUsed/>
    <w:qFormat/>
    <w:uiPriority w:val="99"/>
    <w:rPr>
      <w:kern w:val="0"/>
      <w:sz w:val="18"/>
      <w:szCs w:val="18"/>
    </w:rPr>
  </w:style>
  <w:style w:type="paragraph" w:styleId="9">
    <w:name w:val="footer"/>
    <w:basedOn w:val="1"/>
    <w:unhideWhenUsed/>
    <w:qFormat/>
    <w:uiPriority w:val="99"/>
    <w:pPr>
      <w:tabs>
        <w:tab w:val="center" w:pos="4153"/>
        <w:tab w:val="right" w:pos="8306"/>
      </w:tabs>
      <w:snapToGrid w:val="0"/>
      <w:jc w:val="left"/>
    </w:pPr>
    <w:rPr>
      <w:kern w:val="0"/>
      <w:sz w:val="18"/>
      <w:szCs w:val="18"/>
    </w:rPr>
  </w:style>
  <w:style w:type="paragraph" w:styleId="10">
    <w:name w:val="header"/>
    <w:basedOn w:val="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qFormat/>
    <w:uiPriority w:val="99"/>
    <w:rPr>
      <w:rFonts w:ascii="Times New Roman" w:hAnsi="Times New Roman" w:eastAsia="宋体" w:cs="Times New Roman"/>
      <w:kern w:val="2"/>
      <w:sz w:val="21"/>
      <w:szCs w:val="22"/>
    </w:rPr>
  </w:style>
  <w:style w:type="character" w:customStyle="1" w:styleId="43">
    <w:name w:val="正文文本 字符1"/>
    <w:qFormat/>
    <w:uiPriority w:val="1"/>
    <w:rPr>
      <w:rFonts w:ascii="宋体" w:hAnsi="Times New Roman" w:eastAsia="宋体" w:cs="宋体"/>
      <w:kern w:val="0"/>
      <w:szCs w:val="21"/>
    </w:rPr>
  </w:style>
  <w:style w:type="character" w:customStyle="1" w:styleId="44">
    <w:name w:val="日期 字符1"/>
    <w:basedOn w:val="18"/>
    <w:semiHidden/>
    <w:qFormat/>
    <w:uiPriority w:val="99"/>
    <w:rPr>
      <w:rFonts w:ascii="Times New Roman" w:hAnsi="Times New Roman" w:eastAsia="宋体" w:cs="Times New Roman"/>
    </w:rPr>
  </w:style>
  <w:style w:type="character" w:customStyle="1" w:styleId="45">
    <w:name w:val="批注框文本 字符1"/>
    <w:semiHidden/>
    <w:qFormat/>
    <w:uiPriority w:val="99"/>
    <w:rPr>
      <w:rFonts w:ascii="Times New Roman" w:hAnsi="Times New Roman" w:eastAsia="宋体" w:cs="Times New Roman"/>
      <w:sz w:val="18"/>
      <w:szCs w:val="18"/>
    </w:rPr>
  </w:style>
  <w:style w:type="character" w:customStyle="1" w:styleId="46">
    <w:name w:val="页脚 字符1"/>
    <w:qFormat/>
    <w:uiPriority w:val="99"/>
    <w:rPr>
      <w:rFonts w:ascii="Times New Roman" w:hAnsi="Times New Roman" w:eastAsia="宋体" w:cs="Times New Roman"/>
      <w:sz w:val="18"/>
      <w:szCs w:val="18"/>
    </w:rPr>
  </w:style>
  <w:style w:type="character" w:customStyle="1" w:styleId="47">
    <w:name w:val="页眉 字符1"/>
    <w:qFormat/>
    <w:uiPriority w:val="99"/>
    <w:rPr>
      <w:rFonts w:ascii="Times New Roman" w:hAnsi="Times New Roman" w:eastAsia="宋体" w:cs="Times New Roman"/>
      <w:sz w:val="18"/>
      <w:szCs w:val="18"/>
    </w:rPr>
  </w:style>
  <w:style w:type="character" w:customStyle="1" w:styleId="48">
    <w:name w:val="脚注文本 字符2"/>
    <w:semiHidden/>
    <w:qFormat/>
    <w:uiPriority w:val="99"/>
    <w:rPr>
      <w:rFonts w:ascii="Times New Roman" w:hAnsi="Times New Roman" w:eastAsia="宋体" w:cs="Times New Roman"/>
      <w:kern w:val="2"/>
      <w:sz w:val="18"/>
      <w:szCs w:val="18"/>
    </w:rPr>
  </w:style>
  <w:style w:type="character" w:customStyle="1" w:styleId="49">
    <w:name w:val="批注主题 字符1"/>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100"/>
    <customShpInfo spid="_x0000_s4097"/>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

<file path=customXml/item3.xml><?xml version="1.0" encoding="utf-8"?>
<Properties xmlns="http://schemas.openxmlformats.org/officeDocument/2006/extended-properties" xmlns:vt="http://schemas.openxmlformats.org/officeDocument/2006/docPropsVTypes">
  <Template>Normal</Template>
  <Pages>16</Pages>
  <Words>22009</Words>
  <Characters>22944</Characters>
  <Lines>243</Lines>
  <Paragraphs>68</Paragraphs>
  <TotalTime>0</TotalTime>
  <ScaleCrop>false</ScaleCrop>
  <LinksUpToDate>false</LinksUpToDate>
  <CharactersWithSpaces>23207</CharactersWithSpaces>
  <Application>WPS Office_11.8.2.11734_F1E327BC-269C-435d-A152-05C5408002CA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xsi="http://www.w3.org/2001/XMLSchema-instance">
  <dcterms:created xsi:type="dcterms:W3CDTF">2024-05-11T09:26:00Z</dcterms:created>
  <dc:creator>孙伯略</dc:creator>
  <cp:lastModifiedBy>陈哲琨</cp:lastModifiedBy>
  <cp:lastPrinted>2026-08-17T00:52:00Z</cp:lastPrinted>
  <dcterms:modified xsi:type="dcterms:W3CDTF">2026-08-26T05:42:13Z</dcterms:modified>
  <cp:revision>49</cp:revision>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cf98f4-ddcf-4cd8-9538-d31b8f2b7bd7}">
  <ds:schemaRefs/>
</ds:datastoreItem>
</file>

<file path=customXml/itemProps3.xml><?xml version="1.0" encoding="utf-8"?>
<ds:datastoreItem xmlns:ds="http://schemas.openxmlformats.org/officeDocument/2006/customXml" ds:itemID="{07537609-20a8-4a06-9645-63b707b1e482}">
  <ds:schemaRefs/>
</ds:datastoreItem>
</file>

<file path=customXml/itemProps4.xml><?xml version="1.0" encoding="utf-8"?>
<ds:datastoreItem xmlns:ds="http://schemas.openxmlformats.org/officeDocument/2006/customXml" ds:itemID="{d5a1e906-1ea8-4ee4-b6b7-22a58048de2e}">
  <ds:schemaRefs/>
</ds:datastoreItem>
</file>

<file path=docProps/app.xml><?xml version="1.0" encoding="utf-8"?>
<Properties xmlns="http://schemas.openxmlformats.org/officeDocument/2006/extended-properties" xmlns:vt="http://schemas.openxmlformats.org/officeDocument/2006/docPropsVTypes">
  <Template>Normal</Template>
  <Pages>16</Pages>
  <Words>22009</Words>
  <Characters>22944</Characters>
  <Lines>243</Lines>
  <Paragraphs>68</Paragraphs>
  <TotalTime>7</TotalTime>
  <ScaleCrop>false</ScaleCrop>
  <LinksUpToDate>false</LinksUpToDate>
  <CharactersWithSpaces>23207</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陈哲琨</cp:lastModifiedBy>
  <cp:lastPrinted>2026-08-17T00:52:00Z</cp:lastPrinted>
  <dcterms:modified xsi:type="dcterms:W3CDTF">2026-08-26T12:57:24Z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2D7BFBFD652643C5BEF42C802BB6281B</vt:lpwstr>
  </property>
</Properties>
</file>