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kinsoku/>
        <w:wordWrap/>
        <w:overflowPunct/>
        <w:topLinePunct w:val="0"/>
        <w:bidi w:val="0"/>
        <w:snapToGrid/>
        <w:spacing w:before="0" w:beforeAutospacing="0" w:after="0" w:afterAutospacing="0" w:line="310" w:lineRule="exact"/>
        <w:jc w:val="center"/>
        <w:textAlignment w:val="auto"/>
        <w:outlineLvl w:val="0"/>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keepNext w:val="0"/>
        <w:keepLines w:val="0"/>
        <w:pageBreakBefore w:val="0"/>
        <w:kinsoku/>
        <w:wordWrap/>
        <w:overflowPunct/>
        <w:topLinePunct w:val="0"/>
        <w:bidi w:val="0"/>
        <w:snapToGrid/>
        <w:spacing w:before="0" w:beforeAutospacing="0" w:after="0" w:afterAutospacing="0" w:line="310" w:lineRule="exact"/>
        <w:jc w:val="center"/>
        <w:textAlignment w:val="auto"/>
        <w:outlineLvl w:val="0"/>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keepNext w:val="0"/>
        <w:keepLines w:val="0"/>
        <w:pageBreakBefore w:val="0"/>
        <w:kinsoku/>
        <w:wordWrap/>
        <w:overflowPunct/>
        <w:topLinePunct w:val="0"/>
        <w:bidi w:val="0"/>
        <w:snapToGrid/>
        <w:spacing w:before="0" w:beforeAutospacing="0" w:after="0" w:afterAutospacing="0" w:line="310" w:lineRule="exact"/>
        <w:jc w:val="center"/>
        <w:textAlignment w:val="auto"/>
        <w:outlineLvl w:val="0"/>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w:t>
      </w:r>
      <w:r>
        <w:rPr>
          <w:rFonts w:hint="eastAsia" w:ascii="楷体" w:hAnsi="楷体" w:eastAsia="楷体" w:cs="浠垮畫"/>
          <w:b/>
          <w:kern w:val="0"/>
          <w:sz w:val="21"/>
          <w:szCs w:val="21"/>
          <w:u w:val="single"/>
          <w:lang w:val="en-US" w:eastAsia="zh-CN"/>
        </w:rPr>
        <w:t>和</w:t>
      </w:r>
      <w:r>
        <w:rPr>
          <w:rFonts w:hint="eastAsia" w:ascii="楷体" w:hAnsi="楷体" w:eastAsia="楷体" w:cs="浠垮畫"/>
          <w:b/>
          <w:kern w:val="0"/>
          <w:sz w:val="21"/>
          <w:szCs w:val="21"/>
          <w:u w:val="single"/>
        </w:rPr>
        <w:t>兑付责任。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lang w:val="en-US" w:eastAsia="zh-CN"/>
        </w:rPr>
        <w:t>普通</w:t>
      </w:r>
      <w:r>
        <w:rPr>
          <w:rFonts w:hint="eastAsia" w:ascii="楷体" w:hAnsi="楷体" w:eastAsia="楷体" w:cs="浠垮畫"/>
          <w:kern w:val="0"/>
          <w:sz w:val="21"/>
          <w:szCs w:val="21"/>
        </w:rPr>
        <w:t>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投资者首次购买理财产品需进行开户，可持有效证件</w:t>
      </w:r>
      <w:r>
        <w:rPr>
          <w:rFonts w:hint="eastAsia" w:ascii="楷体" w:hAnsi="楷体" w:eastAsia="楷体" w:cs="楷体"/>
          <w:kern w:val="0"/>
          <w:sz w:val="21"/>
          <w:szCs w:val="21"/>
          <w:lang w:val="en-US" w:eastAsia="zh-CN"/>
        </w:rPr>
        <w:t>和相关材料（具体以代销机构所需材料为准）</w:t>
      </w:r>
      <w:r>
        <w:rPr>
          <w:rFonts w:hint="eastAsia" w:ascii="楷体" w:hAnsi="楷体" w:eastAsia="楷体" w:cs="楷体"/>
          <w:kern w:val="0"/>
          <w:sz w:val="21"/>
          <w:szCs w:val="21"/>
        </w:rPr>
        <w:t>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lang w:val="en-US" w:eastAsia="zh-CN"/>
        </w:rPr>
        <w:t>专业</w:t>
      </w:r>
      <w:r>
        <w:rPr>
          <w:rFonts w:hint="eastAsia" w:ascii="楷体" w:hAnsi="楷体" w:eastAsia="楷体" w:cs="浠垮畫"/>
          <w:kern w:val="0"/>
          <w:sz w:val="21"/>
          <w:szCs w:val="21"/>
        </w:rPr>
        <w:t>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专业</w:t>
      </w:r>
      <w:r>
        <w:rPr>
          <w:rFonts w:hint="eastAsia" w:ascii="楷体" w:hAnsi="楷体" w:eastAsia="楷体" w:cs="楷体"/>
          <w:kern w:val="0"/>
          <w:sz w:val="21"/>
          <w:szCs w:val="21"/>
        </w:rPr>
        <w:t>投资者首次购买理财产品需进行开户，可持有效</w:t>
      </w:r>
      <w:r>
        <w:rPr>
          <w:rFonts w:hint="eastAsia" w:ascii="楷体" w:hAnsi="楷体" w:eastAsia="楷体" w:cs="楷体"/>
          <w:kern w:val="0"/>
          <w:sz w:val="21"/>
          <w:szCs w:val="21"/>
          <w:lang w:val="en-US" w:eastAsia="zh-CN"/>
        </w:rPr>
        <w:t>证件和相关材料（具体以代销机构所需材料为准）</w:t>
      </w:r>
      <w:r>
        <w:rPr>
          <w:rFonts w:hint="eastAsia" w:ascii="楷体" w:hAnsi="楷体" w:eastAsia="楷体" w:cs="楷体"/>
          <w:kern w:val="0"/>
          <w:sz w:val="21"/>
          <w:szCs w:val="21"/>
        </w:rPr>
        <w:t>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outlineLvl w:val="0"/>
        <w:rPr>
          <w:rFonts w:hint="default" w:ascii="楷体" w:hAnsi="楷体" w:eastAsia="楷体" w:cs="浠垮畫"/>
          <w:b/>
          <w:kern w:val="0"/>
          <w:sz w:val="21"/>
          <w:szCs w:val="21"/>
          <w:lang w:val="en-US" w:eastAsia="zh-CN"/>
        </w:rPr>
      </w:pPr>
      <w:r>
        <w:rPr>
          <w:rFonts w:hint="eastAsia" w:ascii="楷体" w:hAnsi="楷体" w:eastAsia="楷体" w:cs="浠垮畫"/>
          <w:b/>
          <w:kern w:val="0"/>
          <w:sz w:val="21"/>
          <w:szCs w:val="21"/>
        </w:rPr>
        <w:t>二、产品内部风险评级</w:t>
      </w:r>
      <w:r>
        <w:rPr>
          <w:rFonts w:hint="eastAsia" w:ascii="楷体" w:hAnsi="楷体" w:eastAsia="楷体" w:cs="浠垮畫"/>
          <w:b/>
          <w:kern w:val="0"/>
          <w:sz w:val="21"/>
          <w:szCs w:val="21"/>
          <w:lang w:val="en-US" w:eastAsia="zh-CN"/>
        </w:rPr>
        <w:t>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430"/>
        <w:gridCol w:w="3437"/>
        <w:gridCol w:w="1910"/>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lang w:val="en-US" w:eastAsia="zh-CN"/>
              </w:rPr>
            </w:pPr>
            <w:r>
              <w:rPr>
                <w:rFonts w:hint="eastAsia" w:ascii="楷体" w:hAnsi="楷体" w:eastAsia="楷体" w:cs="浠垮畫"/>
                <w:kern w:val="0"/>
                <w:sz w:val="21"/>
                <w:szCs w:val="21"/>
                <w:lang w:val="en-US" w:eastAsia="zh-CN"/>
              </w:rPr>
              <w:t>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323" w:type="dxa"/>
            <w:tcBorders>
              <w:bottom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tcBorders>
              <w:bottom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3437" w:type="dxa"/>
            <w:tcBorders>
              <w:bottom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总体风险程度低，净值波动小，本金遭受损失的可能性低。</w:t>
            </w:r>
          </w:p>
        </w:tc>
        <w:tc>
          <w:tcPr>
            <w:tcW w:w="1910" w:type="dxa"/>
            <w:tcBorders>
              <w:bottom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1539" w:type="dxa"/>
            <w:tcBorders>
              <w:bottom w:val="single" w:color="auto" w:sz="4" w:space="0"/>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keepNext w:val="0"/>
        <w:keepLines w:val="0"/>
        <w:pageBreakBefore w:val="0"/>
        <w:widowControl w:val="0"/>
        <w:numPr>
          <w:numId w:val="0"/>
        </w:numPr>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lang w:eastAsia="zh-CN"/>
        </w:rPr>
        <w:t>（</w:t>
      </w:r>
      <w:r>
        <w:rPr>
          <w:rFonts w:hint="eastAsia" w:ascii="楷体" w:hAnsi="楷体" w:eastAsia="楷体" w:cs="浠垮畫"/>
          <w:kern w:val="0"/>
          <w:sz w:val="21"/>
          <w:szCs w:val="21"/>
          <w:lang w:val="en-US" w:eastAsia="zh-CN"/>
        </w:rPr>
        <w:t>一）</w:t>
      </w:r>
      <w:r>
        <w:rPr>
          <w:rFonts w:hint="eastAsia" w:ascii="楷体" w:hAnsi="楷体" w:eastAsia="楷体" w:cs="浠垮畫"/>
          <w:kern w:val="0"/>
          <w:sz w:val="21"/>
          <w:szCs w:val="21"/>
        </w:rPr>
        <w:t>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keepNext w:val="0"/>
        <w:keepLines w:val="0"/>
        <w:pageBreakBefore w:val="0"/>
        <w:numPr>
          <w:numId w:val="0"/>
        </w:numPr>
        <w:kinsoku/>
        <w:wordWrap/>
        <w:overflowPunct/>
        <w:topLinePunct w:val="0"/>
        <w:autoSpaceDE w:val="0"/>
        <w:autoSpaceDN w:val="0"/>
        <w:bidi w:val="0"/>
        <w:adjustRightInd w:val="0"/>
        <w:snapToGrid/>
        <w:spacing w:line="310" w:lineRule="exact"/>
        <w:ind w:leftChars="177"/>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lang w:eastAsia="zh-CN"/>
        </w:rPr>
        <w:t>（</w:t>
      </w:r>
      <w:r>
        <w:rPr>
          <w:rFonts w:hint="eastAsia" w:ascii="楷体" w:hAnsi="楷体" w:eastAsia="楷体" w:cs="浠垮畫"/>
          <w:kern w:val="0"/>
          <w:sz w:val="21"/>
          <w:szCs w:val="21"/>
          <w:lang w:val="en-US" w:eastAsia="zh-CN"/>
        </w:rPr>
        <w:t>二）</w:t>
      </w:r>
      <w:r>
        <w:rPr>
          <w:rFonts w:hint="eastAsia" w:ascii="楷体" w:hAnsi="楷体" w:eastAsia="楷体" w:cs="浠垮畫"/>
          <w:kern w:val="0"/>
          <w:sz w:val="21"/>
          <w:szCs w:val="21"/>
        </w:rPr>
        <w:t>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keepNext w:val="0"/>
        <w:keepLines w:val="0"/>
        <w:pageBreakBefore w:val="0"/>
        <w:numPr>
          <w:numId w:val="0"/>
        </w:numPr>
        <w:kinsoku/>
        <w:wordWrap/>
        <w:overflowPunct/>
        <w:topLinePunct w:val="0"/>
        <w:autoSpaceDE w:val="0"/>
        <w:autoSpaceDN w:val="0"/>
        <w:bidi w:val="0"/>
        <w:adjustRightInd w:val="0"/>
        <w:snapToGrid/>
        <w:spacing w:line="310" w:lineRule="exact"/>
        <w:ind w:leftChars="177"/>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lang w:eastAsia="zh-CN"/>
        </w:rPr>
        <w:t>（</w:t>
      </w:r>
      <w:r>
        <w:rPr>
          <w:rFonts w:hint="eastAsia" w:ascii="楷体" w:hAnsi="楷体" w:eastAsia="楷体" w:cs="浠垮畫"/>
          <w:kern w:val="0"/>
          <w:sz w:val="21"/>
          <w:szCs w:val="21"/>
          <w:lang w:val="en-US" w:eastAsia="zh-CN"/>
        </w:rPr>
        <w:t>三）</w:t>
      </w:r>
      <w:r>
        <w:rPr>
          <w:rFonts w:hint="eastAsia" w:ascii="楷体" w:hAnsi="楷体" w:eastAsia="楷体" w:cs="浠垮畫"/>
          <w:kern w:val="0"/>
          <w:sz w:val="21"/>
          <w:szCs w:val="21"/>
        </w:rPr>
        <w:t>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keepNext w:val="0"/>
        <w:keepLines w:val="0"/>
        <w:pageBreakBefore w:val="0"/>
        <w:numPr>
          <w:numId w:val="0"/>
        </w:numPr>
        <w:kinsoku/>
        <w:wordWrap/>
        <w:overflowPunct/>
        <w:topLinePunct w:val="0"/>
        <w:autoSpaceDE w:val="0"/>
        <w:autoSpaceDN w:val="0"/>
        <w:bidi w:val="0"/>
        <w:adjustRightInd w:val="0"/>
        <w:snapToGrid/>
        <w:spacing w:line="310" w:lineRule="exact"/>
        <w:ind w:leftChars="177"/>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lang w:eastAsia="zh-CN"/>
        </w:rPr>
        <w:t>（</w:t>
      </w:r>
      <w:r>
        <w:rPr>
          <w:rFonts w:hint="eastAsia" w:ascii="楷体" w:hAnsi="楷体" w:eastAsia="楷体" w:cs="浠垮畫"/>
          <w:kern w:val="0"/>
          <w:sz w:val="21"/>
          <w:szCs w:val="21"/>
          <w:lang w:val="en-US" w:eastAsia="zh-CN"/>
        </w:rPr>
        <w:t>四</w:t>
      </w:r>
      <w:r>
        <w:rPr>
          <w:rFonts w:hint="eastAsia" w:ascii="楷体" w:hAnsi="楷体" w:eastAsia="楷体" w:cs="浠垮畫"/>
          <w:kern w:val="0"/>
          <w:sz w:val="21"/>
          <w:szCs w:val="21"/>
          <w:lang w:eastAsia="zh-CN"/>
        </w:rPr>
        <w:t>）</w:t>
      </w:r>
      <w:r>
        <w:rPr>
          <w:rFonts w:hint="eastAsia" w:ascii="楷体" w:hAnsi="楷体" w:eastAsia="楷体" w:cs="浠垮畫"/>
          <w:kern w:val="0"/>
          <w:sz w:val="21"/>
          <w:szCs w:val="21"/>
        </w:rPr>
        <w:t>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keepNext w:val="0"/>
        <w:keepLines w:val="0"/>
        <w:pageBreakBefore w:val="0"/>
        <w:numPr>
          <w:numId w:val="0"/>
        </w:numPr>
        <w:kinsoku/>
        <w:wordWrap/>
        <w:overflowPunct/>
        <w:topLinePunct w:val="0"/>
        <w:autoSpaceDE w:val="0"/>
        <w:autoSpaceDN w:val="0"/>
        <w:bidi w:val="0"/>
        <w:adjustRightInd w:val="0"/>
        <w:snapToGrid/>
        <w:spacing w:line="310" w:lineRule="exact"/>
        <w:ind w:leftChars="177"/>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lang w:eastAsia="zh-CN"/>
        </w:rPr>
        <w:t>（</w:t>
      </w:r>
      <w:r>
        <w:rPr>
          <w:rFonts w:hint="eastAsia" w:ascii="楷体" w:hAnsi="楷体" w:eastAsia="楷体" w:cs="浠垮畫"/>
          <w:kern w:val="0"/>
          <w:sz w:val="21"/>
          <w:szCs w:val="21"/>
          <w:lang w:val="en-US" w:eastAsia="zh-CN"/>
        </w:rPr>
        <w:t>五）</w:t>
      </w:r>
      <w:r>
        <w:rPr>
          <w:rFonts w:hint="eastAsia" w:ascii="楷体" w:hAnsi="楷体" w:eastAsia="楷体" w:cs="浠垮畫"/>
          <w:kern w:val="0"/>
          <w:sz w:val="21"/>
          <w:szCs w:val="21"/>
        </w:rPr>
        <w:t>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ascii="楷体" w:hAnsi="楷体" w:eastAsia="楷体" w:cs="浠垮畫"/>
          <w:kern w:val="0"/>
          <w:sz w:val="21"/>
          <w:szCs w:val="21"/>
        </w:rPr>
        <w:t>（二）</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hAnsi="楷体" w:eastAsia="楷体" w:cs="浠垮畫"/>
          <w:kern w:val="0"/>
          <w:sz w:val="21"/>
          <w:szCs w:val="21"/>
        </w:rPr>
        <w:t>（三）</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hint="eastAsia" w:ascii="楷体" w:hAnsi="楷体" w:eastAsia="楷体" w:cs="浠垮畫"/>
          <w:kern w:val="0"/>
          <w:sz w:val="21"/>
          <w:szCs w:val="21"/>
        </w:rPr>
      </w:pP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投资者首次购买理财产品以及</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投资者超过一年未进行风险承受能力评估或发生可能影响自身风险承受能力的情况，均需进行风险承受能力评估。可至代销机构营业网点或登录电子渠道填写《风险承受能力评测问卷》，在知晓本人</w:t>
      </w:r>
      <w:r>
        <w:rPr>
          <w:rFonts w:hint="eastAsia" w:ascii="楷体" w:hAnsi="楷体" w:eastAsia="楷体" w:cs="楷体"/>
          <w:kern w:val="0"/>
          <w:sz w:val="21"/>
          <w:szCs w:val="21"/>
          <w:lang w:val="en-US" w:eastAsia="zh-CN"/>
        </w:rPr>
        <w:t>/本机构</w:t>
      </w:r>
      <w:r>
        <w:rPr>
          <w:rFonts w:hint="eastAsia" w:ascii="楷体" w:hAnsi="楷体" w:eastAsia="楷体" w:cs="楷体"/>
          <w:kern w:val="0"/>
          <w:sz w:val="21"/>
          <w:szCs w:val="21"/>
        </w:rPr>
        <w:t>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投资者是否适合购买理财产品的重要因素，</w:t>
      </w:r>
      <w:r>
        <w:rPr>
          <w:rFonts w:hint="eastAsia" w:ascii="楷体" w:hAnsi="楷体" w:eastAsia="楷体" w:cs="浠垮畫"/>
          <w:kern w:val="0"/>
          <w:sz w:val="21"/>
          <w:szCs w:val="21"/>
          <w:lang w:val="en-US" w:eastAsia="zh-CN"/>
        </w:rPr>
        <w:t>普通投资者适合购买的理财产品风险评级应不高于风险承受能力评级。</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w:t>
      </w:r>
      <w:r>
        <w:rPr>
          <w:rFonts w:hint="eastAsia" w:ascii="楷体" w:hAnsi="楷体" w:eastAsia="楷体" w:cs="浠垮畫"/>
          <w:kern w:val="0"/>
          <w:sz w:val="21"/>
          <w:szCs w:val="21"/>
          <w:lang w:val="en-US" w:eastAsia="zh-CN"/>
        </w:rPr>
        <w:t>机构</w:t>
      </w:r>
      <w:r>
        <w:rPr>
          <w:rFonts w:hint="eastAsia" w:ascii="楷体" w:hAnsi="楷体" w:eastAsia="楷体" w:cs="浠垮畫"/>
          <w:kern w:val="0"/>
          <w:sz w:val="21"/>
          <w:szCs w:val="21"/>
        </w:rPr>
        <w:t>在销售过程中</w:t>
      </w:r>
      <w:r>
        <w:rPr>
          <w:rFonts w:ascii="楷体" w:hAnsi="楷体" w:eastAsia="楷体" w:cs="浠垮畫"/>
          <w:kern w:val="0"/>
          <w:sz w:val="21"/>
          <w:szCs w:val="21"/>
        </w:rPr>
        <w:t>应确保</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rPr>
        <w:t>（二）信息披露频率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2.定期公告：</w:t>
      </w:r>
      <w:r>
        <w:rPr>
          <w:rFonts w:hint="eastAsia" w:ascii="楷体" w:hAnsi="楷体" w:eastAsia="楷体" w:cs="楷体"/>
          <w:color w:val="auto"/>
          <w:sz w:val="21"/>
          <w:szCs w:val="21"/>
        </w:rPr>
        <w:t>管理人在每个季度结束之日起15个工作日内</w:t>
      </w:r>
      <w:r>
        <w:rPr>
          <w:rFonts w:hint="eastAsia" w:ascii="楷体" w:hAnsi="楷体" w:eastAsia="楷体" w:cs="楷体"/>
          <w:color w:val="auto"/>
          <w:sz w:val="21"/>
          <w:szCs w:val="21"/>
          <w:lang w:val="en-US" w:eastAsia="zh-CN"/>
        </w:rPr>
        <w:t>披露产品的季度报告，每年8月31日前披露产品的半年度报告，每年4月30日前披露产品上一年度的年度报告。</w:t>
      </w:r>
      <w:r>
        <w:rPr>
          <w:rFonts w:hint="eastAsia" w:ascii="楷体" w:hAnsi="楷体" w:eastAsia="楷体" w:cs="楷体"/>
          <w:color w:val="auto"/>
          <w:sz w:val="21"/>
          <w:szCs w:val="21"/>
        </w:rPr>
        <w:t>产品成立不足90个</w:t>
      </w:r>
      <w:r>
        <w:rPr>
          <w:rFonts w:hint="eastAsia" w:ascii="楷体" w:hAnsi="楷体" w:eastAsia="楷体" w:cs="楷体"/>
          <w:color w:val="auto"/>
          <w:sz w:val="21"/>
          <w:szCs w:val="21"/>
          <w:lang w:val="en-US" w:eastAsia="zh-CN"/>
        </w:rPr>
        <w:t>自然日</w:t>
      </w:r>
      <w:r>
        <w:rPr>
          <w:rFonts w:hint="eastAsia" w:ascii="楷体" w:hAnsi="楷体" w:eastAsia="楷体" w:cs="楷体"/>
          <w:color w:val="auto"/>
          <w:sz w:val="21"/>
          <w:szCs w:val="21"/>
        </w:rPr>
        <w:t>的，管理人</w:t>
      </w:r>
      <w:r>
        <w:rPr>
          <w:rFonts w:hint="eastAsia" w:ascii="楷体" w:hAnsi="楷体" w:eastAsia="楷体" w:cs="楷体"/>
          <w:color w:val="auto"/>
          <w:sz w:val="21"/>
          <w:szCs w:val="21"/>
          <w:lang w:val="en-US" w:eastAsia="zh-CN"/>
        </w:rPr>
        <w:t>可以</w:t>
      </w:r>
      <w:r>
        <w:rPr>
          <w:rFonts w:hint="eastAsia" w:ascii="楷体" w:hAnsi="楷体" w:eastAsia="楷体" w:cs="楷体"/>
          <w:color w:val="auto"/>
          <w:sz w:val="21"/>
          <w:szCs w:val="21"/>
        </w:rPr>
        <w:t>不编制当期的季度、半年和年度报告；内容包括理财产品的存续规模、收益表现，</w:t>
      </w:r>
      <w:r>
        <w:rPr>
          <w:rFonts w:hint="eastAsia" w:ascii="楷体" w:hAnsi="楷体" w:eastAsia="楷体" w:cs="楷体"/>
          <w:color w:val="auto"/>
          <w:sz w:val="21"/>
          <w:szCs w:val="21"/>
          <w:lang w:val="en-US" w:eastAsia="zh-CN"/>
        </w:rPr>
        <w:t>产品主要投资资产情况</w:t>
      </w:r>
      <w:r>
        <w:rPr>
          <w:rFonts w:hint="eastAsia" w:ascii="楷体" w:hAnsi="楷体" w:eastAsia="楷体" w:cs="楷体"/>
          <w:color w:val="auto"/>
          <w:sz w:val="21"/>
          <w:szCs w:val="21"/>
        </w:rPr>
        <w:t>、投资组合的流动性风险分析，以及前十项资产具体名称、规模和比例等信息。针对现金管理类产品，管理人将在理财产品的半年和年度报告中披露理财产品前10名投资者的类别、持有份额及占总份额的比例等信息。现金管理类产品存续期间，如出现单一投资者持有产品份额达到或者超过该产品总份额20%的情形，为保障其他投资者的权益，管理人将在定期报告中披露该投资者的类别、持有份额及占比、持有份额变化情况及产品风险等信息，监管机构认定的特殊情形除外。</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4.产品净值披露：</w:t>
      </w:r>
      <w:r>
        <w:rPr>
          <w:rFonts w:hint="eastAsia" w:ascii="楷体" w:hAnsi="楷体" w:eastAsia="楷体" w:cs="楷体"/>
          <w:color w:val="auto"/>
          <w:sz w:val="21"/>
          <w:szCs w:val="21"/>
          <w:highlight w:val="none"/>
          <w:lang w:val="en-US" w:eastAsia="zh-CN"/>
        </w:rPr>
        <w:t>公募封闭式产品和处于封闭期的定期开放式产品至少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和资产净值；公募开放式产品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；私募产品至少每季度向投资者披露一次产品的份额净值、份额累计净值、资产净值，以管理人实际披露为准；现金管理类产品在每个开放日披露上一开放日每万份收益和七日年化收益率。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hAnsi="楷体" w:eastAsia="楷体" w:cs="浠垮畫"/>
          <w:kern w:val="0"/>
          <w:sz w:val="21"/>
          <w:szCs w:val="21"/>
        </w:rPr>
      </w:pPr>
      <w:r>
        <w:rPr>
          <w:rFonts w:hint="eastAsia" w:ascii="楷体" w:hAnsi="楷体" w:eastAsia="楷体" w:cs="浠垮畫"/>
          <w:kern w:val="0"/>
          <w:sz w:val="21"/>
          <w:szCs w:val="21"/>
          <w:lang w:val="en-US" w:eastAsia="zh-CN"/>
        </w:rPr>
        <w:t>5</w:t>
      </w:r>
      <w:r>
        <w:rPr>
          <w:rFonts w:hint="eastAsia" w:ascii="楷体" w:hAnsi="楷体" w:eastAsia="楷体" w:cs="浠垮畫"/>
          <w:kern w:val="0"/>
          <w:sz w:val="21"/>
          <w:szCs w:val="21"/>
        </w:rPr>
        <w:t>.临时性信息披露：</w:t>
      </w:r>
      <w:r>
        <w:rPr>
          <w:rFonts w:hint="eastAsia" w:ascii="楷体" w:hAnsi="楷体" w:eastAsia="楷体" w:cs="Calibri"/>
          <w:color w:val="auto"/>
          <w:sz w:val="21"/>
          <w:szCs w:val="21"/>
        </w:rPr>
        <w:t>管理人将及时披露国务院银行业监督管理机构规定的其他信息。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lang w:val="en-US" w:eastAsia="zh-CN"/>
        </w:rPr>
        <w:t>6</w:t>
      </w:r>
      <w:r>
        <w:rPr>
          <w:rFonts w:hint="eastAsia" w:ascii="楷体" w:hAnsi="楷体" w:eastAsia="楷体" w:cs="浠垮畫"/>
          <w:kern w:val="0"/>
          <w:sz w:val="21"/>
          <w:szCs w:val="21"/>
        </w:rPr>
        <w:t>.半年度整体报告：每半年披露从事理财业务活动的有关信息。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lang w:val="en-US" w:eastAsia="zh-CN"/>
        </w:rPr>
        <w:t>7</w:t>
      </w:r>
      <w:r>
        <w:rPr>
          <w:rFonts w:hint="eastAsia" w:ascii="楷体" w:hAnsi="楷体" w:eastAsia="楷体" w:cs="浠垮畫"/>
          <w:kern w:val="0"/>
          <w:sz w:val="21"/>
          <w:szCs w:val="21"/>
        </w:rPr>
        <w:t>.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1.苏银理财</w:t>
      </w:r>
      <w:r>
        <w:rPr>
          <w:rFonts w:hint="eastAsia" w:ascii="楷体" w:hAnsi="楷体" w:eastAsia="楷体" w:cs="楷体"/>
          <w:sz w:val="21"/>
          <w:szCs w:val="21"/>
          <w:highlight w:val="none"/>
        </w:rPr>
        <w:t>通过</w:t>
      </w:r>
      <w:r>
        <w:rPr>
          <w:rFonts w:hint="eastAsia" w:ascii="楷体" w:hAnsi="楷体" w:eastAsia="楷体" w:cs="楷体"/>
          <w:sz w:val="21"/>
          <w:szCs w:val="21"/>
          <w:highlight w:val="none"/>
          <w:lang w:val="en-US" w:eastAsia="zh-CN"/>
        </w:rPr>
        <w:t>中国理财网（www.chinawealth.com.cn)、</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公募理财产品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通过</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私募理财产品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短信或代销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2"/>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r>
        <w:rPr>
          <w:sz w:val="21"/>
          <w:szCs w:val="21"/>
        </w:rPr>
        <w:pict>
          <v:shape id="_x0000_s2050" o:spid="_x0000_s2050" o:spt="75" alt="" type="#_x0000_t75" style="position:absolute;left:0pt;margin-left:128.3pt;margin-top:15.25pt;height:243.65pt;width:249.9pt;z-index:251659264;mso-width-relative:page;mso-height-relative:page;" o:ole="t" filled="f" o:preferrelative="t" stroked="f" coordsize="21600,21600">
            <v:path/>
            <v:fill on="f" focussize="0,0"/>
            <v:stroke on="f"/>
            <v:imagedata r:id="rId9" o:title=""/>
            <o:lock v:ext="edit" aspectratio="t"/>
          </v:shape>
          <o:OLEObject Type="Embed" ProgID="Visio.Drawing.11" ShapeID="_x0000_s2050" DrawAspect="Content" ObjectID="_1468075725" r:id="rId8">
            <o:LockedField>false</o:LockedField>
          </o:OLEObject>
        </w:pict>
      </w: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hint="eastAsia" w:ascii="楷体" w:hAnsi="楷体" w:eastAsia="楷体" w:cs="浠垮畫"/>
          <w:kern w:val="0"/>
          <w:sz w:val="21"/>
          <w:szCs w:val="21"/>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r>
        <w:rPr>
          <w:rFonts w:hint="eastAsia"/>
          <w:sz w:val="21"/>
          <w:szCs w:val="21"/>
          <w:lang w:eastAsia="zh-CN"/>
        </w:rPr>
        <w:tab/>
      </w: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ascii="楷体" w:hAnsi="楷体" w:eastAsia="楷体" w:cs="浠垮畫"/>
          <w:kern w:val="0"/>
          <w:sz w:val="21"/>
          <w:szCs w:val="21"/>
        </w:rPr>
      </w:pPr>
      <w:r>
        <w:rPr>
          <w:rFonts w:hint="eastAsia"/>
          <w:sz w:val="21"/>
          <w:szCs w:val="21"/>
          <w:lang w:eastAsia="zh-CN"/>
        </w:rPr>
        <w:tab/>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2"/>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keepNext w:val="0"/>
        <w:keepLines w:val="0"/>
        <w:pageBreakBefore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lang w:val="en-US" w:eastAsia="zh-CN"/>
        </w:rPr>
      </w:pPr>
      <w:bookmarkStart w:id="0" w:name="_GoBack"/>
      <w:bookmarkEnd w:id="0"/>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hint="eastAsia" w:ascii="楷体" w:hAnsi="楷体" w:eastAsia="楷体" w:cs="浠垮畫"/>
          <w:b/>
          <w:kern w:val="0"/>
          <w:sz w:val="21"/>
          <w:szCs w:val="21"/>
          <w:lang w:val="en-US" w:eastAsia="zh-CN"/>
        </w:rPr>
      </w:pPr>
      <w:r>
        <w:rPr>
          <w:rFonts w:ascii="楷体" w:hAnsi="楷体" w:eastAsia="楷体" w:cs="浠垮畫"/>
          <w:kern w:val="0"/>
          <w:sz w:val="21"/>
          <w:szCs w:val="21"/>
        </w:rPr>
        <w:t>（二）代销机构联络方式详见</w:t>
      </w:r>
      <w:r>
        <w:rPr>
          <w:rFonts w:hint="eastAsia" w:ascii="楷体" w:hAnsi="楷体" w:eastAsia="楷体" w:cs="浠垮畫"/>
          <w:kern w:val="0"/>
          <w:sz w:val="21"/>
          <w:szCs w:val="21"/>
          <w:lang w:eastAsia="zh-CN"/>
        </w:rPr>
        <w:t>《</w:t>
      </w:r>
      <w:r>
        <w:rPr>
          <w:rFonts w:hint="eastAsia" w:ascii="楷体" w:hAnsi="楷体" w:eastAsia="楷体" w:cs="浠垮畫"/>
          <w:kern w:val="0"/>
          <w:sz w:val="21"/>
          <w:szCs w:val="21"/>
          <w:lang w:val="en-US" w:eastAsia="zh-CN"/>
        </w:rPr>
        <w:t>理财产品说明书》及</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keepNext w:val="0"/>
        <w:keepLines w:val="0"/>
        <w:pageBreakBefore w:val="0"/>
        <w:kinsoku/>
        <w:wordWrap/>
        <w:overflowPunct/>
        <w:topLinePunct w:val="0"/>
        <w:bidi w:val="0"/>
        <w:snapToGrid/>
        <w:spacing w:line="310" w:lineRule="exact"/>
        <w:textAlignment w:val="auto"/>
        <w:rPr>
          <w:rFonts w:hint="eastAsia" w:ascii="楷体" w:hAnsi="楷体" w:eastAsia="楷体"/>
          <w:sz w:val="21"/>
          <w:szCs w:val="21"/>
        </w:rPr>
      </w:pPr>
    </w:p>
    <w:p>
      <w:pPr>
        <w:keepNext w:val="0"/>
        <w:keepLines w:val="0"/>
        <w:pageBreakBefore w:val="0"/>
        <w:kinsoku/>
        <w:wordWrap/>
        <w:overflowPunct/>
        <w:topLinePunct w:val="0"/>
        <w:bidi w:val="0"/>
        <w:snapToGrid/>
        <w:spacing w:line="310" w:lineRule="exact"/>
        <w:ind w:firstLine="420" w:firstLineChars="200"/>
        <w:textAlignment w:val="auto"/>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2336"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3" name="WordPictureWatermark367128483" descr="C:\Users\sylc\Desktop\水印.jpg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C:\Users\sylc\Desktop\水印.jpg水印"/>
                  <pic:cNvPicPr>
                    <a:picLocks noChangeAspect="1"/>
                  </pic:cNvPicPr>
                </pic:nvPicPr>
                <pic:blipFill>
                  <a:blip r:embed="rId1"/>
                  <a:srcRect/>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3360"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5F612C1"/>
    <w:rsid w:val="061606D5"/>
    <w:rsid w:val="06163E98"/>
    <w:rsid w:val="067C4002"/>
    <w:rsid w:val="068635D4"/>
    <w:rsid w:val="06891246"/>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145FF2"/>
    <w:rsid w:val="11901742"/>
    <w:rsid w:val="11EC350B"/>
    <w:rsid w:val="132135EE"/>
    <w:rsid w:val="13A4655C"/>
    <w:rsid w:val="13B41353"/>
    <w:rsid w:val="13EB4DC2"/>
    <w:rsid w:val="1480482F"/>
    <w:rsid w:val="149E4339"/>
    <w:rsid w:val="14F13D78"/>
    <w:rsid w:val="158E7E44"/>
    <w:rsid w:val="15CF287D"/>
    <w:rsid w:val="16622E99"/>
    <w:rsid w:val="16D34A53"/>
    <w:rsid w:val="175F5C40"/>
    <w:rsid w:val="1778451C"/>
    <w:rsid w:val="18485B9A"/>
    <w:rsid w:val="192B2CC4"/>
    <w:rsid w:val="19C95FDB"/>
    <w:rsid w:val="1A7344DD"/>
    <w:rsid w:val="1AFA522F"/>
    <w:rsid w:val="1B081AAC"/>
    <w:rsid w:val="1B1644A1"/>
    <w:rsid w:val="1B5015DA"/>
    <w:rsid w:val="1BAA64F0"/>
    <w:rsid w:val="1E6C1577"/>
    <w:rsid w:val="1EAE1EFC"/>
    <w:rsid w:val="1EDD2B2F"/>
    <w:rsid w:val="1F5E32BF"/>
    <w:rsid w:val="1F645569"/>
    <w:rsid w:val="208C27F0"/>
    <w:rsid w:val="21994ACB"/>
    <w:rsid w:val="224E1196"/>
    <w:rsid w:val="225459BF"/>
    <w:rsid w:val="23D746D9"/>
    <w:rsid w:val="23DE761C"/>
    <w:rsid w:val="23FC3497"/>
    <w:rsid w:val="247058DA"/>
    <w:rsid w:val="24771EED"/>
    <w:rsid w:val="24AE36B3"/>
    <w:rsid w:val="25AB0BC2"/>
    <w:rsid w:val="26930344"/>
    <w:rsid w:val="26AF2958"/>
    <w:rsid w:val="2715189C"/>
    <w:rsid w:val="27E62C48"/>
    <w:rsid w:val="27EE4691"/>
    <w:rsid w:val="284D27E8"/>
    <w:rsid w:val="28A904E4"/>
    <w:rsid w:val="29374942"/>
    <w:rsid w:val="2C9F7A9F"/>
    <w:rsid w:val="2CA03B11"/>
    <w:rsid w:val="2CA704E8"/>
    <w:rsid w:val="2D2C1113"/>
    <w:rsid w:val="2DB23EAD"/>
    <w:rsid w:val="313A5F04"/>
    <w:rsid w:val="31A326AD"/>
    <w:rsid w:val="31AB73B6"/>
    <w:rsid w:val="32C92B17"/>
    <w:rsid w:val="32E06116"/>
    <w:rsid w:val="32E13316"/>
    <w:rsid w:val="3301632F"/>
    <w:rsid w:val="3302137C"/>
    <w:rsid w:val="336B039B"/>
    <w:rsid w:val="340121F5"/>
    <w:rsid w:val="34A623E5"/>
    <w:rsid w:val="34F33587"/>
    <w:rsid w:val="351C08D6"/>
    <w:rsid w:val="353B7940"/>
    <w:rsid w:val="35AA0E18"/>
    <w:rsid w:val="35F64290"/>
    <w:rsid w:val="36402E31"/>
    <w:rsid w:val="36433849"/>
    <w:rsid w:val="365D339C"/>
    <w:rsid w:val="368A2ACE"/>
    <w:rsid w:val="38563E9E"/>
    <w:rsid w:val="39910BD7"/>
    <w:rsid w:val="3A7007EE"/>
    <w:rsid w:val="3B93114B"/>
    <w:rsid w:val="3B9519DF"/>
    <w:rsid w:val="3BE57419"/>
    <w:rsid w:val="3C0561A0"/>
    <w:rsid w:val="3D153712"/>
    <w:rsid w:val="3D205CE9"/>
    <w:rsid w:val="3E2D678E"/>
    <w:rsid w:val="3E335F6C"/>
    <w:rsid w:val="3FBE4A8F"/>
    <w:rsid w:val="3FDD0FD4"/>
    <w:rsid w:val="404C5434"/>
    <w:rsid w:val="40CE75B7"/>
    <w:rsid w:val="429912A4"/>
    <w:rsid w:val="42CC1880"/>
    <w:rsid w:val="44DF4FDA"/>
    <w:rsid w:val="457318CB"/>
    <w:rsid w:val="46562673"/>
    <w:rsid w:val="465E26CD"/>
    <w:rsid w:val="465F29F9"/>
    <w:rsid w:val="46996AFD"/>
    <w:rsid w:val="47665A62"/>
    <w:rsid w:val="4A120FE1"/>
    <w:rsid w:val="4A9D0981"/>
    <w:rsid w:val="4C0F7955"/>
    <w:rsid w:val="4CD07FEC"/>
    <w:rsid w:val="4DB908E0"/>
    <w:rsid w:val="4E96120B"/>
    <w:rsid w:val="4EB23DF4"/>
    <w:rsid w:val="4FF5172F"/>
    <w:rsid w:val="50062B08"/>
    <w:rsid w:val="502E27B1"/>
    <w:rsid w:val="50975EFF"/>
    <w:rsid w:val="51603484"/>
    <w:rsid w:val="518566CD"/>
    <w:rsid w:val="51DE4762"/>
    <w:rsid w:val="52424902"/>
    <w:rsid w:val="5271353A"/>
    <w:rsid w:val="52756E32"/>
    <w:rsid w:val="53CF76BD"/>
    <w:rsid w:val="53E64A5C"/>
    <w:rsid w:val="53F520EF"/>
    <w:rsid w:val="53F9098C"/>
    <w:rsid w:val="54BD1793"/>
    <w:rsid w:val="55221270"/>
    <w:rsid w:val="55B56202"/>
    <w:rsid w:val="55F2162B"/>
    <w:rsid w:val="56C54909"/>
    <w:rsid w:val="57516CEC"/>
    <w:rsid w:val="577B3BA6"/>
    <w:rsid w:val="57F24C5E"/>
    <w:rsid w:val="59AB3818"/>
    <w:rsid w:val="5A594CC3"/>
    <w:rsid w:val="5CD96FFC"/>
    <w:rsid w:val="5D1041BB"/>
    <w:rsid w:val="5E6E1B79"/>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BC0046F"/>
    <w:rsid w:val="6CDB178F"/>
    <w:rsid w:val="6D4B40C0"/>
    <w:rsid w:val="6FAE3061"/>
    <w:rsid w:val="6FC56DEE"/>
    <w:rsid w:val="71084330"/>
    <w:rsid w:val="7282195C"/>
    <w:rsid w:val="72D967C4"/>
    <w:rsid w:val="7396760B"/>
    <w:rsid w:val="73A56C56"/>
    <w:rsid w:val="73D33EF5"/>
    <w:rsid w:val="74966354"/>
    <w:rsid w:val="751B0501"/>
    <w:rsid w:val="75213D37"/>
    <w:rsid w:val="755D7996"/>
    <w:rsid w:val="75626B88"/>
    <w:rsid w:val="75784475"/>
    <w:rsid w:val="75B708C9"/>
    <w:rsid w:val="75C003BD"/>
    <w:rsid w:val="763900A2"/>
    <w:rsid w:val="767E6C03"/>
    <w:rsid w:val="77667C2A"/>
    <w:rsid w:val="786D6001"/>
    <w:rsid w:val="791B3E20"/>
    <w:rsid w:val="794569C4"/>
    <w:rsid w:val="7AB620DF"/>
    <w:rsid w:val="7B54390E"/>
    <w:rsid w:val="7C020026"/>
    <w:rsid w:val="7C254D3D"/>
    <w:rsid w:val="7EE06DF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陈哲琨</cp:lastModifiedBy>
  <cp:lastPrinted>2021-08-02T07:25:00Z</cp:lastPrinted>
  <dcterms:modified xsi:type="dcterms:W3CDTF">2026-08-26T10:03:42Z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2C91D1EC7F8F4BB5A4CB305790FBFF45</vt:lpwstr>
  </property>
</Properties>
</file>