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951FE" w:rsidRDefault="00B5351E">
      <w:pPr>
        <w:widowControl/>
        <w:spacing w:line="360" w:lineRule="auto"/>
        <w:jc w:val="center"/>
        <w:rPr>
          <w:rFonts w:ascii="黑体" w:eastAsia="黑体" w:hAnsi="黑体"/>
          <w:b/>
          <w:sz w:val="28"/>
          <w:szCs w:val="28"/>
        </w:rPr>
      </w:pPr>
      <w:bookmarkStart w:id="0" w:name="_GoBack"/>
      <w:bookmarkEnd w:id="0"/>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B5351E">
      <w:pPr>
        <w:widowControl/>
        <w:spacing w:line="360" w:lineRule="auto"/>
        <w:jc w:val="center"/>
        <w:rPr>
          <w:b/>
          <w:szCs w:val="21"/>
        </w:rPr>
      </w:pPr>
      <w:r>
        <w:rPr>
          <w:rFonts w:ascii="黑体" w:eastAsia="黑体" w:hAnsi="黑体" w:hint="eastAsia"/>
          <w:b/>
          <w:sz w:val="44"/>
          <w:szCs w:val="44"/>
        </w:rPr>
        <w:t>兴银理财天天万利宝稳利净值型理财产品销售文件</w:t>
      </w:r>
    </w:p>
    <w:tbl>
      <w:tblPr>
        <w:tblStyle w:val="af9"/>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A951FE">
        <w:trPr>
          <w:jc w:val="center"/>
        </w:trPr>
        <w:tc>
          <w:tcPr>
            <w:tcW w:w="990" w:type="dxa"/>
          </w:tcPr>
          <w:p w:rsidR="00A951FE" w:rsidRDefault="00B5351E">
            <w:pPr>
              <w:pStyle w:val="afc"/>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A951FE" w:rsidRDefault="00B5351E">
            <w:pPr>
              <w:pStyle w:val="afc"/>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A951FE" w:rsidRDefault="00B5351E">
            <w:pPr>
              <w:pStyle w:val="afc"/>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A951FE">
        <w:trPr>
          <w:jc w:val="center"/>
        </w:trPr>
        <w:tc>
          <w:tcPr>
            <w:tcW w:w="990" w:type="dxa"/>
          </w:tcPr>
          <w:p w:rsidR="00A951FE" w:rsidRDefault="00B5351E">
            <w:pPr>
              <w:pStyle w:val="afc"/>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兴银理财天天万利宝稳利净值型理财产品投资协议书</w:t>
            </w:r>
            <w:r>
              <w:rPr>
                <w:rFonts w:ascii="宋体" w:hAnsi="宋体"/>
                <w:kern w:val="0"/>
                <w:sz w:val="20"/>
                <w:szCs w:val="21"/>
              </w:rPr>
              <w:t xml:space="preserve"> </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A951FE">
        <w:trPr>
          <w:trHeight w:val="323"/>
          <w:jc w:val="center"/>
        </w:trPr>
        <w:tc>
          <w:tcPr>
            <w:tcW w:w="990" w:type="dxa"/>
          </w:tcPr>
          <w:p w:rsidR="00A951FE" w:rsidRDefault="00B5351E">
            <w:pPr>
              <w:pStyle w:val="afc"/>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兴银理财天天万利宝稳利净值型理财产品产品说明书</w:t>
            </w:r>
          </w:p>
        </w:tc>
        <w:tc>
          <w:tcPr>
            <w:tcW w:w="1924" w:type="dxa"/>
          </w:tcPr>
          <w:p w:rsidR="00A951FE" w:rsidRDefault="00B5351E">
            <w:pPr>
              <w:pStyle w:val="afc"/>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A951FE">
        <w:trPr>
          <w:jc w:val="center"/>
        </w:trPr>
        <w:tc>
          <w:tcPr>
            <w:tcW w:w="990" w:type="dxa"/>
          </w:tcPr>
          <w:p w:rsidR="00A951FE" w:rsidRDefault="00B5351E">
            <w:pPr>
              <w:pStyle w:val="afc"/>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兴银理财天天万利宝稳利净值型理财产品（代理）销售协议书</w:t>
            </w:r>
          </w:p>
        </w:tc>
        <w:tc>
          <w:tcPr>
            <w:tcW w:w="1924" w:type="dxa"/>
          </w:tcPr>
          <w:p w:rsidR="00A951FE" w:rsidRDefault="00B5351E">
            <w:pPr>
              <w:pStyle w:val="afc"/>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A951FE">
        <w:trPr>
          <w:jc w:val="center"/>
        </w:trPr>
        <w:tc>
          <w:tcPr>
            <w:tcW w:w="990" w:type="dxa"/>
          </w:tcPr>
          <w:p w:rsidR="00A951FE" w:rsidRDefault="00B5351E">
            <w:pPr>
              <w:pStyle w:val="afc"/>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兴银理财天天万利宝稳利净值型理财产品风险揭示书</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A951FE">
        <w:trPr>
          <w:trHeight w:val="431"/>
          <w:jc w:val="center"/>
        </w:trPr>
        <w:tc>
          <w:tcPr>
            <w:tcW w:w="990" w:type="dxa"/>
          </w:tcPr>
          <w:p w:rsidR="00A951FE" w:rsidRDefault="00B5351E">
            <w:pPr>
              <w:pStyle w:val="afc"/>
              <w:widowControl/>
              <w:spacing w:line="360" w:lineRule="auto"/>
              <w:ind w:firstLineChars="0" w:firstLine="0"/>
              <w:jc w:val="center"/>
              <w:rPr>
                <w:rFonts w:ascii="宋体" w:hAnsi="宋体"/>
                <w:kern w:val="0"/>
                <w:szCs w:val="21"/>
              </w:rPr>
            </w:pPr>
            <w:r>
              <w:rPr>
                <w:rFonts w:ascii="宋体" w:hAnsi="宋体"/>
                <w:kern w:val="0"/>
                <w:sz w:val="20"/>
                <w:szCs w:val="21"/>
              </w:rPr>
              <w:lastRenderedPageBreak/>
              <w:t>5</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兴银理财天天万利宝稳利净值型理财产品投资者权益须知</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A951FE" w:rsidRDefault="00B5351E">
      <w:pPr>
        <w:widowControl/>
        <w:spacing w:line="360" w:lineRule="auto"/>
        <w:jc w:val="left"/>
        <w:rPr>
          <w:rFonts w:ascii="黑体" w:eastAsia="黑体" w:hAnsi="黑体"/>
          <w:b/>
          <w:szCs w:val="21"/>
        </w:rPr>
      </w:pPr>
      <w:r>
        <w:rPr>
          <w:rFonts w:ascii="黑体" w:eastAsia="黑体" w:hAnsi="黑体" w:hint="eastAsia"/>
          <w:b/>
          <w:szCs w:val="21"/>
        </w:rPr>
        <w:t>郑重提示：</w:t>
      </w:r>
    </w:p>
    <w:p w:rsidR="00A951FE" w:rsidRDefault="00B5351E">
      <w:pPr>
        <w:pStyle w:val="afc"/>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A951FE" w:rsidRDefault="00B5351E">
      <w:pPr>
        <w:pStyle w:val="afc"/>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A951FE" w:rsidRDefault="00B5351E">
      <w:pPr>
        <w:pStyle w:val="afc"/>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A951FE" w:rsidRDefault="00B5351E">
      <w:pPr>
        <w:pStyle w:val="afc"/>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A951FE" w:rsidRDefault="00B5351E">
      <w:pPr>
        <w:pStyle w:val="afc"/>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w:t>
      </w:r>
      <w:r>
        <w:rPr>
          <w:rFonts w:ascii="黑体" w:eastAsia="黑体" w:hAnsi="黑体" w:hint="eastAsia"/>
          <w:kern w:val="0"/>
          <w:szCs w:val="21"/>
        </w:rPr>
        <w:lastRenderedPageBreak/>
        <w:t>虑后自行决定购买与自身风险承受能力和资产管理需求匹配的理财产品，如影响您风险承受能力的因素发生变化，请及时重新完成风险承受能力评估。</w:t>
      </w:r>
    </w:p>
    <w:p w:rsidR="00A951FE" w:rsidRDefault="00B5351E">
      <w:pPr>
        <w:pStyle w:val="afc"/>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A951FE" w:rsidRDefault="00B5351E">
      <w:pPr>
        <w:pStyle w:val="afc"/>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A951FE" w:rsidRPr="007E3D32" w:rsidRDefault="00A951FE">
      <w:pPr>
        <w:tabs>
          <w:tab w:val="left" w:pos="6660"/>
        </w:tabs>
        <w:spacing w:line="360" w:lineRule="auto"/>
        <w:jc w:val="center"/>
        <w:rPr>
          <w:bCs/>
          <w:sz w:val="44"/>
        </w:rPr>
      </w:pPr>
    </w:p>
    <w:p w:rsidR="00A951FE" w:rsidRDefault="00B5351E">
      <w:pPr>
        <w:widowControl/>
        <w:spacing w:line="360" w:lineRule="auto"/>
        <w:jc w:val="center"/>
        <w:rPr>
          <w:rStyle w:val="af4"/>
          <w:rFonts w:ascii="宋体" w:hAnsi="宋体"/>
          <w:sz w:val="30"/>
          <w:szCs w:val="30"/>
        </w:rPr>
      </w:pPr>
      <w:r>
        <w:rPr>
          <w:rFonts w:ascii="宋体" w:hAnsi="宋体" w:hint="eastAsia"/>
          <w:b/>
          <w:sz w:val="30"/>
          <w:szCs w:val="30"/>
        </w:rPr>
        <w:t>理财非存款、产品有风险、投资须谨慎！</w:t>
      </w:r>
    </w:p>
    <w:p w:rsidR="00A951FE" w:rsidRDefault="00A951FE">
      <w:pPr>
        <w:tabs>
          <w:tab w:val="left" w:pos="6660"/>
        </w:tabs>
        <w:spacing w:line="360" w:lineRule="auto"/>
        <w:jc w:val="center"/>
        <w:rPr>
          <w:bCs/>
          <w:sz w:val="44"/>
        </w:rPr>
      </w:pPr>
    </w:p>
    <w:p w:rsidR="00A951FE" w:rsidRDefault="00A951FE">
      <w:pPr>
        <w:spacing w:line="360" w:lineRule="auto"/>
        <w:jc w:val="center"/>
        <w:rPr>
          <w:b/>
          <w:sz w:val="52"/>
        </w:rPr>
      </w:pPr>
    </w:p>
    <w:p w:rsidR="00A951FE" w:rsidRDefault="00B5351E">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A951FE">
      <w:pPr>
        <w:spacing w:line="360" w:lineRule="auto"/>
        <w:jc w:val="center"/>
        <w:rPr>
          <w:b/>
          <w:sz w:val="52"/>
        </w:rPr>
      </w:pPr>
    </w:p>
    <w:p w:rsidR="00A951FE" w:rsidRDefault="00B5351E">
      <w:pPr>
        <w:adjustRightInd w:val="0"/>
        <w:spacing w:line="360" w:lineRule="auto"/>
        <w:jc w:val="center"/>
        <w:rPr>
          <w:rStyle w:val="af4"/>
          <w:rFonts w:ascii="黑体" w:eastAsia="黑体" w:hAnsi="黑体" w:cs="宋体"/>
          <w:sz w:val="44"/>
          <w:szCs w:val="44"/>
        </w:rPr>
      </w:pPr>
      <w:r>
        <w:rPr>
          <w:rStyle w:val="af4"/>
          <w:rFonts w:ascii="黑体" w:eastAsia="黑体" w:hAnsi="黑体" w:cs="宋体" w:hint="eastAsia"/>
          <w:sz w:val="44"/>
          <w:szCs w:val="44"/>
        </w:rPr>
        <w:lastRenderedPageBreak/>
        <w:t>兴银理财天天万利宝稳利净值型理财产品投资协议书</w:t>
      </w:r>
    </w:p>
    <w:p w:rsidR="00A951FE" w:rsidRDefault="00A951FE">
      <w:pPr>
        <w:spacing w:line="360" w:lineRule="auto"/>
        <w:jc w:val="center"/>
        <w:rPr>
          <w:b/>
          <w:sz w:val="28"/>
          <w:szCs w:val="28"/>
        </w:rPr>
      </w:pPr>
    </w:p>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B5351E">
      <w:pPr>
        <w:adjustRightInd w:val="0"/>
        <w:spacing w:line="360" w:lineRule="auto"/>
        <w:jc w:val="center"/>
        <w:rPr>
          <w:rStyle w:val="af4"/>
          <w:rFonts w:ascii="宋体" w:hAnsi="宋体"/>
          <w:sz w:val="28"/>
          <w:szCs w:val="28"/>
        </w:rPr>
      </w:pPr>
      <w:bookmarkStart w:id="1" w:name="_Toc123701383"/>
      <w:bookmarkStart w:id="2" w:name="_Toc139991726"/>
      <w:bookmarkStart w:id="3" w:name="_Toc123112263"/>
      <w:bookmarkStart w:id="4" w:name="_Toc123112224"/>
      <w:bookmarkStart w:id="5" w:name="_Toc139992301"/>
      <w:r>
        <w:rPr>
          <w:rStyle w:val="af4"/>
          <w:rFonts w:ascii="宋体" w:hAnsi="宋体" w:hint="eastAsia"/>
          <w:sz w:val="28"/>
          <w:szCs w:val="28"/>
        </w:rPr>
        <w:t>理财产品管理人：</w:t>
      </w:r>
      <w:bookmarkEnd w:id="1"/>
      <w:bookmarkEnd w:id="2"/>
      <w:bookmarkEnd w:id="3"/>
      <w:bookmarkEnd w:id="4"/>
      <w:bookmarkEnd w:id="5"/>
      <w:r>
        <w:rPr>
          <w:rStyle w:val="af4"/>
          <w:rFonts w:ascii="宋体" w:hAnsi="宋体" w:hint="eastAsia"/>
          <w:sz w:val="28"/>
          <w:szCs w:val="28"/>
        </w:rPr>
        <w:t>兴银理财有限责任公司</w:t>
      </w:r>
    </w:p>
    <w:p w:rsidR="00A951FE" w:rsidRDefault="00A951FE">
      <w:pPr>
        <w:adjustRightInd w:val="0"/>
        <w:spacing w:line="360" w:lineRule="auto"/>
        <w:jc w:val="center"/>
        <w:rPr>
          <w:rStyle w:val="af4"/>
          <w:rFonts w:ascii="黑体" w:eastAsia="黑体" w:hAnsi="黑体" w:cs="宋体"/>
          <w:sz w:val="28"/>
          <w:szCs w:val="28"/>
        </w:rPr>
      </w:pPr>
      <w:bookmarkStart w:id="6" w:name="_Toc139992302"/>
      <w:bookmarkStart w:id="7" w:name="_Toc123112225"/>
      <w:bookmarkStart w:id="8" w:name="_Toc139991727"/>
      <w:bookmarkStart w:id="9" w:name="_Toc123701384"/>
      <w:bookmarkStart w:id="10" w:name="_Toc123112264"/>
    </w:p>
    <w:bookmarkEnd w:id="6"/>
    <w:bookmarkEnd w:id="7"/>
    <w:bookmarkEnd w:id="8"/>
    <w:bookmarkEnd w:id="9"/>
    <w:bookmarkEnd w:id="10"/>
    <w:p w:rsidR="00A951FE" w:rsidRDefault="00A951FE">
      <w:pPr>
        <w:adjustRightInd w:val="0"/>
        <w:spacing w:line="360" w:lineRule="auto"/>
        <w:jc w:val="center"/>
        <w:rPr>
          <w:rStyle w:val="af4"/>
          <w:rFonts w:ascii="黑体" w:eastAsia="黑体" w:hAnsi="黑体" w:cs="宋体"/>
          <w:sz w:val="28"/>
          <w:szCs w:val="28"/>
        </w:rPr>
      </w:pPr>
    </w:p>
    <w:p w:rsidR="00A951FE" w:rsidRDefault="00B5351E">
      <w:pPr>
        <w:adjustRightInd w:val="0"/>
        <w:spacing w:line="360" w:lineRule="auto"/>
        <w:jc w:val="center"/>
        <w:rPr>
          <w:rStyle w:val="af4"/>
          <w:rFonts w:ascii="宋体" w:hAnsi="宋体"/>
          <w:sz w:val="28"/>
          <w:szCs w:val="28"/>
        </w:rPr>
      </w:pPr>
      <w:r>
        <w:rPr>
          <w:rStyle w:val="af4"/>
          <w:rFonts w:ascii="宋体" w:hAnsi="宋体" w:hint="eastAsia"/>
          <w:sz w:val="28"/>
          <w:szCs w:val="28"/>
        </w:rPr>
        <w:t>日期</w:t>
      </w:r>
      <w:r>
        <w:rPr>
          <w:rStyle w:val="af4"/>
          <w:rFonts w:ascii="宋体" w:hAnsi="宋体"/>
          <w:sz w:val="28"/>
          <w:szCs w:val="28"/>
        </w:rPr>
        <w:t>：</w:t>
      </w:r>
      <w:r>
        <w:rPr>
          <w:rStyle w:val="af4"/>
          <w:rFonts w:ascii="宋体" w:hAnsi="宋体" w:hint="eastAsia"/>
          <w:sz w:val="28"/>
          <w:szCs w:val="28"/>
        </w:rPr>
        <w:t>【2022】年【</w:t>
      </w:r>
      <w:r w:rsidR="008840F3">
        <w:rPr>
          <w:rStyle w:val="af4"/>
          <w:rFonts w:ascii="宋体" w:hAnsi="宋体"/>
          <w:sz w:val="28"/>
          <w:szCs w:val="28"/>
        </w:rPr>
        <w:t>8</w:t>
      </w:r>
      <w:r>
        <w:rPr>
          <w:rStyle w:val="af4"/>
          <w:rFonts w:ascii="宋体" w:hAnsi="宋体" w:hint="eastAsia"/>
          <w:sz w:val="28"/>
          <w:szCs w:val="28"/>
        </w:rPr>
        <w:t>】月</w:t>
      </w:r>
    </w:p>
    <w:p w:rsidR="00A951FE" w:rsidRDefault="00B5351E">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A951FE" w:rsidRDefault="00A951FE">
      <w:pPr>
        <w:tabs>
          <w:tab w:val="left" w:pos="8070"/>
          <w:tab w:val="right" w:pos="8306"/>
        </w:tabs>
        <w:autoSpaceDE w:val="0"/>
        <w:autoSpaceDN w:val="0"/>
        <w:adjustRightInd w:val="0"/>
        <w:snapToGrid w:val="0"/>
        <w:spacing w:beforeLines="50" w:before="156" w:line="360" w:lineRule="auto"/>
        <w:rPr>
          <w:bCs/>
          <w:sz w:val="32"/>
        </w:rPr>
      </w:pPr>
    </w:p>
    <w:tbl>
      <w:tblPr>
        <w:tblStyle w:val="af9"/>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A951FE">
        <w:tc>
          <w:tcPr>
            <w:tcW w:w="8522" w:type="dxa"/>
          </w:tcPr>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A951FE">
        <w:tc>
          <w:tcPr>
            <w:tcW w:w="8522" w:type="dxa"/>
          </w:tcPr>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pStyle w:val="af1"/>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关于销售文件的组成和编制的提示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关于投资者信息的提示</w:t>
            </w: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A951FE" w:rsidRDefault="00B5351E">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A951FE" w:rsidRDefault="00A951FE">
            <w:pPr>
              <w:pStyle w:val="af1"/>
              <w:snapToGrid w:val="0"/>
              <w:spacing w:before="0" w:beforeAutospacing="0" w:after="0" w:afterAutospacing="0" w:line="360" w:lineRule="auto"/>
              <w:jc w:val="both"/>
              <w:rPr>
                <w:rFonts w:ascii="黑体" w:eastAsia="黑体" w:hAnsi="黑体"/>
                <w:bCs/>
                <w:sz w:val="18"/>
                <w:szCs w:val="18"/>
              </w:rPr>
            </w:pPr>
          </w:p>
          <w:p w:rsidR="00A951FE" w:rsidRDefault="00B5351E">
            <w:pPr>
              <w:pStyle w:val="af1"/>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A951FE" w:rsidRDefault="00B5351E">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23112227"/>
      <w:bookmarkStart w:id="12" w:name="_Toc123701386"/>
      <w:bookmarkStart w:id="13" w:name="_Toc139991729"/>
      <w:bookmarkStart w:id="14" w:name="_Toc123112266"/>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B5351E">
      <w:pPr>
        <w:widowControl/>
        <w:jc w:val="left"/>
        <w:rPr>
          <w:rFonts w:ascii="宋体" w:hAnsi="宋体" w:cs="仿宋_GB2312"/>
          <w:b/>
          <w:kern w:val="0"/>
          <w:sz w:val="18"/>
          <w:szCs w:val="18"/>
        </w:rPr>
      </w:pPr>
      <w:r>
        <w:rPr>
          <w:rFonts w:ascii="宋体" w:hAnsi="宋体" w:cs="仿宋_GB2312"/>
          <w:b/>
          <w:kern w:val="0"/>
          <w:sz w:val="18"/>
          <w:szCs w:val="18"/>
        </w:rPr>
        <w:br w:type="page"/>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A951FE">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A951FE" w:rsidRDefault="00B5351E">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A951FE" w:rsidRDefault="00A951FE">
            <w:pPr>
              <w:pStyle w:val="ae"/>
              <w:spacing w:line="360" w:lineRule="auto"/>
              <w:rPr>
                <w:rFonts w:ascii="宋体" w:hAnsi="宋体"/>
                <w:b/>
                <w:bCs/>
                <w:sz w:val="28"/>
                <w:szCs w:val="28"/>
              </w:rPr>
            </w:pPr>
          </w:p>
        </w:tc>
      </w:tr>
      <w:tr w:rsidR="00A951FE">
        <w:trPr>
          <w:cantSplit/>
          <w:trHeight w:hRule="exact" w:val="170"/>
          <w:jc w:val="center"/>
        </w:trPr>
        <w:tc>
          <w:tcPr>
            <w:tcW w:w="9221" w:type="dxa"/>
            <w:gridSpan w:val="6"/>
            <w:shd w:val="pct10" w:color="A6A6A6" w:themeColor="background1" w:themeShade="A6" w:fill="A6A6A6" w:themeFill="background1" w:themeFillShade="A6"/>
            <w:vAlign w:val="center"/>
          </w:tcPr>
          <w:p w:rsidR="00A951FE" w:rsidRDefault="00A951FE">
            <w:pPr>
              <w:pStyle w:val="ae"/>
              <w:spacing w:line="360" w:lineRule="auto"/>
              <w:rPr>
                <w:rFonts w:ascii="宋体" w:hAnsi="宋体"/>
                <w:b/>
                <w:bCs/>
                <w:sz w:val="28"/>
                <w:szCs w:val="28"/>
              </w:rPr>
            </w:pPr>
          </w:p>
        </w:tc>
      </w:tr>
      <w:tr w:rsidR="00A951FE">
        <w:trPr>
          <w:trHeight w:hRule="exact" w:val="340"/>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pStyle w:val="ae"/>
              <w:pBdr>
                <w:bottom w:val="none" w:sz="0" w:space="0" w:color="auto"/>
              </w:pBdr>
              <w:spacing w:line="360" w:lineRule="auto"/>
              <w:rPr>
                <w:rFonts w:ascii="宋体" w:hAnsi="宋体"/>
                <w:b/>
                <w:bCs/>
                <w:szCs w:val="18"/>
              </w:rPr>
            </w:pPr>
          </w:p>
        </w:tc>
      </w:tr>
      <w:tr w:rsidR="00A951FE">
        <w:trPr>
          <w:trHeight w:val="402"/>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A951FE">
        <w:trPr>
          <w:trHeight w:val="375"/>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A951FE" w:rsidRDefault="00B5351E">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Cs/>
                <w:sz w:val="18"/>
                <w:szCs w:val="18"/>
              </w:rPr>
            </w:pPr>
          </w:p>
        </w:tc>
      </w:tr>
      <w:tr w:rsidR="00A951FE">
        <w:trPr>
          <w:trHeight w:val="291"/>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理财产品信</w:t>
            </w:r>
            <w:r>
              <w:rPr>
                <w:rFonts w:ascii="宋体" w:hAnsi="宋体" w:hint="eastAsia"/>
                <w:b/>
                <w:bCs/>
                <w:sz w:val="18"/>
                <w:szCs w:val="18"/>
              </w:rPr>
              <w:lastRenderedPageBreak/>
              <w:t>息</w:t>
            </w: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lastRenderedPageBreak/>
              <w:t>★</w:t>
            </w:r>
            <w:r>
              <w:rPr>
                <w:rFonts w:ascii="宋体" w:hAnsi="宋体" w:hint="eastAsia"/>
                <w:b/>
                <w:bCs/>
                <w:sz w:val="18"/>
                <w:szCs w:val="18"/>
              </w:rPr>
              <w:t>理财产品名称</w:t>
            </w:r>
          </w:p>
        </w:tc>
        <w:tc>
          <w:tcPr>
            <w:tcW w:w="6389" w:type="dxa"/>
            <w:gridSpan w:val="3"/>
            <w:shd w:val="solid" w:color="FFFFFF" w:fill="FFFFFF"/>
          </w:tcPr>
          <w:p w:rsidR="005C4BF6" w:rsidRDefault="00851AD6">
            <w:pPr>
              <w:spacing w:line="360" w:lineRule="auto"/>
              <w:jc w:val="left"/>
              <w:rPr>
                <w:rFonts w:ascii="宋体" w:hAnsi="宋体"/>
                <w:bCs/>
                <w:sz w:val="18"/>
                <w:szCs w:val="18"/>
              </w:rPr>
            </w:pPr>
            <w:r w:rsidRPr="00851AD6">
              <w:rPr>
                <w:rFonts w:ascii="宋体" w:hAnsi="宋体" w:hint="eastAsia"/>
                <w:bCs/>
                <w:sz w:val="18"/>
                <w:szCs w:val="18"/>
              </w:rPr>
              <w:t>兴业银行天天万利宝稳利9号</w:t>
            </w:r>
            <w:r w:rsidR="008840F3" w:rsidRPr="008840F3">
              <w:rPr>
                <w:rFonts w:ascii="宋体" w:hAnsi="宋体"/>
                <w:bCs/>
                <w:sz w:val="18"/>
                <w:szCs w:val="18"/>
              </w:rPr>
              <w:t>C</w:t>
            </w:r>
            <w:r w:rsidRPr="00851AD6">
              <w:rPr>
                <w:rFonts w:ascii="宋体" w:hAnsi="宋体" w:hint="eastAsia"/>
                <w:bCs/>
                <w:sz w:val="18"/>
                <w:szCs w:val="18"/>
              </w:rPr>
              <w:t>款净值型理财产品</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8840F3" w:rsidRPr="008840F3" w:rsidRDefault="008840F3" w:rsidP="008840F3">
            <w:pPr>
              <w:spacing w:line="360" w:lineRule="auto"/>
              <w:jc w:val="left"/>
              <w:rPr>
                <w:rFonts w:ascii="宋体" w:hAnsi="宋体"/>
                <w:bCs/>
                <w:sz w:val="18"/>
                <w:szCs w:val="18"/>
              </w:rPr>
            </w:pPr>
            <w:r w:rsidRPr="008840F3">
              <w:rPr>
                <w:rFonts w:ascii="宋体" w:hAnsi="宋体" w:hint="eastAsia"/>
                <w:bCs/>
                <w:sz w:val="18"/>
                <w:szCs w:val="18"/>
              </w:rPr>
              <w:t>【稳利恒盈9号C款 9个月A】（适用A类份额）</w:t>
            </w:r>
          </w:p>
          <w:p w:rsidR="008840F3" w:rsidRPr="008840F3" w:rsidRDefault="008840F3" w:rsidP="008840F3">
            <w:pPr>
              <w:spacing w:line="360" w:lineRule="auto"/>
              <w:jc w:val="left"/>
              <w:rPr>
                <w:rFonts w:ascii="宋体" w:hAnsi="宋体"/>
                <w:bCs/>
                <w:sz w:val="18"/>
                <w:szCs w:val="18"/>
              </w:rPr>
            </w:pPr>
            <w:r w:rsidRPr="008840F3">
              <w:rPr>
                <w:rFonts w:ascii="宋体" w:hAnsi="宋体" w:hint="eastAsia"/>
                <w:bCs/>
                <w:sz w:val="18"/>
                <w:szCs w:val="18"/>
              </w:rPr>
              <w:t>【稳利恒盈9号C款 9个月B】（适用B类份额）</w:t>
            </w:r>
          </w:p>
          <w:p w:rsidR="005C4BF6" w:rsidRDefault="008840F3" w:rsidP="005C4BF6">
            <w:pPr>
              <w:spacing w:line="360" w:lineRule="auto"/>
              <w:jc w:val="left"/>
              <w:rPr>
                <w:rFonts w:ascii="宋体" w:hAnsi="宋体"/>
                <w:bCs/>
                <w:sz w:val="18"/>
                <w:szCs w:val="18"/>
              </w:rPr>
            </w:pPr>
            <w:r w:rsidRPr="008840F3">
              <w:rPr>
                <w:rFonts w:ascii="宋体" w:hAnsi="宋体" w:hint="eastAsia"/>
                <w:bCs/>
                <w:sz w:val="18"/>
                <w:szCs w:val="18"/>
              </w:rPr>
              <w:t>【稳利恒盈9号C款 9个月C】（适用C类份额）</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A951FE" w:rsidRDefault="00B5351E">
            <w:pPr>
              <w:spacing w:line="360" w:lineRule="auto"/>
              <w:jc w:val="left"/>
              <w:rPr>
                <w:rFonts w:ascii="宋体" w:hAnsi="宋体"/>
                <w:bCs/>
                <w:sz w:val="18"/>
                <w:szCs w:val="18"/>
              </w:rPr>
            </w:pPr>
            <w:r>
              <w:rPr>
                <w:rFonts w:ascii="宋体" w:hAnsi="宋体" w:hint="eastAsia"/>
                <w:bCs/>
                <w:sz w:val="18"/>
                <w:szCs w:val="18"/>
              </w:rPr>
              <w:t>【</w:t>
            </w:r>
            <w:r w:rsidR="008840F3" w:rsidRPr="008840F3">
              <w:rPr>
                <w:rFonts w:ascii="宋体" w:hAnsi="宋体"/>
                <w:bCs/>
                <w:sz w:val="18"/>
                <w:szCs w:val="18"/>
              </w:rPr>
              <w:t>Z7002021000242</w:t>
            </w:r>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bCs/>
                <w:color w:val="000000" w:themeColor="text1"/>
                <w:sz w:val="18"/>
                <w:szCs w:val="18"/>
              </w:rPr>
              <w:t>【</w:t>
            </w:r>
            <w:r w:rsidR="008840F3" w:rsidRPr="008840F3">
              <w:rPr>
                <w:rFonts w:ascii="宋体" w:hAnsi="宋体"/>
                <w:bCs/>
                <w:color w:val="000000" w:themeColor="text1"/>
                <w:sz w:val="18"/>
                <w:szCs w:val="18"/>
              </w:rPr>
              <w:t>9K209330</w:t>
            </w:r>
            <w:r>
              <w:rPr>
                <w:rFonts w:ascii="宋体" w:hAnsi="宋体"/>
                <w:bCs/>
                <w:color w:val="000000" w:themeColor="text1"/>
                <w:sz w:val="18"/>
                <w:szCs w:val="18"/>
              </w:rPr>
              <w:t>】</w:t>
            </w:r>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8840F3" w:rsidRPr="008840F3" w:rsidRDefault="008840F3" w:rsidP="008840F3">
            <w:pPr>
              <w:spacing w:line="360" w:lineRule="auto"/>
              <w:jc w:val="left"/>
              <w:rPr>
                <w:rFonts w:ascii="宋体" w:hAnsi="宋体"/>
                <w:bCs/>
                <w:color w:val="000000" w:themeColor="text1"/>
                <w:sz w:val="18"/>
                <w:szCs w:val="18"/>
              </w:rPr>
            </w:pPr>
            <w:r w:rsidRPr="008840F3">
              <w:rPr>
                <w:rFonts w:ascii="宋体" w:hAnsi="宋体" w:hint="eastAsia"/>
                <w:bCs/>
                <w:color w:val="000000" w:themeColor="text1"/>
                <w:sz w:val="18"/>
                <w:szCs w:val="18"/>
              </w:rPr>
              <w:t>【9K20933A】（适用A类份额）</w:t>
            </w:r>
          </w:p>
          <w:p w:rsidR="008840F3" w:rsidRPr="008840F3" w:rsidRDefault="008840F3" w:rsidP="008840F3">
            <w:pPr>
              <w:spacing w:line="360" w:lineRule="auto"/>
              <w:jc w:val="left"/>
              <w:rPr>
                <w:rFonts w:ascii="宋体" w:hAnsi="宋体"/>
                <w:bCs/>
                <w:color w:val="000000" w:themeColor="text1"/>
                <w:sz w:val="18"/>
                <w:szCs w:val="18"/>
              </w:rPr>
            </w:pPr>
            <w:r w:rsidRPr="008840F3">
              <w:rPr>
                <w:rFonts w:ascii="宋体" w:hAnsi="宋体" w:hint="eastAsia"/>
                <w:bCs/>
                <w:color w:val="000000" w:themeColor="text1"/>
                <w:sz w:val="18"/>
                <w:szCs w:val="18"/>
              </w:rPr>
              <w:t>【9K20933B】（适用B类份额）</w:t>
            </w:r>
          </w:p>
          <w:p w:rsidR="00B65218" w:rsidRDefault="008840F3" w:rsidP="00B65218">
            <w:pPr>
              <w:spacing w:line="360" w:lineRule="auto"/>
              <w:jc w:val="left"/>
              <w:rPr>
                <w:rFonts w:ascii="宋体" w:hAnsi="宋体"/>
                <w:bCs/>
                <w:color w:val="000000" w:themeColor="text1"/>
                <w:sz w:val="18"/>
                <w:szCs w:val="18"/>
              </w:rPr>
            </w:pPr>
            <w:r w:rsidRPr="008840F3">
              <w:rPr>
                <w:rFonts w:ascii="宋体" w:hAnsi="宋体" w:hint="eastAsia"/>
                <w:bCs/>
                <w:color w:val="000000" w:themeColor="text1"/>
                <w:sz w:val="18"/>
                <w:szCs w:val="18"/>
              </w:rPr>
              <w:t>【9K20933C】（适用C类份额）</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
                <w:bCs/>
                <w:sz w:val="18"/>
                <w:szCs w:val="18"/>
              </w:rPr>
            </w:pPr>
          </w:p>
        </w:tc>
      </w:tr>
      <w:tr w:rsidR="00A951FE">
        <w:trPr>
          <w:trHeight w:val="826"/>
          <w:jc w:val="center"/>
        </w:trPr>
        <w:tc>
          <w:tcPr>
            <w:tcW w:w="1142" w:type="dxa"/>
            <w:shd w:val="solid" w:color="FFFFFF" w:fill="FFFFFF"/>
            <w:vAlign w:val="center"/>
          </w:tcPr>
          <w:p w:rsidR="00A951FE" w:rsidRDefault="00B5351E">
            <w:pPr>
              <w:pStyle w:val="ae"/>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A951FE" w:rsidRDefault="00B5351E">
            <w:pPr>
              <w:pStyle w:val="ae"/>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A951FE" w:rsidRDefault="00B5351E">
      <w:pPr>
        <w:widowControl/>
        <w:spacing w:line="360" w:lineRule="auto"/>
        <w:jc w:val="left"/>
        <w:rPr>
          <w:bCs/>
          <w:sz w:val="32"/>
        </w:rPr>
      </w:pPr>
      <w:r>
        <w:rPr>
          <w:rFonts w:hint="eastAsia"/>
          <w:bCs/>
          <w:sz w:val="32"/>
        </w:rPr>
        <w:t xml:space="preserve"> </w:t>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A951FE">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A951FE" w:rsidRDefault="00B5351E">
          <w:pPr>
            <w:pStyle w:val="TOC1"/>
            <w:spacing w:line="360" w:lineRule="auto"/>
            <w:jc w:val="center"/>
          </w:pPr>
          <w:r>
            <w:rPr>
              <w:lang w:val="zh-CN"/>
            </w:rPr>
            <w:t>目录</w:t>
          </w:r>
        </w:p>
        <w:p w:rsidR="00A951FE" w:rsidRDefault="00B5351E">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6"/>
                <w:rFonts w:hint="eastAsia"/>
              </w:rPr>
              <w:t>第一条</w:t>
            </w:r>
            <w:r>
              <w:rPr>
                <w:rStyle w:val="af6"/>
              </w:rPr>
              <w:t xml:space="preserve">  </w:t>
            </w:r>
            <w:r>
              <w:rPr>
                <w:rStyle w:val="af6"/>
                <w:rFonts w:hint="eastAsia"/>
              </w:rPr>
              <w:t>前言</w:t>
            </w:r>
            <w:r>
              <w:tab/>
            </w:r>
            <w:r>
              <w:fldChar w:fldCharType="begin"/>
            </w:r>
            <w:r>
              <w:instrText xml:space="preserve"> PAGEREF _Toc95897036 \h </w:instrText>
            </w:r>
            <w:r>
              <w:fldChar w:fldCharType="separate"/>
            </w:r>
            <w:r>
              <w:t>1</w:t>
            </w:r>
            <w:r>
              <w:fldChar w:fldCharType="end"/>
            </w:r>
          </w:hyperlink>
        </w:p>
        <w:p w:rsidR="00A951FE" w:rsidRDefault="00572804">
          <w:pPr>
            <w:pStyle w:val="10"/>
            <w:rPr>
              <w:rFonts w:asciiTheme="minorHAnsi" w:eastAsiaTheme="minorEastAsia" w:hAnsiTheme="minorHAnsi" w:cstheme="minorBidi"/>
              <w:szCs w:val="22"/>
            </w:rPr>
          </w:pPr>
          <w:hyperlink w:anchor="_Toc95897037" w:history="1">
            <w:r w:rsidR="00B5351E">
              <w:rPr>
                <w:rStyle w:val="af6"/>
                <w:rFonts w:hint="eastAsia"/>
              </w:rPr>
              <w:t>第二条</w:t>
            </w:r>
            <w:r w:rsidR="00B5351E">
              <w:rPr>
                <w:rStyle w:val="af6"/>
              </w:rPr>
              <w:t xml:space="preserve">  </w:t>
            </w:r>
            <w:r w:rsidR="00B5351E">
              <w:rPr>
                <w:rStyle w:val="af6"/>
                <w:rFonts w:hint="eastAsia"/>
              </w:rPr>
              <w:t>双方权利义务</w:t>
            </w:r>
            <w:r w:rsidR="00B5351E">
              <w:tab/>
            </w:r>
            <w:r w:rsidR="00B5351E">
              <w:fldChar w:fldCharType="begin"/>
            </w:r>
            <w:r w:rsidR="00B5351E">
              <w:instrText xml:space="preserve"> PAGEREF _Toc95897037 \h </w:instrText>
            </w:r>
            <w:r w:rsidR="00B5351E">
              <w:fldChar w:fldCharType="separate"/>
            </w:r>
            <w:r w:rsidR="00B5351E">
              <w:t>2</w:t>
            </w:r>
            <w:r w:rsidR="00B5351E">
              <w:fldChar w:fldCharType="end"/>
            </w:r>
          </w:hyperlink>
        </w:p>
        <w:p w:rsidR="00A951FE" w:rsidRDefault="00572804">
          <w:pPr>
            <w:pStyle w:val="10"/>
            <w:rPr>
              <w:rFonts w:asciiTheme="minorHAnsi" w:eastAsiaTheme="minorEastAsia" w:hAnsiTheme="minorHAnsi" w:cstheme="minorBidi"/>
              <w:szCs w:val="22"/>
            </w:rPr>
          </w:pPr>
          <w:hyperlink w:anchor="_Toc95897038" w:history="1">
            <w:r w:rsidR="00B5351E">
              <w:rPr>
                <w:rStyle w:val="af6"/>
                <w:rFonts w:hint="eastAsia"/>
              </w:rPr>
              <w:t>第三条</w:t>
            </w:r>
            <w:r w:rsidR="00B5351E">
              <w:rPr>
                <w:rStyle w:val="af6"/>
              </w:rPr>
              <w:t xml:space="preserve">  </w:t>
            </w:r>
            <w:r w:rsidR="00B5351E">
              <w:rPr>
                <w:rStyle w:val="af6"/>
                <w:rFonts w:hint="eastAsia"/>
              </w:rPr>
              <w:t>不可抗力</w:t>
            </w:r>
            <w:r w:rsidR="00B5351E">
              <w:tab/>
            </w:r>
            <w:r w:rsidR="00B5351E">
              <w:fldChar w:fldCharType="begin"/>
            </w:r>
            <w:r w:rsidR="00B5351E">
              <w:instrText xml:space="preserve"> PAGEREF _Toc95897038 \h </w:instrText>
            </w:r>
            <w:r w:rsidR="00B5351E">
              <w:fldChar w:fldCharType="separate"/>
            </w:r>
            <w:r w:rsidR="00B5351E">
              <w:t>5</w:t>
            </w:r>
            <w:r w:rsidR="00B5351E">
              <w:fldChar w:fldCharType="end"/>
            </w:r>
          </w:hyperlink>
        </w:p>
        <w:p w:rsidR="00A951FE" w:rsidRDefault="00572804">
          <w:pPr>
            <w:pStyle w:val="10"/>
            <w:rPr>
              <w:rFonts w:asciiTheme="minorHAnsi" w:eastAsiaTheme="minorEastAsia" w:hAnsiTheme="minorHAnsi" w:cstheme="minorBidi"/>
              <w:szCs w:val="22"/>
            </w:rPr>
          </w:pPr>
          <w:hyperlink w:anchor="_Toc95897039" w:history="1">
            <w:r w:rsidR="00B5351E">
              <w:rPr>
                <w:rStyle w:val="af6"/>
                <w:rFonts w:hint="eastAsia"/>
              </w:rPr>
              <w:t>第四条</w:t>
            </w:r>
            <w:r w:rsidR="00B5351E">
              <w:rPr>
                <w:rStyle w:val="af6"/>
              </w:rPr>
              <w:t xml:space="preserve">  </w:t>
            </w:r>
            <w:r w:rsidR="00B5351E">
              <w:rPr>
                <w:rStyle w:val="af6"/>
                <w:rFonts w:hint="eastAsia"/>
              </w:rPr>
              <w:t>违约责任</w:t>
            </w:r>
            <w:r w:rsidR="00B5351E">
              <w:tab/>
            </w:r>
            <w:r w:rsidR="00B5351E">
              <w:fldChar w:fldCharType="begin"/>
            </w:r>
            <w:r w:rsidR="00B5351E">
              <w:instrText xml:space="preserve"> PAGEREF _Toc95897039 \h </w:instrText>
            </w:r>
            <w:r w:rsidR="00B5351E">
              <w:fldChar w:fldCharType="separate"/>
            </w:r>
            <w:r w:rsidR="00B5351E">
              <w:t>6</w:t>
            </w:r>
            <w:r w:rsidR="00B5351E">
              <w:fldChar w:fldCharType="end"/>
            </w:r>
          </w:hyperlink>
        </w:p>
        <w:p w:rsidR="00A951FE" w:rsidRDefault="00572804">
          <w:pPr>
            <w:pStyle w:val="10"/>
            <w:rPr>
              <w:rFonts w:asciiTheme="minorHAnsi" w:eastAsiaTheme="minorEastAsia" w:hAnsiTheme="minorHAnsi" w:cstheme="minorBidi"/>
              <w:szCs w:val="22"/>
            </w:rPr>
          </w:pPr>
          <w:hyperlink w:anchor="_Toc95897040" w:history="1">
            <w:r w:rsidR="00B5351E">
              <w:rPr>
                <w:rStyle w:val="af6"/>
                <w:rFonts w:hint="eastAsia"/>
              </w:rPr>
              <w:t>第五条</w:t>
            </w:r>
            <w:r w:rsidR="00B5351E">
              <w:rPr>
                <w:rStyle w:val="af6"/>
              </w:rPr>
              <w:t xml:space="preserve">  </w:t>
            </w:r>
            <w:r w:rsidR="00B5351E">
              <w:rPr>
                <w:rStyle w:val="af6"/>
                <w:rFonts w:hint="eastAsia"/>
              </w:rPr>
              <w:t>法律适用和争议解决</w:t>
            </w:r>
            <w:r w:rsidR="00B5351E">
              <w:tab/>
            </w:r>
            <w:r w:rsidR="00B5351E">
              <w:fldChar w:fldCharType="begin"/>
            </w:r>
            <w:r w:rsidR="00B5351E">
              <w:instrText xml:space="preserve"> PAGEREF _Toc95897040 \h </w:instrText>
            </w:r>
            <w:r w:rsidR="00B5351E">
              <w:fldChar w:fldCharType="separate"/>
            </w:r>
            <w:r w:rsidR="00B5351E">
              <w:t>7</w:t>
            </w:r>
            <w:r w:rsidR="00B5351E">
              <w:fldChar w:fldCharType="end"/>
            </w:r>
          </w:hyperlink>
        </w:p>
        <w:p w:rsidR="00A951FE" w:rsidRDefault="00572804">
          <w:pPr>
            <w:pStyle w:val="10"/>
            <w:rPr>
              <w:rFonts w:asciiTheme="minorHAnsi" w:eastAsiaTheme="minorEastAsia" w:hAnsiTheme="minorHAnsi" w:cstheme="minorBidi"/>
              <w:szCs w:val="22"/>
            </w:rPr>
          </w:pPr>
          <w:hyperlink w:anchor="_Toc95897041" w:history="1">
            <w:r w:rsidR="00B5351E">
              <w:rPr>
                <w:rStyle w:val="af6"/>
                <w:rFonts w:hint="eastAsia"/>
              </w:rPr>
              <w:t>第六条</w:t>
            </w:r>
            <w:r w:rsidR="00B5351E">
              <w:rPr>
                <w:rStyle w:val="af6"/>
              </w:rPr>
              <w:t xml:space="preserve">  </w:t>
            </w:r>
            <w:r w:rsidR="00B5351E">
              <w:rPr>
                <w:rStyle w:val="af6"/>
                <w:rFonts w:hint="eastAsia"/>
              </w:rPr>
              <w:t>协议的签署和效力</w:t>
            </w:r>
            <w:r w:rsidR="00B5351E">
              <w:tab/>
            </w:r>
            <w:r w:rsidR="00B5351E">
              <w:fldChar w:fldCharType="begin"/>
            </w:r>
            <w:r w:rsidR="00B5351E">
              <w:instrText xml:space="preserve"> PAGEREF _Toc95897041 \h </w:instrText>
            </w:r>
            <w:r w:rsidR="00B5351E">
              <w:fldChar w:fldCharType="separate"/>
            </w:r>
            <w:r w:rsidR="00B5351E">
              <w:t>8</w:t>
            </w:r>
            <w:r w:rsidR="00B5351E">
              <w:fldChar w:fldCharType="end"/>
            </w:r>
          </w:hyperlink>
        </w:p>
        <w:p w:rsidR="00A951FE" w:rsidRDefault="00572804">
          <w:pPr>
            <w:pStyle w:val="10"/>
            <w:rPr>
              <w:rFonts w:asciiTheme="minorHAnsi" w:eastAsiaTheme="minorEastAsia" w:hAnsiTheme="minorHAnsi" w:cstheme="minorBidi"/>
              <w:szCs w:val="22"/>
            </w:rPr>
          </w:pPr>
          <w:hyperlink w:anchor="_Toc95897042" w:history="1">
            <w:r w:rsidR="00B5351E">
              <w:rPr>
                <w:rStyle w:val="af6"/>
                <w:rFonts w:hint="eastAsia"/>
              </w:rPr>
              <w:t>第七条</w:t>
            </w:r>
            <w:r w:rsidR="00B5351E">
              <w:rPr>
                <w:rStyle w:val="af6"/>
              </w:rPr>
              <w:t xml:space="preserve">  </w:t>
            </w:r>
            <w:r w:rsidR="00B5351E">
              <w:rPr>
                <w:rStyle w:val="af6"/>
                <w:rFonts w:hint="eastAsia"/>
              </w:rPr>
              <w:t>消费者权益保护</w:t>
            </w:r>
            <w:r w:rsidR="00B5351E">
              <w:tab/>
            </w:r>
            <w:r w:rsidR="00B5351E">
              <w:fldChar w:fldCharType="begin"/>
            </w:r>
            <w:r w:rsidR="00B5351E">
              <w:instrText xml:space="preserve"> PAGEREF _Toc95897042 \h </w:instrText>
            </w:r>
            <w:r w:rsidR="00B5351E">
              <w:fldChar w:fldCharType="separate"/>
            </w:r>
            <w:r w:rsidR="00B5351E">
              <w:t>9</w:t>
            </w:r>
            <w:r w:rsidR="00B5351E">
              <w:fldChar w:fldCharType="end"/>
            </w:r>
          </w:hyperlink>
        </w:p>
        <w:p w:rsidR="00A951FE" w:rsidRDefault="00B5351E">
          <w:pPr>
            <w:spacing w:line="360" w:lineRule="auto"/>
          </w:pPr>
          <w:r>
            <w:rPr>
              <w:b/>
              <w:bCs/>
              <w:lang w:val="zh-CN"/>
            </w:rPr>
            <w:fldChar w:fldCharType="end"/>
          </w:r>
        </w:p>
      </w:sdtContent>
    </w:sdt>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sectPr w:rsidR="00A951FE">
          <w:pgSz w:w="11906" w:h="16838"/>
          <w:pgMar w:top="1440" w:right="1800" w:bottom="1440" w:left="1800" w:header="851" w:footer="992" w:gutter="0"/>
          <w:pgNumType w:start="0"/>
          <w:cols w:space="720"/>
          <w:docGrid w:type="lines" w:linePitch="312"/>
        </w:sectPr>
      </w:pPr>
    </w:p>
    <w:p w:rsidR="00A951FE" w:rsidRDefault="00B5351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A951FE" w:rsidRDefault="00B5351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A951FE" w:rsidRDefault="00A951FE">
      <w:pPr>
        <w:spacing w:line="360" w:lineRule="auto"/>
      </w:pPr>
    </w:p>
    <w:p w:rsidR="00A951FE" w:rsidRDefault="00B5351E">
      <w:pPr>
        <w:pStyle w:val="1"/>
        <w:spacing w:before="0" w:after="0"/>
        <w:jc w:val="center"/>
        <w:rPr>
          <w:rFonts w:ascii="Times New Roman"/>
          <w:color w:val="auto"/>
          <w:sz w:val="30"/>
        </w:rPr>
      </w:pPr>
      <w:bookmarkStart w:id="15" w:name="_Toc8727"/>
      <w:bookmarkStart w:id="16" w:name="_Toc4867"/>
      <w:bookmarkStart w:id="17" w:name="_Toc4966"/>
      <w:bookmarkStart w:id="18" w:name="_Toc29629"/>
      <w:bookmarkStart w:id="19" w:name="_Toc32639"/>
      <w:bookmarkStart w:id="20" w:name="_Toc123701389"/>
      <w:bookmarkStart w:id="21" w:name="_Toc15517"/>
      <w:bookmarkStart w:id="22" w:name="_Toc23386"/>
      <w:bookmarkStart w:id="23" w:name="_Toc6306"/>
      <w:bookmarkStart w:id="24" w:name="_Toc26897"/>
      <w:bookmarkStart w:id="25" w:name="_Toc123112229"/>
      <w:bookmarkStart w:id="26" w:name="_Toc141703880"/>
      <w:bookmarkStart w:id="27" w:name="_Toc123112268"/>
      <w:bookmarkStart w:id="28" w:name="_Toc139991730"/>
      <w:bookmarkStart w:id="29" w:name="_Toc30935"/>
      <w:bookmarkStart w:id="30" w:name="_Toc88482730"/>
      <w:bookmarkStart w:id="31" w:name="_Toc95897036"/>
      <w:bookmarkStart w:id="32" w:name="_Toc74065738"/>
      <w:bookmarkStart w:id="33"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4" w:name="_Toc21301"/>
      <w:bookmarkStart w:id="35" w:name="_Toc19592"/>
      <w:bookmarkStart w:id="36" w:name="_Toc3224"/>
      <w:bookmarkStart w:id="37" w:name="_Toc258829399"/>
      <w:bookmarkStart w:id="38" w:name="_Toc15067"/>
      <w:bookmarkStart w:id="39" w:name="_Toc22864"/>
      <w:bookmarkStart w:id="40" w:name="_Toc24860"/>
      <w:bookmarkStart w:id="41" w:name="_Toc819"/>
      <w:bookmarkStart w:id="42" w:name="_Toc13020"/>
      <w:bookmarkStart w:id="43" w:name="_Toc6617"/>
      <w:bookmarkStart w:id="44" w:name="_Toc24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A951FE" w:rsidRDefault="00B5351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A951FE" w:rsidRDefault="00B5351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A951FE" w:rsidRDefault="00A951FE">
      <w:pPr>
        <w:pStyle w:val="Default"/>
        <w:spacing w:line="360" w:lineRule="auto"/>
        <w:rPr>
          <w:rFonts w:asciiTheme="majorEastAsia" w:eastAsiaTheme="majorEastAsia" w:hAnsiTheme="majorEastAsia"/>
          <w:bCs/>
          <w:color w:val="auto"/>
          <w:sz w:val="18"/>
          <w:szCs w:val="18"/>
        </w:rPr>
      </w:pPr>
    </w:p>
    <w:bookmarkEnd w:id="32"/>
    <w:p w:rsidR="00A951FE" w:rsidRDefault="00B5351E">
      <w:pPr>
        <w:widowControl/>
        <w:spacing w:line="360" w:lineRule="auto"/>
        <w:jc w:val="left"/>
      </w:pPr>
      <w:r>
        <w:br w:type="page"/>
      </w:r>
    </w:p>
    <w:p w:rsidR="00A951FE" w:rsidRDefault="00B5351E">
      <w:pPr>
        <w:pStyle w:val="1"/>
        <w:spacing w:before="0" w:after="0"/>
        <w:jc w:val="center"/>
        <w:rPr>
          <w:rFonts w:ascii="Times New Roman"/>
          <w:color w:val="auto"/>
          <w:sz w:val="30"/>
        </w:rPr>
      </w:pPr>
      <w:bookmarkStart w:id="46" w:name="_Toc88482731"/>
      <w:bookmarkStart w:id="47" w:name="_Toc95897037"/>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A951FE" w:rsidRDefault="00B5351E">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w:t>
      </w:r>
      <w:r>
        <w:rPr>
          <w:rFonts w:ascii="宋体" w:hAnsi="宋体" w:hint="eastAsia"/>
          <w:sz w:val="18"/>
          <w:szCs w:val="18"/>
        </w:rPr>
        <w:lastRenderedPageBreak/>
        <w:t>变更手续。</w:t>
      </w:r>
      <w:r>
        <w:rPr>
          <w:rFonts w:ascii="黑体" w:eastAsia="黑体" w:hAnsi="黑体" w:hint="eastAsia"/>
          <w:sz w:val="18"/>
          <w:szCs w:val="18"/>
        </w:rPr>
        <w:t>否则，由此导致的后果应由投资者自行承担，产品管理人对此不承担相应责任。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w:t>
      </w:r>
      <w:r>
        <w:rPr>
          <w:rFonts w:ascii="宋体" w:hAnsi="宋体" w:hint="eastAsia"/>
          <w:sz w:val="18"/>
          <w:szCs w:val="18"/>
        </w:rPr>
        <w:lastRenderedPageBreak/>
        <w:t>财产品利益分配，</w:t>
      </w:r>
      <w:r>
        <w:rPr>
          <w:rFonts w:ascii="黑体" w:eastAsia="黑体" w:hAnsi="黑体" w:hint="eastAsia"/>
          <w:sz w:val="18"/>
          <w:szCs w:val="18"/>
        </w:rPr>
        <w:t>投资者承诺持有本产品期间指定账户不做销户。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A951FE" w:rsidRDefault="00B5351E">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lastRenderedPageBreak/>
        <w:t>（二）产品管理人权利与义务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w:t>
      </w:r>
      <w:r>
        <w:rPr>
          <w:rFonts w:ascii="黑体" w:eastAsia="黑体" w:hAnsi="黑体" w:hint="eastAsia"/>
          <w:sz w:val="18"/>
          <w:szCs w:val="18"/>
        </w:rPr>
        <w:lastRenderedPageBreak/>
        <w:t>求和本协议的约定，处理投资者信息。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lastRenderedPageBreak/>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A951FE" w:rsidRDefault="00B5351E">
      <w:pPr>
        <w:widowControl/>
        <w:spacing w:line="360" w:lineRule="auto"/>
        <w:jc w:val="left"/>
        <w:rPr>
          <w:b/>
          <w:kern w:val="0"/>
          <w:sz w:val="30"/>
        </w:rPr>
      </w:pPr>
      <w:r>
        <w:rPr>
          <w:sz w:val="30"/>
        </w:rPr>
        <w:br w:type="page"/>
      </w:r>
    </w:p>
    <w:p w:rsidR="00A951FE" w:rsidRDefault="00B5351E">
      <w:pPr>
        <w:pStyle w:val="1"/>
        <w:spacing w:before="0" w:after="0"/>
        <w:jc w:val="center"/>
        <w:rPr>
          <w:rFonts w:ascii="Times New Roman"/>
          <w:sz w:val="30"/>
        </w:rPr>
      </w:pPr>
      <w:bookmarkStart w:id="49" w:name="_Toc95897038"/>
      <w:bookmarkStart w:id="50" w:name="_Toc88482732"/>
      <w:bookmarkStart w:id="51" w:name="_Toc20627"/>
      <w:bookmarkStart w:id="52" w:name="_Toc22708"/>
      <w:bookmarkStart w:id="53" w:name="_Toc6149"/>
      <w:bookmarkStart w:id="54" w:name="_Toc545"/>
      <w:bookmarkStart w:id="55" w:name="_Toc20318"/>
      <w:bookmarkStart w:id="56" w:name="_Toc13288"/>
      <w:bookmarkStart w:id="57" w:name="_Toc74065740"/>
      <w:bookmarkStart w:id="58" w:name="_Toc733"/>
      <w:bookmarkStart w:id="59" w:name="_Toc18631"/>
      <w:bookmarkStart w:id="60" w:name="_Toc24571"/>
      <w:bookmarkStart w:id="61" w:name="_Toc6683"/>
      <w:bookmarkStart w:id="62" w:name="_Toc233456272"/>
      <w:bookmarkStart w:id="63" w:name="_Toc258829400"/>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A951FE" w:rsidRDefault="00B5351E">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A951FE" w:rsidRDefault="00B5351E">
      <w:pPr>
        <w:pStyle w:val="1"/>
        <w:spacing w:before="0" w:after="0"/>
        <w:jc w:val="center"/>
        <w:rPr>
          <w:rFonts w:ascii="Times New Roman"/>
          <w:b w:val="0"/>
          <w:sz w:val="30"/>
        </w:rPr>
      </w:pPr>
      <w:bookmarkStart w:id="64" w:name="_Toc95897039"/>
      <w:bookmarkStart w:id="65" w:name="_Toc88482733"/>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66" w:name="_Toc95897040"/>
      <w:bookmarkStart w:id="67" w:name="_Toc88482734"/>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A951FE" w:rsidRDefault="00B5351E">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A951FE" w:rsidRDefault="00B5351E">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A951FE" w:rsidRDefault="00B5351E">
      <w:pPr>
        <w:pStyle w:val="1"/>
        <w:spacing w:before="0" w:after="0"/>
        <w:jc w:val="center"/>
        <w:rPr>
          <w:rFonts w:ascii="Times New Roman"/>
          <w:b w:val="0"/>
          <w:sz w:val="30"/>
        </w:rPr>
      </w:pPr>
      <w:bookmarkStart w:id="68" w:name="_Toc95897041"/>
      <w:bookmarkStart w:id="69" w:name="_Toc88482735"/>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lastRenderedPageBreak/>
        <w:br w:type="page"/>
      </w:r>
    </w:p>
    <w:p w:rsidR="00A951FE" w:rsidRDefault="00B5351E">
      <w:pPr>
        <w:pStyle w:val="1"/>
        <w:spacing w:before="0" w:after="0"/>
        <w:jc w:val="center"/>
        <w:rPr>
          <w:rFonts w:ascii="Times New Roman"/>
          <w:b w:val="0"/>
          <w:sz w:val="30"/>
        </w:rPr>
      </w:pPr>
      <w:bookmarkStart w:id="70" w:name="_Toc88482736"/>
      <w:bookmarkStart w:id="71" w:name="_Toc95897042"/>
      <w:bookmarkStart w:id="72"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A951FE">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9"/>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A951FE">
        <w:tc>
          <w:tcPr>
            <w:tcW w:w="8524" w:type="dxa"/>
            <w:gridSpan w:val="5"/>
          </w:tcPr>
          <w:bookmarkEnd w:id="62"/>
          <w:bookmarkEnd w:id="63"/>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【】类份额</w:t>
            </w:r>
          </w:p>
        </w:tc>
      </w:tr>
      <w:tr w:rsidR="00A951FE">
        <w:trPr>
          <w:trHeight w:val="527"/>
        </w:trPr>
        <w:tc>
          <w:tcPr>
            <w:tcW w:w="1403" w:type="dxa"/>
            <w:gridSpan w:val="2"/>
            <w:vMerge w:val="restart"/>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90"/>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52"/>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A951FE" w:rsidRDefault="00B5351E">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A951FE">
        <w:trPr>
          <w:trHeight w:val="441"/>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A951FE">
        <w:trPr>
          <w:trHeight w:val="329"/>
        </w:trPr>
        <w:tc>
          <w:tcPr>
            <w:tcW w:w="8524" w:type="dxa"/>
            <w:gridSpan w:val="5"/>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A951FE">
        <w:tc>
          <w:tcPr>
            <w:tcW w:w="675" w:type="dxa"/>
            <w:vAlign w:val="center"/>
          </w:tcPr>
          <w:p w:rsidR="00A951FE" w:rsidRDefault="00B5351E">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A951FE" w:rsidRDefault="00B5351E">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lastRenderedPageBreak/>
              <w:t>2、投资者认可本协议约定的信息披露途径，已清楚知悉投资者应注意查询的事项和信息披露方面的法律责任，同意产品管理人按照本协议约定进行相关通知和披露。</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A951FE">
        <w:trPr>
          <w:trHeight w:hRule="exact" w:val="1014"/>
        </w:trPr>
        <w:tc>
          <w:tcPr>
            <w:tcW w:w="675" w:type="dxa"/>
            <w:vMerge w:val="restart"/>
            <w:vAlign w:val="center"/>
          </w:tcPr>
          <w:p w:rsidR="00A951FE" w:rsidRDefault="00B5351E">
            <w:pPr>
              <w:spacing w:line="360" w:lineRule="auto"/>
              <w:jc w:val="center"/>
              <w:rPr>
                <w:b/>
                <w:sz w:val="18"/>
                <w:szCs w:val="18"/>
              </w:rPr>
            </w:pPr>
            <w:r>
              <w:rPr>
                <w:rFonts w:hint="eastAsia"/>
                <w:b/>
                <w:sz w:val="18"/>
                <w:szCs w:val="18"/>
              </w:rPr>
              <w:lastRenderedPageBreak/>
              <w:t>投资者签署栏</w:t>
            </w:r>
          </w:p>
        </w:tc>
        <w:tc>
          <w:tcPr>
            <w:tcW w:w="851" w:type="dxa"/>
            <w:gridSpan w:val="2"/>
          </w:tcPr>
          <w:p w:rsidR="00A951FE" w:rsidRDefault="00B5351E">
            <w:pPr>
              <w:spacing w:line="360" w:lineRule="auto"/>
              <w:rPr>
                <w:b/>
                <w:sz w:val="18"/>
                <w:szCs w:val="18"/>
              </w:rPr>
            </w:pPr>
            <w:r>
              <w:rPr>
                <w:rFonts w:hint="eastAsia"/>
                <w:b/>
                <w:sz w:val="18"/>
                <w:szCs w:val="18"/>
              </w:rPr>
              <w:t>个人投资者适用</w:t>
            </w:r>
          </w:p>
        </w:tc>
        <w:tc>
          <w:tcPr>
            <w:tcW w:w="6998" w:type="dxa"/>
            <w:gridSpan w:val="2"/>
          </w:tcPr>
          <w:p w:rsidR="00A951FE" w:rsidRDefault="00B5351E">
            <w:pPr>
              <w:spacing w:line="360" w:lineRule="auto"/>
              <w:rPr>
                <w:sz w:val="18"/>
                <w:szCs w:val="18"/>
              </w:rPr>
            </w:pPr>
            <w:r>
              <w:rPr>
                <w:rFonts w:hint="eastAsia"/>
                <w:sz w:val="18"/>
                <w:szCs w:val="18"/>
              </w:rPr>
              <w:t>投资者（签字）：</w:t>
            </w:r>
          </w:p>
          <w:p w:rsidR="00A951FE" w:rsidRDefault="00A951FE">
            <w:pPr>
              <w:spacing w:line="360" w:lineRule="auto"/>
              <w:rPr>
                <w:b/>
                <w:sz w:val="18"/>
                <w:szCs w:val="18"/>
              </w:rPr>
            </w:pPr>
          </w:p>
          <w:p w:rsidR="00A951FE" w:rsidRDefault="00B5351E">
            <w:pPr>
              <w:spacing w:line="360" w:lineRule="auto"/>
              <w:rPr>
                <w:b/>
                <w:sz w:val="18"/>
                <w:szCs w:val="18"/>
              </w:rPr>
            </w:pPr>
            <w:r>
              <w:rPr>
                <w:rFonts w:hint="eastAsia"/>
                <w:sz w:val="18"/>
                <w:szCs w:val="18"/>
              </w:rPr>
              <w:t>日期：</w:t>
            </w:r>
          </w:p>
        </w:tc>
      </w:tr>
      <w:tr w:rsidR="00A951FE">
        <w:tc>
          <w:tcPr>
            <w:tcW w:w="675" w:type="dxa"/>
            <w:vMerge/>
          </w:tcPr>
          <w:p w:rsidR="00A951FE" w:rsidRDefault="00A951FE">
            <w:pPr>
              <w:spacing w:line="360" w:lineRule="auto"/>
              <w:rPr>
                <w:b/>
                <w:sz w:val="18"/>
                <w:szCs w:val="18"/>
              </w:rPr>
            </w:pPr>
          </w:p>
        </w:tc>
        <w:tc>
          <w:tcPr>
            <w:tcW w:w="851" w:type="dxa"/>
            <w:gridSpan w:val="2"/>
          </w:tcPr>
          <w:p w:rsidR="00A951FE" w:rsidRDefault="00B5351E">
            <w:pPr>
              <w:spacing w:line="360" w:lineRule="auto"/>
              <w:rPr>
                <w:b/>
                <w:sz w:val="18"/>
                <w:szCs w:val="18"/>
              </w:rPr>
            </w:pPr>
            <w:r>
              <w:rPr>
                <w:rFonts w:hint="eastAsia"/>
                <w:b/>
                <w:sz w:val="18"/>
                <w:szCs w:val="18"/>
              </w:rPr>
              <w:t>机构投资者适用</w:t>
            </w:r>
          </w:p>
        </w:tc>
        <w:tc>
          <w:tcPr>
            <w:tcW w:w="6998" w:type="dxa"/>
            <w:gridSpan w:val="2"/>
          </w:tcPr>
          <w:p w:rsidR="00A951FE" w:rsidRDefault="00B5351E">
            <w:pPr>
              <w:spacing w:line="360" w:lineRule="auto"/>
              <w:rPr>
                <w:rFonts w:cs="Arial"/>
                <w:sz w:val="18"/>
                <w:szCs w:val="18"/>
              </w:rPr>
            </w:pPr>
            <w:r>
              <w:rPr>
                <w:rFonts w:hint="eastAsia"/>
                <w:sz w:val="18"/>
                <w:szCs w:val="18"/>
              </w:rPr>
              <w:t>投资者</w:t>
            </w:r>
            <w:r>
              <w:rPr>
                <w:rFonts w:cs="Arial" w:hint="eastAsia"/>
                <w:sz w:val="18"/>
                <w:szCs w:val="18"/>
              </w:rPr>
              <w:t>（盖章）：</w:t>
            </w:r>
          </w:p>
          <w:p w:rsidR="00A951FE" w:rsidRDefault="00A951FE">
            <w:pPr>
              <w:spacing w:line="360" w:lineRule="auto"/>
              <w:rPr>
                <w:rFonts w:cs="Arial"/>
                <w:sz w:val="18"/>
                <w:szCs w:val="18"/>
              </w:rPr>
            </w:pPr>
          </w:p>
          <w:p w:rsidR="00A951FE" w:rsidRDefault="00B5351E">
            <w:pPr>
              <w:spacing w:line="360" w:lineRule="auto"/>
              <w:rPr>
                <w:rFonts w:cs="Arial"/>
                <w:sz w:val="18"/>
                <w:szCs w:val="18"/>
              </w:rPr>
            </w:pPr>
            <w:r>
              <w:rPr>
                <w:rFonts w:cs="Arial" w:hint="eastAsia"/>
                <w:sz w:val="18"/>
                <w:szCs w:val="18"/>
              </w:rPr>
              <w:t>投资者法定代表人或授权代理人（签字或盖章）：</w:t>
            </w:r>
          </w:p>
          <w:p w:rsidR="00A951FE" w:rsidRDefault="00A951FE">
            <w:pPr>
              <w:spacing w:line="360" w:lineRule="auto"/>
              <w:rPr>
                <w:b/>
                <w:sz w:val="18"/>
                <w:szCs w:val="18"/>
              </w:rPr>
            </w:pPr>
          </w:p>
          <w:p w:rsidR="00A951FE" w:rsidRDefault="00B5351E">
            <w:pPr>
              <w:spacing w:line="360" w:lineRule="auto"/>
              <w:rPr>
                <w:sz w:val="18"/>
                <w:szCs w:val="18"/>
              </w:rPr>
            </w:pPr>
            <w:r>
              <w:rPr>
                <w:rFonts w:hint="eastAsia"/>
                <w:sz w:val="18"/>
                <w:szCs w:val="18"/>
              </w:rPr>
              <w:t>日期：</w:t>
            </w:r>
          </w:p>
        </w:tc>
      </w:tr>
    </w:tbl>
    <w:p w:rsidR="00A951FE" w:rsidRDefault="00B5351E">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A951FE">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804" w:rsidRDefault="00572804">
      <w:r>
        <w:separator/>
      </w:r>
    </w:p>
  </w:endnote>
  <w:endnote w:type="continuationSeparator" w:id="0">
    <w:p w:rsidR="00572804" w:rsidRDefault="0057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2010609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872"/>
    </w:sdtPr>
    <w:sdtEndPr/>
    <w:sdtContent>
      <w:p w:rsidR="00A951FE" w:rsidRDefault="00B5351E">
        <w:pPr>
          <w:pStyle w:val="ac"/>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7E3D32">
          <w:rPr>
            <w:noProof/>
            <w:lang w:val="zh-CN"/>
          </w:rPr>
          <w:t>4</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804" w:rsidRDefault="00572804">
      <w:r>
        <w:separator/>
      </w:r>
    </w:p>
  </w:footnote>
  <w:footnote w:type="continuationSeparator" w:id="0">
    <w:p w:rsidR="00572804" w:rsidRDefault="005728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FE" w:rsidRDefault="00B5351E">
    <w:pPr>
      <w:pStyle w:val="ae"/>
      <w:pBdr>
        <w:bottom w:val="thickThinLargeGap" w:sz="24" w:space="10" w:color="auto"/>
      </w:pBdr>
      <w:tabs>
        <w:tab w:val="right" w:pos="8280"/>
      </w:tabs>
      <w:wordWrap w:val="0"/>
      <w:adjustRightInd w:val="0"/>
      <w:jc w:val="right"/>
      <w:rPr>
        <w:b/>
      </w:rPr>
    </w:pPr>
    <w:r>
      <w:rPr>
        <w:rFonts w:hint="eastAsia"/>
        <w:b/>
      </w:rPr>
      <w:t>投资协议书</w:t>
    </w:r>
  </w:p>
  <w:p w:rsidR="00A951FE" w:rsidRDefault="00B5351E">
    <w:pPr>
      <w:pStyle w:val="ae"/>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A1"/>
    <w:rsid w:val="00001E2E"/>
    <w:rsid w:val="00002088"/>
    <w:rsid w:val="000047F2"/>
    <w:rsid w:val="000052BD"/>
    <w:rsid w:val="00006526"/>
    <w:rsid w:val="000073F3"/>
    <w:rsid w:val="0001172D"/>
    <w:rsid w:val="00012205"/>
    <w:rsid w:val="0001389C"/>
    <w:rsid w:val="000141A7"/>
    <w:rsid w:val="000209B7"/>
    <w:rsid w:val="00021451"/>
    <w:rsid w:val="000215C7"/>
    <w:rsid w:val="00021BF7"/>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96A1D"/>
    <w:rsid w:val="001A0DEE"/>
    <w:rsid w:val="001A331C"/>
    <w:rsid w:val="001A3B4F"/>
    <w:rsid w:val="001B3D1B"/>
    <w:rsid w:val="001C2E83"/>
    <w:rsid w:val="001C5549"/>
    <w:rsid w:val="001C5FB8"/>
    <w:rsid w:val="001C627B"/>
    <w:rsid w:val="001C680A"/>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0931"/>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2804"/>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4BF6"/>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33F02"/>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769CF"/>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3D32"/>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1AD6"/>
    <w:rsid w:val="008526AD"/>
    <w:rsid w:val="00852A74"/>
    <w:rsid w:val="00853C9B"/>
    <w:rsid w:val="0085467A"/>
    <w:rsid w:val="00855E29"/>
    <w:rsid w:val="00856912"/>
    <w:rsid w:val="00862721"/>
    <w:rsid w:val="00863B57"/>
    <w:rsid w:val="00870710"/>
    <w:rsid w:val="00871266"/>
    <w:rsid w:val="00871450"/>
    <w:rsid w:val="008739A5"/>
    <w:rsid w:val="008840F3"/>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042C"/>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6AD3"/>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51FE"/>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45C5E"/>
    <w:rsid w:val="00B52FAD"/>
    <w:rsid w:val="00B5351E"/>
    <w:rsid w:val="00B56276"/>
    <w:rsid w:val="00B606E5"/>
    <w:rsid w:val="00B606E6"/>
    <w:rsid w:val="00B61A35"/>
    <w:rsid w:val="00B65218"/>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470F"/>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2096B58"/>
    <w:rsid w:val="2DD01BC7"/>
    <w:rsid w:val="314F5290"/>
    <w:rsid w:val="35C863A1"/>
    <w:rsid w:val="373B4A20"/>
    <w:rsid w:val="45F574B3"/>
    <w:rsid w:val="4F9B33E8"/>
    <w:rsid w:val="526821FA"/>
    <w:rsid w:val="5F2557D3"/>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0F304D-4BAA-477E-9B13-627EF4C4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qFormat/>
    <w:pPr>
      <w:keepNext/>
      <w:keepLines/>
      <w:spacing w:before="260" w:after="260" w:line="413" w:lineRule="auto"/>
      <w:outlineLvl w:val="2"/>
    </w:pPr>
    <w:rPr>
      <w:b/>
      <w:sz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a5"/>
    <w:uiPriority w:val="99"/>
    <w:qFormat/>
    <w:pPr>
      <w:jc w:val="left"/>
    </w:pPr>
  </w:style>
  <w:style w:type="paragraph" w:styleId="a6">
    <w:name w:val="Normal Indent"/>
    <w:basedOn w:val="a"/>
    <w:qFormat/>
    <w:pPr>
      <w:ind w:firstLineChars="200" w:firstLine="420"/>
    </w:pPr>
  </w:style>
  <w:style w:type="paragraph" w:styleId="a7">
    <w:name w:val="Document Map"/>
    <w:basedOn w:val="a"/>
    <w:qFormat/>
    <w:pPr>
      <w:shd w:val="clear" w:color="auto" w:fill="000080"/>
    </w:pPr>
  </w:style>
  <w:style w:type="paragraph" w:styleId="a8">
    <w:name w:val="Body Text"/>
    <w:basedOn w:val="a"/>
    <w:link w:val="a9"/>
    <w:qFormat/>
    <w:pPr>
      <w:autoSpaceDE w:val="0"/>
      <w:autoSpaceDN w:val="0"/>
      <w:adjustRightInd w:val="0"/>
      <w:spacing w:line="360" w:lineRule="auto"/>
      <w:jc w:val="left"/>
    </w:pPr>
    <w:rPr>
      <w:rFonts w:ascii="宋体"/>
      <w:kern w:val="0"/>
    </w:rPr>
  </w:style>
  <w:style w:type="paragraph" w:styleId="31">
    <w:name w:val="toc 3"/>
    <w:basedOn w:val="a"/>
    <w:next w:val="a"/>
    <w:uiPriority w:val="39"/>
    <w:qFormat/>
    <w:pPr>
      <w:ind w:leftChars="400" w:left="840"/>
    </w:pPr>
  </w:style>
  <w:style w:type="paragraph" w:styleId="aa">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b">
    <w:name w:val="Balloon Text"/>
    <w:basedOn w:val="a"/>
    <w:qFormat/>
    <w:rPr>
      <w:sz w:val="18"/>
    </w:rPr>
  </w:style>
  <w:style w:type="paragraph" w:styleId="ac">
    <w:name w:val="footer"/>
    <w:basedOn w:val="a"/>
    <w:link w:val="ad"/>
    <w:uiPriority w:val="99"/>
    <w:qFormat/>
    <w:pPr>
      <w:tabs>
        <w:tab w:val="center" w:pos="4153"/>
        <w:tab w:val="right" w:pos="8306"/>
      </w:tabs>
      <w:snapToGrid w:val="0"/>
      <w:jc w:val="left"/>
    </w:pPr>
    <w:rPr>
      <w:sz w:val="18"/>
    </w:rPr>
  </w:style>
  <w:style w:type="paragraph" w:styleId="ae">
    <w:name w:val="header"/>
    <w:basedOn w:val="a"/>
    <w:link w:val="af"/>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f0">
    <w:name w:val="footnote text"/>
    <w:basedOn w:val="a"/>
    <w:qFormat/>
    <w:pPr>
      <w:snapToGrid w:val="0"/>
      <w:jc w:val="left"/>
    </w:pPr>
    <w:rPr>
      <w:sz w:val="18"/>
    </w:rPr>
  </w:style>
  <w:style w:type="paragraph" w:styleId="32">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1">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f2">
    <w:name w:val="Title"/>
    <w:basedOn w:val="a"/>
    <w:next w:val="a"/>
    <w:link w:val="af3"/>
    <w:qFormat/>
    <w:pPr>
      <w:spacing w:before="240" w:after="60"/>
      <w:jc w:val="center"/>
      <w:outlineLvl w:val="0"/>
    </w:pPr>
    <w:rPr>
      <w:rFonts w:ascii="Cambria" w:hAnsi="Cambria"/>
      <w:b/>
      <w:sz w:val="32"/>
    </w:rPr>
  </w:style>
  <w:style w:type="character" w:styleId="af4">
    <w:name w:val="Strong"/>
    <w:uiPriority w:val="22"/>
    <w:qFormat/>
    <w:rPr>
      <w:b/>
      <w:bCs/>
    </w:r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iPriority w:val="99"/>
    <w:qFormat/>
    <w:rPr>
      <w:sz w:val="21"/>
    </w:rPr>
  </w:style>
  <w:style w:type="character" w:styleId="af8">
    <w:name w:val="footnote reference"/>
    <w:qFormat/>
    <w:rPr>
      <w:vertAlign w:val="superscript"/>
    </w:rPr>
  </w:style>
  <w:style w:type="table" w:styleId="af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af3">
    <w:name w:val="标题 字符"/>
    <w:link w:val="af2"/>
    <w:qFormat/>
    <w:rPr>
      <w:rFonts w:ascii="Cambria" w:hAnsi="Cambria"/>
      <w:b/>
      <w:kern w:val="2"/>
      <w:sz w:val="32"/>
    </w:rPr>
  </w:style>
  <w:style w:type="character" w:customStyle="1" w:styleId="a9">
    <w:name w:val="正文文本 字符"/>
    <w:link w:val="a8"/>
    <w:qFormat/>
    <w:rPr>
      <w:rFonts w:ascii="宋体"/>
      <w:kern w:val="0"/>
    </w:rPr>
  </w:style>
  <w:style w:type="character" w:customStyle="1" w:styleId="af">
    <w:name w:val="页眉 字符"/>
    <w:link w:val="ae"/>
    <w:uiPriority w:val="99"/>
    <w:qFormat/>
    <w:rPr>
      <w:kern w:val="2"/>
      <w:sz w:val="18"/>
    </w:rPr>
  </w:style>
  <w:style w:type="paragraph" w:customStyle="1" w:styleId="Char">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a">
    <w:name w:val="正文正文"/>
    <w:basedOn w:val="a"/>
    <w:qFormat/>
    <w:pPr>
      <w:spacing w:afterLines="25" w:line="360" w:lineRule="auto"/>
      <w:ind w:firstLineChars="200" w:firstLine="200"/>
    </w:pPr>
    <w:rPr>
      <w:sz w:val="24"/>
    </w:rPr>
  </w:style>
  <w:style w:type="paragraph" w:customStyle="1" w:styleId="Char2">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8"/>
    <w:qFormat/>
    <w:pPr>
      <w:tabs>
        <w:tab w:val="left" w:pos="420"/>
      </w:tabs>
      <w:spacing w:after="120" w:line="240" w:lineRule="atLeast"/>
      <w:ind w:left="420" w:hanging="420"/>
      <w:jc w:val="left"/>
    </w:pPr>
    <w:rPr>
      <w:rFonts w:ascii="宋体" w:hAnsi="宋体"/>
    </w:rPr>
  </w:style>
  <w:style w:type="paragraph" w:customStyle="1" w:styleId="afb">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styleId="afc">
    <w:name w:val="List Paragraph"/>
    <w:basedOn w:val="a"/>
    <w:qFormat/>
    <w:pPr>
      <w:ind w:firstLineChars="200" w:firstLine="420"/>
    </w:pPr>
  </w:style>
  <w:style w:type="character" w:customStyle="1" w:styleId="a5">
    <w:name w:val="批注文字 字符"/>
    <w:basedOn w:val="a0"/>
    <w:link w:val="a4"/>
    <w:qFormat/>
    <w:rPr>
      <w:kern w:val="2"/>
      <w:sz w:val="21"/>
    </w:rPr>
  </w:style>
  <w:style w:type="paragraph" w:customStyle="1" w:styleId="CharChar4">
    <w:name w:val="Char Char4"/>
    <w:basedOn w:val="a"/>
    <w:qFormat/>
  </w:style>
  <w:style w:type="character" w:customStyle="1" w:styleId="Char0">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0">
    <w:name w:val="标题 3 字符"/>
    <w:basedOn w:val="a0"/>
    <w:link w:val="3"/>
    <w:qFormat/>
    <w:rPr>
      <w:b/>
      <w:kern w:val="2"/>
      <w:sz w:val="32"/>
    </w:rPr>
  </w:style>
  <w:style w:type="character" w:customStyle="1" w:styleId="HTML0">
    <w:name w:val="HTML 预设格式 字符"/>
    <w:basedOn w:val="a0"/>
    <w:link w:val="HTML"/>
    <w:uiPriority w:val="99"/>
    <w:qFormat/>
    <w:rPr>
      <w:rFonts w:ascii="宋体" w:hAnsi="宋体" w:cs="宋体"/>
      <w:sz w:val="24"/>
      <w:szCs w:val="24"/>
    </w:rPr>
  </w:style>
  <w:style w:type="character" w:customStyle="1" w:styleId="ad">
    <w:name w:val="页脚 字符"/>
    <w:basedOn w:val="a0"/>
    <w:link w:val="ac"/>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3">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D4B2-C5FA-4E01-AA1B-E5213F14A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1525</Words>
  <Characters>8698</Characters>
  <Application>Microsoft Office Word</Application>
  <DocSecurity>0</DocSecurity>
  <Lines>72</Lines>
  <Paragraphs>20</Paragraphs>
  <ScaleCrop>false</ScaleCrop>
  <Company>Microsoft</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User</cp:lastModifiedBy>
  <cp:revision>2</cp:revision>
  <cp:lastPrinted>2017-10-31T06:33:00Z</cp:lastPrinted>
  <dcterms:created xsi:type="dcterms:W3CDTF">2022-09-02T03:20:00Z</dcterms:created>
  <dcterms:modified xsi:type="dcterms:W3CDTF">2022-09-02T03:20:00Z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