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ED48E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2319FC">
        <w:rPr>
          <w:rFonts w:asciiTheme="minorEastAsia" w:eastAsiaTheme="minorEastAsia" w:hAnsiTheme="minorEastAsia" w:cs="宋体" w:hint="eastAsia"/>
          <w:b/>
          <w:bCs/>
          <w:sz w:val="32"/>
          <w:szCs w:val="32"/>
        </w:rPr>
        <w:t>7</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ED48EA">
        <w:rPr>
          <w:rFonts w:ascii="宋体" w:hAnsi="宋体" w:cs="宋体"/>
          <w:kern w:val="0"/>
        </w:rPr>
        <w:t>2024</w:t>
      </w:r>
      <w:r w:rsidRPr="00D542D6">
        <w:rPr>
          <w:rFonts w:ascii="宋体" w:hAnsi="宋体" w:cs="宋体" w:hint="eastAsia"/>
          <w:kern w:val="0"/>
        </w:rPr>
        <w:t>年第</w:t>
      </w:r>
      <w:r w:rsidR="002319FC">
        <w:rPr>
          <w:rFonts w:ascii="宋体" w:hAnsi="宋体" w:cs="宋体" w:hint="eastAsia"/>
          <w:kern w:val="0"/>
        </w:rPr>
        <w:t>7</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w:t>
      </w:r>
      <w:r w:rsidRPr="002319FC">
        <w:rPr>
          <w:rFonts w:asciiTheme="minorEastAsia" w:eastAsiaTheme="minorEastAsia" w:hAnsiTheme="minorEastAsia" w:cs="宋体" w:hint="eastAsia"/>
          <w:kern w:val="0"/>
        </w:rPr>
        <w:t>限</w:t>
      </w:r>
      <w:r w:rsidRPr="002319FC">
        <w:rPr>
          <w:rFonts w:ascii="宋体" w:hAnsi="宋体" w:cs="宋体" w:hint="eastAsia"/>
          <w:kern w:val="0"/>
        </w:rPr>
        <w:t>365</w:t>
      </w:r>
      <w:r w:rsidRPr="002319FC">
        <w:rPr>
          <w:rFonts w:asciiTheme="minorEastAsia" w:eastAsiaTheme="minorEastAsia" w:hAnsiTheme="minorEastAsia" w:cs="宋体" w:hint="eastAsia"/>
          <w:kern w:val="0"/>
        </w:rPr>
        <w:t>天，</w:t>
      </w:r>
      <w:r w:rsidRPr="002319FC">
        <w:rPr>
          <w:rFonts w:ascii="宋体" w:hAnsi="宋体" w:cs="宋体" w:hint="eastAsia"/>
          <w:kern w:val="0"/>
        </w:rPr>
        <w:t>为</w:t>
      </w:r>
      <w:r w:rsidRPr="002319FC">
        <w:rPr>
          <w:rFonts w:ascii="宋体" w:hAnsi="宋体" w:cs="宋体" w:hint="eastAsia"/>
          <w:b/>
          <w:kern w:val="0"/>
          <w:sz w:val="24"/>
          <w:szCs w:val="24"/>
        </w:rPr>
        <w:t>固定收益类非保本净值型</w:t>
      </w:r>
      <w:r w:rsidRPr="002319FC">
        <w:rPr>
          <w:rFonts w:ascii="宋体" w:hAnsi="宋体" w:cs="宋体" w:hint="eastAsia"/>
          <w:bCs/>
          <w:kern w:val="0"/>
        </w:rPr>
        <w:t>理财产品</w:t>
      </w:r>
      <w:r w:rsidRPr="002319FC">
        <w:rPr>
          <w:rFonts w:ascii="宋体" w:hAnsi="宋体" w:cs="宋体" w:hint="eastAsia"/>
          <w:b/>
          <w:kern w:val="0"/>
        </w:rPr>
        <w:t>。</w:t>
      </w:r>
      <w:r w:rsidRPr="002319FC">
        <w:rPr>
          <w:rFonts w:ascii="宋体" w:hAnsi="宋体" w:cs="宋体" w:hint="eastAsia"/>
          <w:kern w:val="0"/>
        </w:rPr>
        <w:t>本产品有投资风险，不保证本金和收益，理财本金与收益可能会因市场变动而蒙受重大损失。产品净值可能会有波动，投资者持有的理财计划份额可能会</w:t>
      </w:r>
      <w:r w:rsidRPr="006D3301">
        <w:rPr>
          <w:rFonts w:ascii="宋体" w:hAnsi="宋体" w:cs="宋体" w:hint="eastAsia"/>
          <w:kern w:val="0"/>
        </w:rPr>
        <w:t>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2319FC">
        <w:rPr>
          <w:rFonts w:ascii="宋体" w:hAnsi="宋体" w:cs="宋体"/>
          <w:b/>
          <w:bCs/>
        </w:rPr>
        <w:t>1</w:t>
      </w:r>
      <w:r w:rsidRPr="002319FC">
        <w:rPr>
          <w:rFonts w:ascii="宋体" w:cs="宋体"/>
          <w:b/>
          <w:bCs/>
        </w:rPr>
        <w:t>0</w:t>
      </w:r>
      <w:r w:rsidRPr="002319FC">
        <w:rPr>
          <w:rFonts w:ascii="宋体" w:hAnsi="宋体" w:cs="宋体" w:hint="eastAsia"/>
          <w:b/>
          <w:bCs/>
        </w:rPr>
        <w:t>、管理人、托管人风险</w:t>
      </w:r>
    </w:p>
    <w:p w:rsidR="00D542D6" w:rsidRPr="006D3301" w:rsidRDefault="006F7373" w:rsidP="00D542D6">
      <w:pPr>
        <w:autoSpaceDE w:val="0"/>
        <w:autoSpaceDN w:val="0"/>
        <w:spacing w:line="360" w:lineRule="exact"/>
        <w:ind w:firstLine="420"/>
        <w:rPr>
          <w:rFonts w:asciiTheme="minorEastAsia" w:eastAsiaTheme="minorEastAsia" w:hAnsiTheme="minorEastAsia" w:cs="宋体"/>
          <w:b/>
          <w:bCs/>
        </w:rPr>
      </w:pPr>
      <w:r w:rsidRPr="006D3301">
        <w:rPr>
          <w:rFonts w:asciiTheme="minorEastAsia" w:eastAsiaTheme="minorEastAsia" w:hAnsiTheme="minorEastAsia" w:cs="宋体" w:hint="eastAsia"/>
          <w:b/>
          <w:bCs/>
        </w:rPr>
        <w:t>本产品投资由永安期货股份有限公司（简称：永安期货）管理的集合资产管理计划，本产品财产托管人为招商银行股份有限公司杭州分行（简称：招商银行杭州分行）。</w:t>
      </w:r>
      <w:r w:rsidR="00144F86" w:rsidRPr="006D3301">
        <w:rPr>
          <w:rFonts w:asciiTheme="minorEastAsia" w:eastAsiaTheme="minorEastAsia" w:hAnsiTheme="minorEastAsia" w:cs="宋体" w:hint="eastAsia"/>
          <w:b/>
          <w:bCs/>
        </w:rPr>
        <w:t>永安期货股份有限公司</w:t>
      </w:r>
      <w:r w:rsidRPr="006D3301">
        <w:rPr>
          <w:rFonts w:asciiTheme="minorEastAsia" w:eastAsiaTheme="minorEastAsia" w:hAnsiTheme="minorEastAsia" w:cs="宋体" w:hint="eastAsia"/>
          <w:b/>
          <w:bCs/>
        </w:rPr>
        <w:t>国有控股背景，是国内期货行业中领军企业，规模大、业务范围广、研究实力强。永安期货创办于</w:t>
      </w:r>
      <w:r w:rsidRPr="006D3301">
        <w:rPr>
          <w:rFonts w:asciiTheme="minorEastAsia" w:eastAsiaTheme="minorEastAsia" w:hAnsiTheme="minorEastAsia" w:cs="宋体"/>
          <w:b/>
          <w:bCs/>
        </w:rPr>
        <w:t>1992</w:t>
      </w:r>
      <w:r w:rsidRPr="006D3301">
        <w:rPr>
          <w:rFonts w:asciiTheme="minorEastAsia" w:eastAsiaTheme="minorEastAsia" w:hAnsiTheme="minorEastAsia" w:cs="宋体" w:hint="eastAsia"/>
          <w:b/>
          <w:bCs/>
        </w:rPr>
        <w:t>年，是一家国有控股的专业期货公司，实际控制人为浙江省财政厅。</w:t>
      </w:r>
      <w:r w:rsidRPr="006D3301">
        <w:rPr>
          <w:rFonts w:asciiTheme="minorEastAsia" w:eastAsiaTheme="minorEastAsia" w:hAnsiTheme="minorEastAsia" w:cs="宋体"/>
          <w:b/>
          <w:bCs/>
        </w:rPr>
        <w:t>2015</w:t>
      </w:r>
      <w:r w:rsidRPr="006D3301">
        <w:rPr>
          <w:rFonts w:asciiTheme="minorEastAsia" w:eastAsiaTheme="minorEastAsia" w:hAnsiTheme="minorEastAsia" w:cs="宋体" w:hint="eastAsia"/>
          <w:b/>
          <w:bCs/>
        </w:rPr>
        <w:t>年新三板挂牌上市，</w:t>
      </w:r>
      <w:r w:rsidRPr="006D3301">
        <w:rPr>
          <w:rFonts w:asciiTheme="minorEastAsia" w:eastAsiaTheme="minorEastAsia" w:hAnsiTheme="minorEastAsia" w:cs="宋体"/>
          <w:b/>
          <w:bCs/>
        </w:rPr>
        <w:t>2016</w:t>
      </w:r>
      <w:r w:rsidRPr="006D3301">
        <w:rPr>
          <w:rFonts w:asciiTheme="minorEastAsia" w:eastAsiaTheme="minorEastAsia" w:hAnsiTheme="minorEastAsia" w:cs="宋体" w:hint="eastAsia"/>
          <w:b/>
          <w:bCs/>
        </w:rPr>
        <w:t>年进入新三板创新层，并于</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w:t>
      </w:r>
      <w:r w:rsidRPr="006D3301">
        <w:rPr>
          <w:rFonts w:asciiTheme="minorEastAsia" w:eastAsiaTheme="minorEastAsia" w:hAnsiTheme="minorEastAsia" w:cs="宋体"/>
          <w:b/>
          <w:bCs/>
        </w:rPr>
        <w:t>12</w:t>
      </w:r>
      <w:r w:rsidRPr="006D3301">
        <w:rPr>
          <w:rFonts w:asciiTheme="minorEastAsia" w:eastAsiaTheme="minorEastAsia" w:hAnsiTheme="minorEastAsia" w:cs="宋体" w:hint="eastAsia"/>
          <w:b/>
          <w:bCs/>
        </w:rPr>
        <w:t>月</w:t>
      </w:r>
      <w:r w:rsidRPr="006D3301">
        <w:rPr>
          <w:rFonts w:asciiTheme="minorEastAsia" w:eastAsiaTheme="minorEastAsia" w:hAnsiTheme="minorEastAsia" w:cs="宋体"/>
          <w:b/>
          <w:bCs/>
        </w:rPr>
        <w:t>23</w:t>
      </w:r>
      <w:r w:rsidRPr="006D3301">
        <w:rPr>
          <w:rFonts w:asciiTheme="minorEastAsia" w:eastAsiaTheme="minorEastAsia" w:hAnsiTheme="minorEastAsia" w:cs="宋体" w:hint="eastAsia"/>
          <w:b/>
          <w:bCs/>
        </w:rPr>
        <w:t>日在</w:t>
      </w:r>
      <w:r w:rsidRPr="006D3301">
        <w:rPr>
          <w:rFonts w:asciiTheme="minorEastAsia" w:eastAsiaTheme="minorEastAsia" w:hAnsiTheme="minorEastAsia" w:cs="宋体"/>
          <w:b/>
          <w:bCs/>
        </w:rPr>
        <w:t>A</w:t>
      </w:r>
      <w:r w:rsidRPr="006D3301">
        <w:rPr>
          <w:rFonts w:asciiTheme="minorEastAsia" w:eastAsiaTheme="minorEastAsia" w:hAnsiTheme="minorEastAsia" w:cs="宋体" w:hint="eastAsia"/>
          <w:b/>
          <w:bCs/>
        </w:rPr>
        <w:t>股主板上市。公司注册资本人民币</w:t>
      </w:r>
      <w:r w:rsidRPr="006D3301">
        <w:rPr>
          <w:rFonts w:asciiTheme="minorEastAsia" w:eastAsiaTheme="minorEastAsia" w:hAnsiTheme="minorEastAsia" w:cs="宋体"/>
          <w:b/>
          <w:bCs/>
        </w:rPr>
        <w:t>14.56</w:t>
      </w:r>
      <w:r w:rsidRPr="006D3301">
        <w:rPr>
          <w:rFonts w:asciiTheme="minorEastAsia" w:eastAsiaTheme="minorEastAsia" w:hAnsiTheme="minorEastAsia" w:cs="宋体" w:hint="eastAsia"/>
          <w:b/>
          <w:bCs/>
        </w:rPr>
        <w:t>亿元，净资本约</w:t>
      </w:r>
      <w:r w:rsidRPr="006D3301">
        <w:rPr>
          <w:rFonts w:asciiTheme="minorEastAsia" w:eastAsiaTheme="minorEastAsia" w:hAnsiTheme="minorEastAsia" w:cs="宋体"/>
          <w:b/>
          <w:bCs/>
        </w:rPr>
        <w:t>50.93</w:t>
      </w:r>
      <w:r w:rsidRPr="006D3301">
        <w:rPr>
          <w:rFonts w:asciiTheme="minorEastAsia" w:eastAsiaTheme="minorEastAsia" w:hAnsiTheme="minorEastAsia" w:cs="宋体" w:hint="eastAsia"/>
          <w:b/>
          <w:bCs/>
        </w:rPr>
        <w:t>亿元；业务范围涵盖商品期货经纪、金融期货经纪、期货投资咨询、资产管理、基金销售等，是</w:t>
      </w:r>
      <w:proofErr w:type="gramStart"/>
      <w:r w:rsidRPr="006D3301">
        <w:rPr>
          <w:rFonts w:asciiTheme="minorEastAsia" w:eastAsiaTheme="minorEastAsia" w:hAnsiTheme="minorEastAsia" w:cs="宋体" w:hint="eastAsia"/>
          <w:b/>
          <w:bCs/>
        </w:rPr>
        <w:t>业内全</w:t>
      </w:r>
      <w:proofErr w:type="gramEnd"/>
      <w:r w:rsidRPr="006D3301">
        <w:rPr>
          <w:rFonts w:asciiTheme="minorEastAsia" w:eastAsiaTheme="minorEastAsia" w:hAnsiTheme="minorEastAsia" w:cs="宋体" w:hint="eastAsia"/>
          <w:b/>
          <w:bCs/>
        </w:rPr>
        <w:t>牌照的期货公司，综合实力连续多年稳居期货行业前列。</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年实现合并营业收入</w:t>
      </w:r>
      <w:r w:rsidRPr="006D3301">
        <w:rPr>
          <w:rFonts w:asciiTheme="minorEastAsia" w:eastAsiaTheme="minorEastAsia" w:hAnsiTheme="minorEastAsia" w:cs="宋体"/>
          <w:b/>
          <w:bCs/>
        </w:rPr>
        <w:t>378.42</w:t>
      </w:r>
      <w:r w:rsidRPr="006D3301">
        <w:rPr>
          <w:rFonts w:asciiTheme="minorEastAsia" w:eastAsiaTheme="minorEastAsia" w:hAnsiTheme="minorEastAsia" w:cs="宋体" w:hint="eastAsia"/>
          <w:b/>
          <w:bCs/>
        </w:rPr>
        <w:t>亿元，合并净利润</w:t>
      </w:r>
      <w:r w:rsidRPr="006D3301">
        <w:rPr>
          <w:rFonts w:asciiTheme="minorEastAsia" w:eastAsiaTheme="minorEastAsia" w:hAnsiTheme="minorEastAsia" w:cs="宋体"/>
          <w:b/>
          <w:bCs/>
        </w:rPr>
        <w:t>13.07</w:t>
      </w:r>
      <w:r w:rsidRPr="006D3301">
        <w:rPr>
          <w:rFonts w:asciiTheme="minorEastAsia" w:eastAsiaTheme="minorEastAsia" w:hAnsiTheme="minorEastAsia" w:cs="宋体" w:hint="eastAsia"/>
          <w:b/>
          <w:bCs/>
        </w:rPr>
        <w:t>亿元。永安期货依法承担资产管理计划的销售、登记、备案、信披、管理、运作等职责。招商银行是全国性股份制银行，是全球著名现代综合金融服务集团。截至</w:t>
      </w:r>
      <w:r w:rsidRPr="006D3301">
        <w:rPr>
          <w:rFonts w:asciiTheme="minorEastAsia" w:eastAsiaTheme="minorEastAsia" w:hAnsiTheme="minorEastAsia" w:cs="宋体"/>
          <w:b/>
          <w:bCs/>
        </w:rPr>
        <w:t>2022</w:t>
      </w:r>
      <w:r w:rsidRPr="006D3301">
        <w:rPr>
          <w:rFonts w:asciiTheme="minorEastAsia" w:eastAsiaTheme="minorEastAsia" w:hAnsiTheme="minorEastAsia" w:cs="宋体" w:hint="eastAsia"/>
          <w:b/>
          <w:bCs/>
        </w:rPr>
        <w:t>年一季度末，总资产</w:t>
      </w:r>
      <w:r w:rsidRPr="006D3301">
        <w:rPr>
          <w:rFonts w:asciiTheme="minorEastAsia" w:eastAsiaTheme="minorEastAsia" w:hAnsiTheme="minorEastAsia" w:cs="宋体"/>
          <w:b/>
          <w:bCs/>
        </w:rPr>
        <w:t>9.42</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元，股东权益</w:t>
      </w:r>
      <w:r w:rsidRPr="006D3301">
        <w:rPr>
          <w:rFonts w:asciiTheme="minorEastAsia" w:eastAsiaTheme="minorEastAsia" w:hAnsiTheme="minorEastAsia" w:cs="宋体"/>
          <w:b/>
          <w:bCs/>
        </w:rPr>
        <w:t>8935</w:t>
      </w:r>
      <w:r w:rsidRPr="006D3301">
        <w:rPr>
          <w:rFonts w:asciiTheme="minorEastAsia" w:eastAsiaTheme="minorEastAsia" w:hAnsiTheme="minorEastAsia" w:cs="宋体" w:hint="eastAsia"/>
          <w:b/>
          <w:bCs/>
        </w:rPr>
        <w:t>亿元；截至</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年末，资产托管业务规模</w:t>
      </w:r>
      <w:r w:rsidRPr="006D3301">
        <w:rPr>
          <w:rFonts w:asciiTheme="minorEastAsia" w:eastAsiaTheme="minorEastAsia" w:hAnsiTheme="minorEastAsia" w:cs="宋体"/>
          <w:b/>
          <w:bCs/>
        </w:rPr>
        <w:t>19.46</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元。招商银行杭州分行依法承担安全保管理财产品财产、监督管理人依法合</w:t>
      </w:r>
      <w:proofErr w:type="gramStart"/>
      <w:r w:rsidRPr="006D3301">
        <w:rPr>
          <w:rFonts w:asciiTheme="minorEastAsia" w:eastAsiaTheme="minorEastAsia" w:hAnsiTheme="minorEastAsia" w:cs="宋体" w:hint="eastAsia"/>
          <w:b/>
          <w:bCs/>
        </w:rPr>
        <w:t>规</w:t>
      </w:r>
      <w:proofErr w:type="gramEnd"/>
      <w:r w:rsidRPr="006D3301">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w:t>
      </w:r>
      <w:r w:rsidRPr="006D3301">
        <w:rPr>
          <w:rFonts w:ascii="宋体" w:hAnsi="宋体" w:cs="宋体" w:hint="eastAsia"/>
          <w:b/>
          <w:bCs/>
        </w:rPr>
        <w:lastRenderedPageBreak/>
        <w:t>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8364D0">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800" w:rsidRDefault="00ED3800" w:rsidP="00E750E6">
      <w:r>
        <w:separator/>
      </w:r>
    </w:p>
  </w:endnote>
  <w:endnote w:type="continuationSeparator" w:id="1">
    <w:p w:rsidR="00ED3800" w:rsidRDefault="00ED3800"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5C76FD"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5C76FD" w:rsidP="00021FAD">
    <w:pPr>
      <w:pStyle w:val="a4"/>
      <w:jc w:val="center"/>
    </w:pPr>
    <w:fldSimple w:instr="PAGE   \* MERGEFORMAT">
      <w:r w:rsidR="008364D0" w:rsidRPr="008364D0">
        <w:rPr>
          <w:noProof/>
          <w:lang w:val="zh-CN"/>
        </w:rPr>
        <w:t>-</w:t>
      </w:r>
      <w:r w:rsidR="008364D0">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5C76F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5C76F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8364D0">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800" w:rsidRDefault="00ED3800" w:rsidP="00E750E6">
      <w:r>
        <w:separator/>
      </w:r>
    </w:p>
  </w:footnote>
  <w:footnote w:type="continuationSeparator" w:id="1">
    <w:p w:rsidR="00ED3800" w:rsidRDefault="00ED3800"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F86"/>
    <w:rsid w:val="00152169"/>
    <w:rsid w:val="001618BE"/>
    <w:rsid w:val="001C2275"/>
    <w:rsid w:val="001C4F70"/>
    <w:rsid w:val="001C6DE5"/>
    <w:rsid w:val="001E0CC6"/>
    <w:rsid w:val="001E3C4D"/>
    <w:rsid w:val="00220213"/>
    <w:rsid w:val="0022402E"/>
    <w:rsid w:val="002319FC"/>
    <w:rsid w:val="00234722"/>
    <w:rsid w:val="0026379D"/>
    <w:rsid w:val="002A2D56"/>
    <w:rsid w:val="002B63D7"/>
    <w:rsid w:val="002E0194"/>
    <w:rsid w:val="002F1B1B"/>
    <w:rsid w:val="002F6C77"/>
    <w:rsid w:val="00301795"/>
    <w:rsid w:val="0032779B"/>
    <w:rsid w:val="00386ACF"/>
    <w:rsid w:val="003C761D"/>
    <w:rsid w:val="003F16FF"/>
    <w:rsid w:val="003F23CD"/>
    <w:rsid w:val="003F7E23"/>
    <w:rsid w:val="0046650F"/>
    <w:rsid w:val="00496C69"/>
    <w:rsid w:val="004A2E94"/>
    <w:rsid w:val="004A41B7"/>
    <w:rsid w:val="004F4450"/>
    <w:rsid w:val="00511AA1"/>
    <w:rsid w:val="00536AE4"/>
    <w:rsid w:val="00563A8A"/>
    <w:rsid w:val="00583F97"/>
    <w:rsid w:val="005926B2"/>
    <w:rsid w:val="005B353E"/>
    <w:rsid w:val="005C76FD"/>
    <w:rsid w:val="005E457B"/>
    <w:rsid w:val="006077EE"/>
    <w:rsid w:val="00624350"/>
    <w:rsid w:val="00630B76"/>
    <w:rsid w:val="00687F54"/>
    <w:rsid w:val="006A3F49"/>
    <w:rsid w:val="006B073A"/>
    <w:rsid w:val="006C48E5"/>
    <w:rsid w:val="006D095A"/>
    <w:rsid w:val="006E0334"/>
    <w:rsid w:val="006F24F1"/>
    <w:rsid w:val="006F7373"/>
    <w:rsid w:val="00702C08"/>
    <w:rsid w:val="0070614B"/>
    <w:rsid w:val="007862A0"/>
    <w:rsid w:val="00796552"/>
    <w:rsid w:val="007D403D"/>
    <w:rsid w:val="007E2C65"/>
    <w:rsid w:val="00800EA5"/>
    <w:rsid w:val="008364D0"/>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F3020"/>
    <w:rsid w:val="00A330E5"/>
    <w:rsid w:val="00A53439"/>
    <w:rsid w:val="00A83BE1"/>
    <w:rsid w:val="00A876E4"/>
    <w:rsid w:val="00A90718"/>
    <w:rsid w:val="00AA0FE6"/>
    <w:rsid w:val="00AB069D"/>
    <w:rsid w:val="00AC7AA8"/>
    <w:rsid w:val="00B1073E"/>
    <w:rsid w:val="00B13AE5"/>
    <w:rsid w:val="00B6623C"/>
    <w:rsid w:val="00B76C90"/>
    <w:rsid w:val="00BC7B79"/>
    <w:rsid w:val="00BE19C1"/>
    <w:rsid w:val="00BF0291"/>
    <w:rsid w:val="00BF2DDD"/>
    <w:rsid w:val="00BF5104"/>
    <w:rsid w:val="00BF73F7"/>
    <w:rsid w:val="00C13CBD"/>
    <w:rsid w:val="00C3443A"/>
    <w:rsid w:val="00C4692A"/>
    <w:rsid w:val="00C61E48"/>
    <w:rsid w:val="00C76793"/>
    <w:rsid w:val="00C92C4D"/>
    <w:rsid w:val="00CB711A"/>
    <w:rsid w:val="00CD2C46"/>
    <w:rsid w:val="00CD4C97"/>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3800"/>
    <w:rsid w:val="00ED4224"/>
    <w:rsid w:val="00ED48EA"/>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12</Pages>
  <Words>1867</Words>
  <Characters>10644</Characters>
  <Application>Microsoft Office Word</Application>
  <DocSecurity>0</DocSecurity>
  <Lines>88</Lines>
  <Paragraphs>24</Paragraphs>
  <ScaleCrop>false</ScaleCrop>
  <Company>hh</Company>
  <LinksUpToDate>false</LinksUpToDate>
  <CharactersWithSpaces>12487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2024-01-26T08:07:00Z</dcterms:modified>
</cp:coreProperties>
</file>