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rPr>
      </w:pPr>
      <w:r>
        <w:rPr>
          <w:rFonts w:hint="eastAsia" w:ascii="楷体" w:hAnsi="楷体" w:eastAsia="楷体"/>
          <w:b/>
          <w:color w:val="auto"/>
          <w:sz w:val="28"/>
          <w:szCs w:val="28"/>
        </w:rPr>
        <w:t>“苏银理财</w:t>
      </w:r>
      <w:r>
        <w:rPr>
          <w:rFonts w:hint="eastAsia" w:ascii="楷体" w:hAnsi="楷体" w:eastAsia="楷体"/>
          <w:b/>
          <w:color w:val="auto"/>
          <w:sz w:val="28"/>
          <w:szCs w:val="28"/>
          <w:lang w:eastAsia="zh-CN"/>
        </w:rPr>
        <w:t>恒源封闭债权24</w:t>
      </w:r>
      <w:r>
        <w:rPr>
          <w:rFonts w:hint="eastAsia" w:ascii="楷体" w:hAnsi="楷体" w:eastAsia="楷体"/>
          <w:b/>
          <w:color w:val="auto"/>
          <w:sz w:val="28"/>
          <w:szCs w:val="28"/>
          <w:lang w:val="en-US" w:eastAsia="zh-CN"/>
        </w:rPr>
        <w:t>8</w:t>
      </w:r>
      <w:bookmarkStart w:id="0" w:name="_GoBack"/>
      <w:bookmarkEnd w:id="0"/>
      <w:r>
        <w:rPr>
          <w:rFonts w:hint="eastAsia" w:ascii="楷体" w:hAnsi="楷体" w:eastAsia="楷体"/>
          <w:b/>
          <w:color w:val="auto"/>
          <w:sz w:val="28"/>
          <w:szCs w:val="28"/>
          <w:lang w:eastAsia="zh-CN"/>
        </w:rPr>
        <w:t>期</w:t>
      </w:r>
      <w:r>
        <w:rPr>
          <w:rFonts w:hint="eastAsia" w:ascii="楷体" w:hAnsi="楷体" w:eastAsia="楷体"/>
          <w:b/>
          <w:color w:val="auto"/>
          <w:sz w:val="28"/>
          <w:szCs w:val="28"/>
        </w:rPr>
        <w:t>”理财产品风险揭示书</w:t>
      </w:r>
    </w:p>
    <w:p>
      <w:pPr>
        <w:spacing w:line="240" w:lineRule="auto"/>
        <w:jc w:val="center"/>
        <w:rPr>
          <w:rFonts w:hint="eastAsia" w:ascii="楷体" w:hAnsi="楷体" w:eastAsia="楷体" w:cs="宋体"/>
          <w:b/>
          <w:color w:val="auto"/>
          <w:kern w:val="0"/>
          <w:sz w:val="28"/>
          <w:szCs w:val="28"/>
        </w:rPr>
      </w:pPr>
      <w:r>
        <w:rPr>
          <w:rFonts w:hint="eastAsia" w:ascii="楷体" w:hAnsi="楷体" w:eastAsia="楷体" w:cs="宋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由于理财资金在管理运用过程中可能面临多种风险因素，根据</w:t>
      </w:r>
      <w:r>
        <w:rPr>
          <w:rFonts w:hint="eastAsia" w:ascii="楷体" w:hAnsi="楷体" w:eastAsia="楷体" w:cs="Times New Roman"/>
          <w:sz w:val="21"/>
          <w:szCs w:val="21"/>
          <w:lang w:val="en-US" w:eastAsia="zh-CN"/>
        </w:rPr>
        <w:t>国家金融监督管理总局（以下简称“金融监管总局”）</w:t>
      </w:r>
      <w:r>
        <w:rPr>
          <w:rFonts w:hint="eastAsia" w:ascii="楷体" w:hAnsi="楷体" w:eastAsia="楷体" w:cs="Times New Roman"/>
          <w:color w:val="auto"/>
          <w:sz w:val="21"/>
          <w:szCs w:val="21"/>
        </w:rPr>
        <w:t>相关监管规定，苏银理财有限责任公司（以下简称“苏银理财”</w:t>
      </w:r>
      <w:r>
        <w:rPr>
          <w:rFonts w:hint="eastAsia" w:ascii="楷体" w:hAnsi="楷体" w:eastAsia="楷体" w:cs="Times New Roman"/>
          <w:color w:val="auto"/>
          <w:sz w:val="21"/>
          <w:szCs w:val="21"/>
          <w:lang w:val="en-US" w:eastAsia="zh-CN"/>
        </w:rPr>
        <w:t>或“管理人”</w:t>
      </w:r>
      <w:r>
        <w:rPr>
          <w:rFonts w:hint="eastAsia" w:ascii="楷体" w:hAnsi="楷体" w:eastAsia="楷体" w:cs="Times New Roman"/>
          <w:color w:val="auto"/>
          <w:sz w:val="21"/>
          <w:szCs w:val="21"/>
        </w:rPr>
        <w:t>）作为本理财产品的产品管理人郑重提示您：在您选择购买理财产品前，请仔细阅读本理财产品</w:t>
      </w:r>
      <w:r>
        <w:rPr>
          <w:rFonts w:hint="eastAsia" w:ascii="楷体" w:hAnsi="楷体" w:eastAsia="楷体" w:cs="Times New Roman"/>
          <w:color w:val="auto"/>
          <w:sz w:val="21"/>
          <w:szCs w:val="21"/>
          <w:lang w:val="en-US" w:eastAsia="zh-CN"/>
        </w:rPr>
        <w:t>完整销售文件</w:t>
      </w:r>
      <w:r>
        <w:rPr>
          <w:rFonts w:hint="eastAsia" w:ascii="楷体" w:hAnsi="楷体" w:eastAsia="楷体" w:cs="Times New Roman"/>
          <w:color w:val="auto"/>
          <w:sz w:val="21"/>
          <w:szCs w:val="21"/>
        </w:rPr>
        <w:t>（包括《风险揭示书》、《理财产品说明书》、</w:t>
      </w:r>
      <w:r>
        <w:rPr>
          <w:rFonts w:ascii="楷体" w:hAnsi="楷体" w:eastAsia="楷体" w:cs="Times New Roman"/>
          <w:color w:val="auto"/>
          <w:sz w:val="21"/>
          <w:szCs w:val="21"/>
        </w:rPr>
        <w:t>《</w:t>
      </w:r>
      <w:r>
        <w:rPr>
          <w:rFonts w:hint="eastAsia" w:ascii="楷体" w:hAnsi="楷体" w:eastAsia="楷体" w:cs="Times New Roman"/>
          <w:color w:val="auto"/>
          <w:sz w:val="21"/>
          <w:szCs w:val="21"/>
          <w:lang w:val="en-US" w:eastAsia="zh-CN"/>
        </w:rPr>
        <w:t>理财</w:t>
      </w:r>
      <w:r>
        <w:rPr>
          <w:rFonts w:hint="eastAsia" w:ascii="楷体" w:hAnsi="楷体" w:eastAsia="楷体" w:cs="Times New Roman"/>
          <w:color w:val="auto"/>
          <w:sz w:val="21"/>
          <w:szCs w:val="21"/>
        </w:rPr>
        <w:t>产品投资协议书</w:t>
      </w:r>
      <w:r>
        <w:rPr>
          <w:rFonts w:ascii="楷体" w:hAnsi="楷体" w:eastAsia="楷体" w:cs="Times New Roman"/>
          <w:color w:val="auto"/>
          <w:sz w:val="21"/>
          <w:szCs w:val="21"/>
        </w:rPr>
        <w:t>》</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《投资者权益须知》</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w:t>
      </w:r>
      <w:r>
        <w:rPr>
          <w:rFonts w:hint="eastAsia" w:ascii="楷体" w:hAnsi="楷体" w:eastAsia="楷体" w:cs="Times New Roman"/>
          <w:color w:val="auto"/>
          <w:sz w:val="21"/>
          <w:szCs w:val="21"/>
          <w:lang w:eastAsia="zh-CN"/>
        </w:rPr>
        <w:t>理财产品（代理）销售协议书</w:t>
      </w:r>
      <w:r>
        <w:rPr>
          <w:rFonts w:hint="eastAsia" w:ascii="楷体" w:hAnsi="楷体" w:eastAsia="楷体" w:cs="Times New Roman"/>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苏银理财作为本理财产品管理人承诺以诚实信用、勤勉尽责的原则管理和运用理财产品资产，</w:t>
      </w:r>
      <w:r>
        <w:rPr>
          <w:rFonts w:hint="eastAsia" w:ascii="楷体" w:hAnsi="楷体" w:eastAsia="楷体" w:cs="Times New Roman"/>
          <w:b/>
          <w:color w:val="auto"/>
          <w:sz w:val="21"/>
          <w:szCs w:val="21"/>
          <w:u w:val="single"/>
        </w:rPr>
        <w:t>但不保证理财产品一定盈利，也不保证最低收益，极端情况下有可能会损失部分甚至全部本金。</w:t>
      </w:r>
      <w:r>
        <w:rPr>
          <w:rFonts w:hint="eastAsia" w:ascii="楷体" w:hAnsi="楷体" w:eastAsia="楷体" w:cs="Times New Roman"/>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b/>
          <w:color w:val="auto"/>
          <w:sz w:val="24"/>
          <w:szCs w:val="24"/>
        </w:rPr>
      </w:pPr>
      <w:r>
        <w:rPr>
          <w:rFonts w:hint="eastAsia" w:ascii="楷体" w:hAnsi="楷体" w:eastAsia="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政策风险：</w:t>
      </w:r>
      <w:r>
        <w:rPr>
          <w:rFonts w:hint="eastAsia" w:ascii="楷体" w:hAnsi="楷体" w:eastAsia="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信用风险：</w:t>
      </w: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投资于各类金融</w:t>
      </w:r>
      <w:r>
        <w:rPr>
          <w:rFonts w:hint="eastAsia" w:ascii="楷体" w:hAnsi="楷体" w:eastAsia="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将按照投资实际收益情况，并以资产变现实际收到的资金为限支付投资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收益，投资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市场风险：</w:t>
      </w:r>
      <w:r>
        <w:rPr>
          <w:rFonts w:hint="eastAsia" w:ascii="楷体" w:hAnsi="楷体" w:eastAsia="楷体"/>
          <w:color w:val="auto"/>
          <w:sz w:val="21"/>
          <w:szCs w:val="21"/>
        </w:rPr>
        <w:t>本理财产品投资</w:t>
      </w:r>
      <w:r>
        <w:rPr>
          <w:rFonts w:hint="eastAsia" w:ascii="楷体" w:hAnsi="楷体" w:eastAsia="楷体"/>
          <w:color w:val="auto"/>
          <w:sz w:val="21"/>
          <w:szCs w:val="21"/>
          <w:lang w:val="en-US" w:eastAsia="zh-CN"/>
        </w:rPr>
        <w:t>的金融</w:t>
      </w:r>
      <w:r>
        <w:rPr>
          <w:rFonts w:hint="eastAsia" w:ascii="楷体" w:hAnsi="楷体" w:eastAsia="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管理风险：</w:t>
      </w:r>
      <w:r>
        <w:rPr>
          <w:rFonts w:hint="eastAsia" w:ascii="楷体" w:hAnsi="楷体" w:eastAsia="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操作风险：</w:t>
      </w:r>
      <w:r>
        <w:rPr>
          <w:rFonts w:hint="eastAsia" w:ascii="楷体" w:hAnsi="楷体" w:eastAsia="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延期兑付风险：</w:t>
      </w:r>
      <w:r>
        <w:rPr>
          <w:rFonts w:hint="eastAsia" w:ascii="楷体" w:hAnsi="楷体" w:eastAsia="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提前终止风险：</w:t>
      </w:r>
      <w:r>
        <w:rPr>
          <w:rFonts w:hint="eastAsia" w:ascii="楷体" w:hAnsi="楷体" w:eastAsia="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lang w:val="en-US" w:eastAsia="zh-CN"/>
        </w:rPr>
        <w:t>产品销售文件</w:t>
      </w:r>
      <w:r>
        <w:rPr>
          <w:rFonts w:hint="eastAsia" w:ascii="楷体" w:hAnsi="楷体" w:eastAsia="楷体"/>
          <w:color w:val="auto"/>
          <w:sz w:val="21"/>
          <w:szCs w:val="21"/>
        </w:rPr>
        <w:t>的，产品管理人有权提前终止理财产品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信息传递风险：</w:t>
      </w:r>
      <w:r>
        <w:rPr>
          <w:rFonts w:hint="eastAsia" w:ascii="楷体" w:hAnsi="楷体" w:eastAsia="楷体"/>
          <w:color w:val="auto"/>
          <w:sz w:val="21"/>
          <w:szCs w:val="21"/>
        </w:rPr>
        <w:t>产品管理人将按照本理财产品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sz w:val="21"/>
          <w:szCs w:val="21"/>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w:t>
      </w:r>
      <w:r>
        <w:rPr>
          <w:rFonts w:hint="eastAsia" w:ascii="楷体" w:hAnsi="楷体" w:eastAsia="楷体"/>
          <w:sz w:val="21"/>
          <w:szCs w:val="21"/>
        </w:rPr>
        <w:t>其</w:t>
      </w:r>
      <w:r>
        <w:rPr>
          <w:rFonts w:hint="eastAsia" w:ascii="楷体" w:hAnsi="楷体" w:eastAsia="楷体"/>
          <w:sz w:val="21"/>
          <w:szCs w:val="21"/>
          <w:highlight w:val="none"/>
        </w:rPr>
        <w:t>认购</w:t>
      </w:r>
      <w:r>
        <w:rPr>
          <w:rFonts w:hint="eastAsia" w:ascii="楷体" w:hAnsi="楷体" w:eastAsia="楷体"/>
          <w:sz w:val="21"/>
          <w:szCs w:val="21"/>
          <w:highlight w:val="none"/>
          <w:lang w:val="en-US" w:eastAsia="zh-CN"/>
        </w:rPr>
        <w:t>/申购</w:t>
      </w:r>
      <w:r>
        <w:rPr>
          <w:rFonts w:hint="eastAsia" w:ascii="楷体" w:hAnsi="楷体" w:eastAsia="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不可抗力风险：</w:t>
      </w:r>
      <w:r>
        <w:rPr>
          <w:rFonts w:hint="eastAsia" w:ascii="楷体" w:hAnsi="楷体" w:eastAsia="楷体"/>
          <w:color w:val="auto"/>
          <w:sz w:val="21"/>
          <w:szCs w:val="21"/>
        </w:rPr>
        <w:t>自然</w:t>
      </w:r>
      <w:r>
        <w:rPr>
          <w:rFonts w:hint="eastAsia" w:ascii="楷体" w:hAnsi="楷体" w:eastAsia="楷体"/>
          <w:color w:val="auto"/>
          <w:sz w:val="21"/>
          <w:szCs w:val="21"/>
          <w:highlight w:val="none"/>
        </w:rPr>
        <w:t>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w:t>
      </w:r>
      <w:r>
        <w:rPr>
          <w:rFonts w:hint="eastAsia" w:ascii="楷体" w:hAnsi="楷体" w:eastAsia="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olor w:val="auto"/>
          <w:sz w:val="21"/>
          <w:szCs w:val="21"/>
        </w:rPr>
      </w:pPr>
      <w:r>
        <w:rPr>
          <w:rFonts w:hint="eastAsia" w:ascii="楷体" w:hAnsi="楷体" w:eastAsia="楷体" w:cs="Times New Roman"/>
          <w:b/>
          <w:bCs/>
          <w:color w:val="auto"/>
          <w:sz w:val="21"/>
          <w:szCs w:val="21"/>
        </w:rPr>
        <w:t>关联关系及关联交易风险</w:t>
      </w:r>
      <w:r>
        <w:rPr>
          <w:rFonts w:hint="eastAsia" w:ascii="楷体" w:hAnsi="楷体" w:eastAsia="楷体" w:cs="Times New Roman"/>
          <w:color w:val="auto"/>
          <w:sz w:val="21"/>
          <w:szCs w:val="21"/>
        </w:rPr>
        <w:t>：本理财产品由</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理财发行并作为管理人，独立履行产品管理职责，</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理财委托销售机构销售理财产品的，可能涉及委托</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银行股份有限公司（以下简称“</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银行”）作为理财产品的销售机构，负责理财产品的代理销售工作。</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理财是</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银行控股的子公司，二者互为关联方，可能出现关联交易行为。</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olor w:val="auto"/>
          <w:sz w:val="21"/>
          <w:szCs w:val="21"/>
        </w:rPr>
      </w:pPr>
      <w:r>
        <w:rPr>
          <w:rFonts w:hint="eastAsia" w:ascii="楷体" w:hAnsi="楷体" w:eastAsia="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olor w:val="auto"/>
          <w:sz w:val="21"/>
          <w:szCs w:val="21"/>
        </w:rPr>
      </w:pPr>
      <w:r>
        <w:rPr>
          <w:rFonts w:hint="default" w:ascii="Calibri" w:hAnsi="Calibri" w:eastAsia="楷体" w:cs="Calibri"/>
          <w:color w:val="auto"/>
          <w:sz w:val="21"/>
          <w:szCs w:val="21"/>
        </w:rPr>
        <w:t>①</w:t>
      </w:r>
      <w:r>
        <w:rPr>
          <w:rFonts w:hint="eastAsia" w:ascii="楷体" w:hAnsi="楷体" w:eastAsia="楷体"/>
          <w:color w:val="auto"/>
          <w:sz w:val="21"/>
          <w:szCs w:val="21"/>
        </w:rPr>
        <w:t>市场平均利率水平变化导致债券价格变化的风险。</w:t>
      </w:r>
      <w:r>
        <w:rPr>
          <w:rFonts w:hint="default" w:ascii="Calibri" w:hAnsi="Calibri" w:eastAsia="楷体" w:cs="Calibri"/>
          <w:color w:val="auto"/>
          <w:sz w:val="21"/>
          <w:szCs w:val="21"/>
        </w:rPr>
        <w:t>②</w:t>
      </w:r>
      <w:r>
        <w:rPr>
          <w:rFonts w:hint="eastAsia" w:ascii="楷体" w:hAnsi="楷体" w:eastAsia="楷体"/>
          <w:color w:val="auto"/>
          <w:sz w:val="21"/>
          <w:szCs w:val="21"/>
        </w:rPr>
        <w:t>债券市场不同期限、不同类别债券之间的利差变动导致相应期限和类别债券价格变化的风险。</w:t>
      </w:r>
      <w:r>
        <w:rPr>
          <w:rFonts w:hint="default" w:ascii="Calibri" w:hAnsi="Calibri" w:eastAsia="楷体" w:cs="Calibri"/>
          <w:color w:val="auto"/>
          <w:sz w:val="21"/>
          <w:szCs w:val="21"/>
        </w:rPr>
        <w:t>③</w:t>
      </w:r>
      <w:r>
        <w:rPr>
          <w:rFonts w:hint="eastAsia" w:ascii="楷体" w:hAnsi="楷体" w:eastAsia="楷体"/>
          <w:color w:val="auto"/>
          <w:sz w:val="21"/>
          <w:szCs w:val="21"/>
        </w:rPr>
        <w:t>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r>
        <w:rPr>
          <w:rFonts w:hint="eastAsia" w:ascii="楷体" w:hAnsi="楷体" w:eastAsia="楷体" w:cs="楷体"/>
          <w:color w:val="auto"/>
          <w:sz w:val="21"/>
          <w:szCs w:val="21"/>
        </w:rPr>
        <w:t>④</w:t>
      </w:r>
      <w:r>
        <w:rPr>
          <w:rFonts w:hint="eastAsia" w:ascii="楷体" w:hAnsi="楷体" w:eastAsia="楷体"/>
          <w:color w:val="auto"/>
          <w:sz w:val="21"/>
          <w:szCs w:val="21"/>
        </w:rPr>
        <w:t>债券发行人、担保人出现违约拒绝支付到期本息，或由于债券发行人、担保人信用质量降低导致债券价格下降及无法收回投资收益的风险。</w:t>
      </w:r>
      <w:r>
        <w:rPr>
          <w:rFonts w:hint="eastAsia" w:ascii="楷体" w:hAnsi="楷体" w:eastAsia="楷体" w:cs="楷体"/>
          <w:color w:val="auto"/>
          <w:sz w:val="21"/>
          <w:szCs w:val="21"/>
        </w:rPr>
        <w:t>⑤</w:t>
      </w:r>
      <w:r>
        <w:rPr>
          <w:rFonts w:hint="eastAsia" w:ascii="楷体" w:hAnsi="楷体" w:eastAsia="楷体"/>
          <w:color w:val="auto"/>
          <w:sz w:val="21"/>
          <w:szCs w:val="21"/>
        </w:rPr>
        <w:t>与信用等级较高的债券相比，投资于信用等级较低的债券将因为发行主体的偿还债务能力略低、受不利经济环境的影响更大以及违约风险更高等原因而面临更大的投资风险。</w:t>
      </w:r>
      <w:r>
        <w:rPr>
          <w:rFonts w:hint="eastAsia" w:ascii="楷体" w:hAnsi="楷体" w:eastAsia="楷体" w:cs="楷体"/>
          <w:color w:val="auto"/>
          <w:sz w:val="21"/>
          <w:szCs w:val="21"/>
        </w:rPr>
        <w:t>⑥</w:t>
      </w:r>
      <w:r>
        <w:rPr>
          <w:rFonts w:hint="eastAsia" w:ascii="楷体" w:hAnsi="楷体" w:eastAsia="楷体"/>
          <w:color w:val="auto"/>
          <w:sz w:val="21"/>
          <w:szCs w:val="21"/>
        </w:rPr>
        <w:t>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rPr>
          <w:rFonts w:hint="eastAsia" w:ascii="楷体" w:hAnsi="楷体" w:eastAsia="楷体"/>
          <w:b/>
          <w:bCs w:val="0"/>
          <w:color w:val="auto"/>
          <w:sz w:val="21"/>
          <w:szCs w:val="21"/>
        </w:rPr>
      </w:pPr>
      <w:r>
        <w:rPr>
          <w:rFonts w:hint="eastAsia" w:ascii="楷体" w:hAnsi="楷体" w:eastAsia="楷体"/>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①融资方还款履约能力可能的变化导致的信用风险。②债务人提前还款或逾期还款的风险。③保证人未履行保证义务的风险等。</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b/>
          <w:bCs w:val="0"/>
          <w:color w:val="auto"/>
          <w:sz w:val="21"/>
          <w:szCs w:val="21"/>
        </w:rPr>
      </w:pPr>
      <w:r>
        <w:rPr>
          <w:rFonts w:hint="default" w:ascii="楷体" w:hAnsi="楷体" w:eastAsia="楷体"/>
          <w:b/>
          <w:bCs w:val="0"/>
          <w:color w:val="auto"/>
          <w:sz w:val="21"/>
          <w:szCs w:val="21"/>
        </w:rPr>
        <w:t>①</w:t>
      </w:r>
      <w:r>
        <w:rPr>
          <w:rFonts w:hint="eastAsia" w:ascii="楷体" w:hAnsi="楷体" w:eastAsia="楷体"/>
          <w:b/>
          <w:bCs w:val="0"/>
          <w:color w:val="auto"/>
          <w:sz w:val="21"/>
          <w:szCs w:val="21"/>
        </w:rPr>
        <w:t>国家货币政策、财政政策、产业政策等的变化对证券市场产生一定的影响，导致市场价格水平波动的风险。</w:t>
      </w:r>
      <w:r>
        <w:rPr>
          <w:rFonts w:hint="default" w:ascii="楷体" w:hAnsi="楷体" w:eastAsia="楷体"/>
          <w:b/>
          <w:bCs w:val="0"/>
          <w:color w:val="auto"/>
          <w:sz w:val="21"/>
          <w:szCs w:val="21"/>
        </w:rPr>
        <w:t>②</w:t>
      </w:r>
      <w:r>
        <w:rPr>
          <w:rFonts w:hint="eastAsia" w:ascii="楷体" w:hAnsi="楷体" w:eastAsia="楷体"/>
          <w:b/>
          <w:bCs w:val="0"/>
          <w:color w:val="auto"/>
          <w:sz w:val="21"/>
          <w:szCs w:val="21"/>
        </w:rPr>
        <w:t>宏观经济运行周期性波动，对股票市场的收益水平产生影响的风险。</w:t>
      </w:r>
      <w:r>
        <w:rPr>
          <w:rFonts w:hint="default" w:ascii="楷体" w:hAnsi="楷体" w:eastAsia="楷体"/>
          <w:b/>
          <w:bCs w:val="0"/>
          <w:color w:val="auto"/>
          <w:sz w:val="21"/>
          <w:szCs w:val="21"/>
        </w:rPr>
        <w:t>③</w:t>
      </w:r>
      <w:r>
        <w:rPr>
          <w:rFonts w:hint="eastAsia" w:ascii="楷体" w:hAnsi="楷体" w:eastAsia="楷体"/>
          <w:b/>
          <w:bCs w:val="0"/>
          <w:color w:val="auto"/>
          <w:sz w:val="21"/>
          <w:szCs w:val="21"/>
        </w:rPr>
        <w:t>上市公司的经营状况受多种因素影响，如市场、技术、竞争、管理、财务等都会导致公司盈利发生变化，从而导致股票价格变动的风险。</w:t>
      </w:r>
    </w:p>
    <w:p>
      <w:pPr>
        <w:numPr>
          <w:ilvl w:val="0"/>
          <w:numId w:val="3"/>
        </w:numPr>
        <w:tabs>
          <w:tab w:val="left" w:pos="742"/>
        </w:tabs>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结构性存款的特殊风险：</w:t>
      </w:r>
    </w:p>
    <w:p>
      <w:pPr>
        <w:pStyle w:val="13"/>
        <w:spacing w:before="0" w:beforeAutospacing="0" w:after="0" w:afterAutospacing="0"/>
        <w:ind w:firstLine="422" w:firstLineChars="200"/>
        <w:jc w:val="both"/>
        <w:rPr>
          <w:rFonts w:hint="eastAsia" w:ascii="楷体" w:hAnsi="楷体" w:eastAsia="楷体"/>
          <w:b/>
          <w:color w:val="auto"/>
          <w:sz w:val="21"/>
          <w:szCs w:val="21"/>
          <w:u w:val="none"/>
        </w:rPr>
      </w:pPr>
      <w:r>
        <w:rPr>
          <w:rFonts w:hint="default" w:ascii="楷体" w:hAnsi="楷体" w:eastAsia="楷体"/>
          <w:b/>
          <w:color w:val="auto"/>
          <w:sz w:val="21"/>
          <w:szCs w:val="21"/>
          <w:u w:val="none"/>
          <w:lang w:val="en-US" w:eastAsia="zh-CN"/>
        </w:rPr>
        <w:fldChar w:fldCharType="begin"/>
      </w:r>
      <w:r>
        <w:rPr>
          <w:rFonts w:hint="default" w:ascii="楷体" w:hAnsi="楷体" w:eastAsia="楷体"/>
          <w:b/>
          <w:color w:val="auto"/>
          <w:sz w:val="21"/>
          <w:szCs w:val="21"/>
          <w:u w:val="none"/>
          <w:lang w:val="en-US" w:eastAsia="zh-CN"/>
        </w:rPr>
        <w:instrText xml:space="preserve"> = 1 \* GB3 \* MERGEFORMAT </w:instrText>
      </w:r>
      <w:r>
        <w:rPr>
          <w:rFonts w:hint="default"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①</w:t>
      </w:r>
      <w:r>
        <w:rPr>
          <w:rFonts w:hint="default" w:ascii="楷体" w:hAnsi="楷体" w:eastAsia="楷体"/>
          <w:b/>
          <w:color w:val="auto"/>
          <w:sz w:val="21"/>
          <w:szCs w:val="21"/>
          <w:u w:val="none"/>
          <w:lang w:val="en-US" w:eastAsia="zh-CN"/>
        </w:rPr>
        <w:fldChar w:fldCharType="end"/>
      </w:r>
      <w:r>
        <w:rPr>
          <w:rFonts w:hint="default" w:ascii="楷体" w:hAnsi="楷体" w:eastAsia="楷体"/>
          <w:b/>
          <w:color w:val="auto"/>
          <w:sz w:val="21"/>
          <w:szCs w:val="21"/>
          <w:u w:val="none"/>
          <w:lang w:val="en-US" w:eastAsia="zh-CN"/>
        </w:rPr>
        <w:t>市场风险。结构性存款挂钩的境内外债券、股票、利率、汇率、指数等标的受相关国家或地区的金融市场和经济趋势的影响，收益存在不确定性。</w:t>
      </w:r>
      <w:r>
        <w:rPr>
          <w:rFonts w:hint="default" w:ascii="楷体" w:hAnsi="楷体" w:eastAsia="楷体"/>
          <w:b/>
          <w:color w:val="auto"/>
          <w:sz w:val="21"/>
          <w:szCs w:val="21"/>
          <w:u w:val="none"/>
          <w:lang w:val="en-US" w:eastAsia="zh-CN"/>
        </w:rPr>
        <w:fldChar w:fldCharType="begin"/>
      </w:r>
      <w:r>
        <w:rPr>
          <w:rFonts w:hint="default" w:ascii="楷体" w:hAnsi="楷体" w:eastAsia="楷体"/>
          <w:b/>
          <w:color w:val="auto"/>
          <w:sz w:val="21"/>
          <w:szCs w:val="21"/>
          <w:u w:val="none"/>
          <w:lang w:val="en-US" w:eastAsia="zh-CN"/>
        </w:rPr>
        <w:instrText xml:space="preserve"> = 2 \* GB3 \* MERGEFORMAT </w:instrText>
      </w:r>
      <w:r>
        <w:rPr>
          <w:rFonts w:hint="default"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②</w:t>
      </w:r>
      <w:r>
        <w:rPr>
          <w:rFonts w:hint="default" w:ascii="楷体" w:hAnsi="楷体" w:eastAsia="楷体"/>
          <w:b/>
          <w:color w:val="auto"/>
          <w:sz w:val="21"/>
          <w:szCs w:val="21"/>
          <w:u w:val="none"/>
          <w:lang w:val="en-US" w:eastAsia="zh-CN"/>
        </w:rPr>
        <w:fldChar w:fldCharType="end"/>
      </w:r>
      <w:r>
        <w:rPr>
          <w:rFonts w:hint="default" w:ascii="楷体" w:hAnsi="楷体" w:eastAsia="楷体"/>
          <w:b/>
          <w:color w:val="auto"/>
          <w:sz w:val="21"/>
          <w:szCs w:val="21"/>
          <w:u w:val="none"/>
          <w:lang w:val="en-US" w:eastAsia="zh-CN"/>
        </w:rPr>
        <w:t>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w:t>
      </w:r>
      <w:r>
        <w:rPr>
          <w:rFonts w:hint="default" w:ascii="楷体" w:hAnsi="楷体" w:eastAsia="楷体"/>
          <w:b/>
          <w:color w:val="auto"/>
          <w:sz w:val="21"/>
          <w:szCs w:val="21"/>
          <w:u w:val="none"/>
          <w:lang w:val="en-US" w:eastAsia="zh-CN"/>
        </w:rPr>
        <w:fldChar w:fldCharType="begin"/>
      </w:r>
      <w:r>
        <w:rPr>
          <w:rFonts w:hint="default" w:ascii="楷体" w:hAnsi="楷体" w:eastAsia="楷体"/>
          <w:b/>
          <w:color w:val="auto"/>
          <w:sz w:val="21"/>
          <w:szCs w:val="21"/>
          <w:u w:val="none"/>
          <w:lang w:val="en-US" w:eastAsia="zh-CN"/>
        </w:rPr>
        <w:instrText xml:space="preserve"> = 3 \* GB3 \* MERGEFORMAT </w:instrText>
      </w:r>
      <w:r>
        <w:rPr>
          <w:rFonts w:hint="default"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③</w:t>
      </w:r>
      <w:r>
        <w:rPr>
          <w:rFonts w:hint="default" w:ascii="楷体" w:hAnsi="楷体" w:eastAsia="楷体"/>
          <w:b/>
          <w:color w:val="auto"/>
          <w:sz w:val="21"/>
          <w:szCs w:val="21"/>
          <w:u w:val="none"/>
          <w:lang w:val="en-US" w:eastAsia="zh-CN"/>
        </w:rPr>
        <w:fldChar w:fldCharType="end"/>
      </w:r>
      <w:r>
        <w:rPr>
          <w:rFonts w:hint="default" w:ascii="楷体" w:hAnsi="楷体" w:eastAsia="楷体"/>
          <w:b/>
          <w:color w:val="auto"/>
          <w:sz w:val="21"/>
          <w:szCs w:val="21"/>
          <w:u w:val="none"/>
          <w:lang w:val="en-US" w:eastAsia="zh-CN"/>
        </w:rPr>
        <w:t>利率风险。结构性存款如挂钩特定债券或债券指数，可能因相关利率变动而导致产品收益发生变化。</w:t>
      </w:r>
      <w:r>
        <w:rPr>
          <w:rFonts w:hint="default" w:ascii="楷体" w:hAnsi="楷体" w:eastAsia="楷体"/>
          <w:b/>
          <w:color w:val="auto"/>
          <w:sz w:val="21"/>
          <w:szCs w:val="21"/>
          <w:u w:val="none"/>
          <w:lang w:val="en-US" w:eastAsia="zh-CN"/>
        </w:rPr>
        <w:fldChar w:fldCharType="begin"/>
      </w:r>
      <w:r>
        <w:rPr>
          <w:rFonts w:hint="default" w:ascii="楷体" w:hAnsi="楷体" w:eastAsia="楷体"/>
          <w:b/>
          <w:color w:val="auto"/>
          <w:sz w:val="21"/>
          <w:szCs w:val="21"/>
          <w:u w:val="none"/>
          <w:lang w:val="en-US" w:eastAsia="zh-CN"/>
        </w:rPr>
        <w:instrText xml:space="preserve"> = 4 \* GB3 \* MERGEFORMAT </w:instrText>
      </w:r>
      <w:r>
        <w:rPr>
          <w:rFonts w:hint="default"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④</w:t>
      </w:r>
      <w:r>
        <w:rPr>
          <w:rFonts w:hint="default" w:ascii="楷体" w:hAnsi="楷体" w:eastAsia="楷体"/>
          <w:b/>
          <w:color w:val="auto"/>
          <w:sz w:val="21"/>
          <w:szCs w:val="21"/>
          <w:u w:val="none"/>
          <w:lang w:val="en-US" w:eastAsia="zh-CN"/>
        </w:rPr>
        <w:fldChar w:fldCharType="end"/>
      </w:r>
      <w:r>
        <w:rPr>
          <w:rFonts w:hint="default" w:ascii="楷体" w:hAnsi="楷体" w:eastAsia="楷体"/>
          <w:b/>
          <w:color w:val="auto"/>
          <w:sz w:val="21"/>
          <w:szCs w:val="21"/>
          <w:u w:val="none"/>
          <w:lang w:val="en-US" w:eastAsia="zh-CN"/>
        </w:rPr>
        <w:t>汇率风险。结构性存款如挂钩境外证券资产，可能面临以非人民币计价的各类资产受汇率波动影响而引起人民币估值下的理财产品资产净值波动的风险。</w:t>
      </w:r>
      <w:r>
        <w:rPr>
          <w:rFonts w:hint="default" w:ascii="楷体" w:hAnsi="楷体" w:eastAsia="楷体"/>
          <w:b/>
          <w:color w:val="auto"/>
          <w:sz w:val="21"/>
          <w:szCs w:val="21"/>
          <w:u w:val="none"/>
          <w:lang w:val="en-US" w:eastAsia="zh-CN"/>
        </w:rPr>
        <w:fldChar w:fldCharType="begin"/>
      </w:r>
      <w:r>
        <w:rPr>
          <w:rFonts w:hint="default" w:ascii="楷体" w:hAnsi="楷体" w:eastAsia="楷体"/>
          <w:b/>
          <w:color w:val="auto"/>
          <w:sz w:val="21"/>
          <w:szCs w:val="21"/>
          <w:u w:val="none"/>
          <w:lang w:val="en-US" w:eastAsia="zh-CN"/>
        </w:rPr>
        <w:instrText xml:space="preserve"> = 5 \* GB3 \* MERGEFORMAT </w:instrText>
      </w:r>
      <w:r>
        <w:rPr>
          <w:rFonts w:hint="default"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⑤</w:t>
      </w:r>
      <w:r>
        <w:rPr>
          <w:rFonts w:hint="default" w:ascii="楷体" w:hAnsi="楷体" w:eastAsia="楷体"/>
          <w:b/>
          <w:color w:val="auto"/>
          <w:sz w:val="21"/>
          <w:szCs w:val="21"/>
          <w:u w:val="none"/>
          <w:lang w:val="en-US" w:eastAsia="zh-CN"/>
        </w:rPr>
        <w:fldChar w:fldCharType="end"/>
      </w:r>
      <w:r>
        <w:rPr>
          <w:rFonts w:hint="default" w:ascii="楷体" w:hAnsi="楷体" w:eastAsia="楷体"/>
          <w:b/>
          <w:color w:val="auto"/>
          <w:sz w:val="21"/>
          <w:szCs w:val="21"/>
          <w:u w:val="none"/>
          <w:lang w:val="en-US" w:eastAsia="zh-CN"/>
        </w:rPr>
        <w:t>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ilvl w:val="0"/>
          <w:numId w:val="3"/>
        </w:numPr>
        <w:tabs>
          <w:tab w:val="left" w:pos="742"/>
        </w:tabs>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黄金、黄金主题股票、黄金ETF基金等黄金类资产的特殊风险：</w:t>
      </w:r>
    </w:p>
    <w:p>
      <w:pPr>
        <w:pStyle w:val="13"/>
        <w:spacing w:before="0" w:beforeAutospacing="0" w:after="0" w:afterAutospacing="0"/>
        <w:ind w:firstLine="422" w:firstLineChars="200"/>
        <w:jc w:val="both"/>
        <w:rPr>
          <w:rFonts w:hint="eastAsia" w:ascii="楷体" w:hAnsi="楷体" w:eastAsia="楷体"/>
          <w:b/>
          <w:color w:val="auto"/>
          <w:sz w:val="21"/>
          <w:szCs w:val="21"/>
          <w:u w:val="none"/>
        </w:rPr>
      </w:pPr>
      <w:r>
        <w:rPr>
          <w:rFonts w:hint="eastAsia" w:ascii="楷体" w:hAnsi="楷体" w:eastAsia="楷体"/>
          <w:b/>
          <w:color w:val="auto"/>
          <w:sz w:val="21"/>
          <w:szCs w:val="21"/>
          <w:u w:val="none"/>
        </w:rPr>
        <w:t>影响黄金类资产的价格的主要因素包括但不限于：①黄金的供给与需求；②投资者的黄金交易行为；③外汇汇率；④全球和地区性政治经济环境的变化等。</w:t>
      </w:r>
    </w:p>
    <w:p>
      <w:pPr>
        <w:pStyle w:val="13"/>
        <w:spacing w:before="0" w:beforeAutospacing="0" w:after="0" w:afterAutospacing="0"/>
        <w:ind w:firstLine="422" w:firstLineChars="200"/>
        <w:jc w:val="both"/>
        <w:rPr>
          <w:rFonts w:hint="eastAsia" w:ascii="楷体" w:hAnsi="楷体" w:eastAsia="楷体"/>
          <w:b/>
          <w:color w:val="auto"/>
          <w:sz w:val="21"/>
          <w:szCs w:val="21"/>
          <w:u w:val="single"/>
        </w:rPr>
      </w:pPr>
      <w:r>
        <w:rPr>
          <w:rFonts w:hint="eastAsia" w:ascii="楷体" w:hAnsi="楷体" w:eastAsia="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u w:val="single"/>
          <w:lang w:val="en-US" w:eastAsia="zh-CN"/>
        </w:rPr>
        <w:t>独立做出</w:t>
      </w:r>
      <w:r>
        <w:rPr>
          <w:rFonts w:hint="eastAsia" w:ascii="楷体" w:hAnsi="楷体" w:eastAsia="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ascii="楷体" w:hAnsi="楷体" w:eastAsia="楷体"/>
          <w:b/>
          <w:color w:val="auto"/>
          <w:sz w:val="24"/>
          <w:szCs w:val="24"/>
        </w:rPr>
      </w:pPr>
      <w:r>
        <w:rPr>
          <w:rFonts w:hint="eastAsia" w:ascii="楷体" w:hAnsi="楷体" w:eastAsia="楷体"/>
          <w:b/>
          <w:color w:val="auto"/>
          <w:sz w:val="24"/>
          <w:szCs w:val="24"/>
        </w:rPr>
        <w:t>投资者提示</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本理财产品不保证本金及收益，您的本金可能因市场变动或者交易违约等事项而蒙受相应损失，</w:t>
      </w:r>
      <w:r>
        <w:rPr>
          <w:rFonts w:hint="eastAsia" w:ascii="楷体" w:hAnsi="楷体" w:eastAsia="楷体"/>
          <w:b/>
          <w:bCs/>
          <w:color w:val="auto"/>
          <w:sz w:val="21"/>
          <w:szCs w:val="21"/>
          <w:u w:val="single"/>
        </w:rPr>
        <w:t>在最不利的情况下甚至可能损失全部本金。</w:t>
      </w:r>
      <w:r>
        <w:rPr>
          <w:rFonts w:hint="eastAsia" w:ascii="楷体" w:hAnsi="楷体" w:eastAsia="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olor w:val="auto"/>
          <w:sz w:val="21"/>
          <w:szCs w:val="21"/>
        </w:rPr>
      </w:pPr>
      <w:r>
        <w:rPr>
          <w:rFonts w:hint="eastAsia" w:ascii="楷体" w:hAnsi="楷体" w:eastAsia="楷体"/>
          <w:color w:val="auto"/>
          <w:sz w:val="21"/>
          <w:szCs w:val="21"/>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ascii="楷体" w:hAnsi="楷体" w:eastAsia="楷体"/>
          <w:color w:val="auto"/>
          <w:sz w:val="21"/>
          <w:szCs w:val="21"/>
          <w:highlight w:val="none"/>
        </w:rPr>
      </w:pPr>
      <w:r>
        <w:rPr>
          <w:rFonts w:hint="eastAsia" w:ascii="楷体" w:hAnsi="楷体" w:eastAsia="楷体"/>
          <w:color w:val="auto"/>
          <w:sz w:val="21"/>
          <w:szCs w:val="21"/>
          <w:highlight w:val="none"/>
        </w:rPr>
        <w:t>本理财产品类型为</w:t>
      </w:r>
      <w:r>
        <w:rPr>
          <w:rFonts w:hint="eastAsia" w:ascii="楷体" w:hAnsi="楷体" w:eastAsia="楷体" w:cs="Calibri"/>
          <w:b/>
          <w:color w:val="auto"/>
          <w:sz w:val="21"/>
          <w:szCs w:val="21"/>
          <w:highlight w:val="none"/>
          <w:u w:val="single"/>
        </w:rPr>
        <w:t>固定收益类、公募、封闭式</w:t>
      </w:r>
      <w:r>
        <w:rPr>
          <w:rFonts w:hint="eastAsia" w:ascii="楷体" w:hAnsi="楷体" w:eastAsia="楷体"/>
          <w:color w:val="auto"/>
          <w:sz w:val="21"/>
          <w:szCs w:val="21"/>
          <w:highlight w:val="none"/>
        </w:rPr>
        <w:t>，产品管理人对本理财产品的内部风险评级为</w:t>
      </w:r>
      <w:r>
        <w:rPr>
          <w:rFonts w:hint="eastAsia" w:ascii="楷体" w:hAnsi="楷体" w:eastAsia="楷体"/>
          <w:b/>
          <w:color w:val="auto"/>
          <w:sz w:val="21"/>
          <w:szCs w:val="21"/>
          <w:highlight w:val="none"/>
          <w:u w:val="single"/>
        </w:rPr>
        <w:t>★★二级，适合</w:t>
      </w:r>
      <w:r>
        <w:rPr>
          <w:rFonts w:hint="eastAsia" w:ascii="楷体" w:hAnsi="楷体" w:eastAsia="楷体" w:cs="Calibri"/>
          <w:b/>
          <w:color w:val="auto"/>
          <w:sz w:val="21"/>
          <w:szCs w:val="21"/>
          <w:highlight w:val="none"/>
          <w:u w:val="single"/>
        </w:rPr>
        <w:t>中低风险型</w:t>
      </w:r>
      <w:r>
        <w:rPr>
          <w:rFonts w:hint="eastAsia" w:ascii="楷体" w:hAnsi="楷体" w:eastAsia="楷体"/>
          <w:b/>
          <w:color w:val="auto"/>
          <w:sz w:val="21"/>
          <w:szCs w:val="21"/>
          <w:highlight w:val="none"/>
          <w:u w:val="single"/>
        </w:rPr>
        <w:t>投资者</w:t>
      </w:r>
      <w:r>
        <w:rPr>
          <w:rFonts w:hint="eastAsia" w:ascii="楷体" w:hAnsi="楷体" w:eastAsia="楷体"/>
          <w:color w:val="auto"/>
          <w:sz w:val="21"/>
          <w:szCs w:val="21"/>
          <w:highlight w:val="none"/>
          <w:u w:val="single"/>
        </w:rPr>
        <w:t>。</w:t>
      </w:r>
      <w:r>
        <w:rPr>
          <w:rFonts w:hint="eastAsia" w:ascii="楷体" w:hAnsi="楷体" w:eastAsia="楷体" w:cs="Calibri"/>
          <w:b/>
          <w:color w:val="auto"/>
          <w:sz w:val="21"/>
          <w:szCs w:val="21"/>
          <w:highlight w:val="none"/>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并对评估结果签字确认</w:t>
      </w:r>
      <w:r>
        <w:rPr>
          <w:rFonts w:hint="eastAsia" w:ascii="楷体" w:hAnsi="楷体" w:eastAsia="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r>
        <w:rPr>
          <w:rFonts w:hint="eastAsia" w:ascii="楷体" w:hAnsi="楷体" w:eastAsia="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投资者本人填写</w:t>
      </w:r>
      <w:r>
        <w:rPr>
          <w:rFonts w:hint="eastAsia" w:ascii="楷体" w:hAnsi="楷体" w:eastAsia="楷体"/>
          <w:color w:val="auto"/>
          <w:sz w:val="21"/>
          <w:szCs w:val="21"/>
          <w:u w:val="single"/>
        </w:rPr>
        <w:t>）</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31281"/>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361D"/>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23F35"/>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9F1431"/>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D75307"/>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8F4096"/>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0312A"/>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66263"/>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40857"/>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D97039"/>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4F38E1"/>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35838"/>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B2262"/>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44376"/>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91F1A"/>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3992"/>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4F0B6B"/>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DF61AFD"/>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9"/>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40"/>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1"/>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3"/>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2"/>
    <w:unhideWhenUsed/>
    <w:qFormat/>
    <w:uiPriority w:val="99"/>
    <w:pPr>
      <w:jc w:val="left"/>
    </w:pPr>
  </w:style>
  <w:style w:type="paragraph" w:styleId="7">
    <w:name w:val="Date"/>
    <w:basedOn w:val="1"/>
    <w:next w:val="1"/>
    <w:link w:val="44"/>
    <w:unhideWhenUsed/>
    <w:qFormat/>
    <w:uiPriority w:val="99"/>
    <w:pPr>
      <w:ind w:left="100" w:leftChars="2500"/>
    </w:pPr>
  </w:style>
  <w:style w:type="paragraph" w:styleId="8">
    <w:name w:val="Balloon Text"/>
    <w:basedOn w:val="1"/>
    <w:link w:val="45"/>
    <w:unhideWhenUsed/>
    <w:qFormat/>
    <w:uiPriority w:val="99"/>
    <w:rPr>
      <w:kern w:val="0"/>
      <w:sz w:val="18"/>
      <w:szCs w:val="18"/>
    </w:rPr>
  </w:style>
  <w:style w:type="paragraph" w:styleId="9">
    <w:name w:val="footer"/>
    <w:basedOn w:val="1"/>
    <w:link w:val="46"/>
    <w:unhideWhenUsed/>
    <w:qFormat/>
    <w:uiPriority w:val="99"/>
    <w:pPr>
      <w:tabs>
        <w:tab w:val="center" w:pos="4153"/>
        <w:tab w:val="right" w:pos="8306"/>
      </w:tabs>
      <w:snapToGrid w:val="0"/>
      <w:jc w:val="left"/>
    </w:pPr>
    <w:rPr>
      <w:kern w:val="0"/>
      <w:sz w:val="18"/>
      <w:szCs w:val="18"/>
    </w:rPr>
  </w:style>
  <w:style w:type="paragraph" w:styleId="10">
    <w:name w:val="header"/>
    <w:basedOn w:val="1"/>
    <w:link w:val="4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8"/>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9"/>
    <w:unhideWhenUsed/>
    <w:qFormat/>
    <w:uiPriority w:val="99"/>
    <w:rPr>
      <w:b/>
      <w:bCs/>
    </w:rPr>
  </w:style>
  <w:style w:type="paragraph" w:styleId="15">
    <w:name w:val="Body Text First Indent"/>
    <w:qFormat/>
    <w:uiPriority w:val="0"/>
    <w:pPr>
      <w:widowControl w:val="0"/>
      <w:spacing w:line="312" w:lineRule="auto"/>
      <w:ind w:left="860" w:firstLine="420"/>
      <w:jc w:val="both"/>
    </w:pPr>
    <w:rPr>
      <w:rFonts w:ascii="Times New Roman" w:hAnsi="Times New Roman" w:eastAsia="宋体" w:cs="Times New Roman"/>
      <w:kern w:val="2"/>
      <w:sz w:val="32"/>
      <w:szCs w:val="32"/>
      <w:lang w:val="en-US" w:eastAsia="zh-CN" w:bidi="ar-SA"/>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rFonts w:ascii="Times New Roman" w:hAnsi="Times New Roman" w:eastAsia="宋体" w:cs="Times New Roman"/>
      <w:b/>
      <w:bCs/>
    </w:rPr>
  </w:style>
  <w:style w:type="character" w:styleId="20">
    <w:name w:val="Hyperlink"/>
    <w:unhideWhenUsed/>
    <w:qFormat/>
    <w:uiPriority w:val="99"/>
    <w:rPr>
      <w:rFonts w:ascii="Times New Roman" w:hAnsi="Times New Roman" w:eastAsia="宋体" w:cs="Times New Roman"/>
      <w:color w:val="0000FF"/>
      <w:u w:val="single"/>
    </w:rPr>
  </w:style>
  <w:style w:type="character" w:styleId="21">
    <w:name w:val="annotation reference"/>
    <w:unhideWhenUsed/>
    <w:qFormat/>
    <w:uiPriority w:val="99"/>
    <w:rPr>
      <w:rFonts w:ascii="Times New Roman" w:hAnsi="Times New Roman" w:eastAsia="宋体" w:cs="Times New Roman"/>
      <w:sz w:val="21"/>
      <w:szCs w:val="21"/>
    </w:rPr>
  </w:style>
  <w:style w:type="character" w:styleId="22">
    <w:name w:val="footnote reference"/>
    <w:semiHidden/>
    <w:unhideWhenUsed/>
    <w:qFormat/>
    <w:uiPriority w:val="99"/>
    <w:rPr>
      <w:rFonts w:ascii="Times New Roman" w:hAnsi="Times New Roman" w:eastAsia="宋体" w:cs="Times New Roman"/>
      <w:vertAlign w:val="superscript"/>
    </w:rPr>
  </w:style>
  <w:style w:type="character" w:customStyle="1" w:styleId="23">
    <w:name w:val="批注文字 字符"/>
    <w:qFormat/>
    <w:uiPriority w:val="99"/>
    <w:rPr>
      <w:rFonts w:ascii="Times New Roman" w:hAnsi="Times New Roman" w:eastAsia="宋体" w:cs="Times New Roman"/>
    </w:rPr>
  </w:style>
  <w:style w:type="character" w:customStyle="1" w:styleId="24">
    <w:name w:val="标题 3 字符"/>
    <w:qFormat/>
    <w:uiPriority w:val="1"/>
    <w:rPr>
      <w:rFonts w:ascii="宋体" w:hAnsi="Times New Roman" w:eastAsia="宋体" w:cs="Times New Roman"/>
      <w:b/>
      <w:bCs/>
      <w:kern w:val="0"/>
      <w:sz w:val="20"/>
      <w:szCs w:val="21"/>
    </w:rPr>
  </w:style>
  <w:style w:type="character" w:customStyle="1" w:styleId="25">
    <w:name w:val="脚注文本 字符1"/>
    <w:semiHidden/>
    <w:qFormat/>
    <w:uiPriority w:val="99"/>
    <w:rPr>
      <w:rFonts w:ascii="Times New Roman" w:hAnsi="Times New Roman" w:eastAsia="宋体" w:cs="Times New Roman"/>
      <w:sz w:val="18"/>
      <w:szCs w:val="18"/>
    </w:rPr>
  </w:style>
  <w:style w:type="character" w:customStyle="1" w:styleId="26">
    <w:name w:val="标题 2 字符"/>
    <w:qFormat/>
    <w:uiPriority w:val="9"/>
    <w:rPr>
      <w:rFonts w:ascii="Cambria" w:hAnsi="Cambria" w:eastAsia="宋体" w:cs="Times New Roman"/>
      <w:b/>
      <w:bCs/>
      <w:kern w:val="0"/>
      <w:sz w:val="32"/>
      <w:szCs w:val="32"/>
    </w:rPr>
  </w:style>
  <w:style w:type="character" w:customStyle="1" w:styleId="27">
    <w:name w:val="正文文本 字符"/>
    <w:qFormat/>
    <w:uiPriority w:val="1"/>
    <w:rPr>
      <w:rFonts w:ascii="宋体" w:hAnsi="Times New Roman" w:eastAsia="宋体" w:cs="Times New Roman"/>
      <w:kern w:val="0"/>
      <w:sz w:val="20"/>
      <w:szCs w:val="21"/>
    </w:rPr>
  </w:style>
  <w:style w:type="character" w:customStyle="1" w:styleId="28">
    <w:name w:val="脚注文本 字符"/>
    <w:semiHidden/>
    <w:qFormat/>
    <w:uiPriority w:val="99"/>
    <w:rPr>
      <w:rFonts w:ascii="Times New Roman" w:hAnsi="Times New Roman" w:eastAsia="宋体" w:cs="Times New Roman"/>
      <w:kern w:val="2"/>
      <w:sz w:val="18"/>
      <w:szCs w:val="18"/>
    </w:rPr>
  </w:style>
  <w:style w:type="character" w:customStyle="1" w:styleId="29">
    <w:name w:val="批注主题 字符"/>
    <w:semiHidden/>
    <w:qFormat/>
    <w:uiPriority w:val="99"/>
    <w:rPr>
      <w:rFonts w:ascii="Times New Roman" w:hAnsi="Times New Roman" w:eastAsia="宋体" w:cs="Times New Roman"/>
      <w:b/>
      <w:bCs/>
    </w:rPr>
  </w:style>
  <w:style w:type="character" w:customStyle="1" w:styleId="30">
    <w:name w:val="日期 字符"/>
    <w:basedOn w:val="18"/>
    <w:semiHidden/>
    <w:qFormat/>
    <w:uiPriority w:val="99"/>
    <w:rPr>
      <w:rFonts w:ascii="Times New Roman" w:hAnsi="Times New Roman" w:eastAsia="宋体" w:cs="Times New Roman"/>
    </w:rPr>
  </w:style>
  <w:style w:type="character" w:customStyle="1" w:styleId="31">
    <w:name w:val="标题 1 字符"/>
    <w:qFormat/>
    <w:uiPriority w:val="1"/>
    <w:rPr>
      <w:rFonts w:ascii="黑体" w:hAnsi="Times New Roman" w:eastAsia="黑体" w:cs="Times New Roman"/>
      <w:b/>
      <w:bCs/>
      <w:kern w:val="0"/>
      <w:sz w:val="36"/>
      <w:szCs w:val="36"/>
    </w:rPr>
  </w:style>
  <w:style w:type="character" w:customStyle="1" w:styleId="32">
    <w:name w:val="页脚 字符"/>
    <w:qFormat/>
    <w:uiPriority w:val="99"/>
    <w:rPr>
      <w:rFonts w:ascii="Times New Roman" w:hAnsi="Times New Roman" w:eastAsia="宋体" w:cs="Times New Roman"/>
      <w:kern w:val="0"/>
      <w:sz w:val="18"/>
      <w:szCs w:val="18"/>
    </w:rPr>
  </w:style>
  <w:style w:type="character" w:customStyle="1" w:styleId="33">
    <w:name w:val="页眉 字符"/>
    <w:qFormat/>
    <w:uiPriority w:val="99"/>
    <w:rPr>
      <w:rFonts w:ascii="Times New Roman" w:hAnsi="Times New Roman" w:eastAsia="宋体" w:cs="Times New Roman"/>
      <w:kern w:val="0"/>
      <w:sz w:val="18"/>
      <w:szCs w:val="18"/>
    </w:rPr>
  </w:style>
  <w:style w:type="character" w:customStyle="1" w:styleId="34">
    <w:name w:val="批注框文本 字符"/>
    <w:semiHidden/>
    <w:qFormat/>
    <w:uiPriority w:val="99"/>
    <w:rPr>
      <w:rFonts w:ascii="Times New Roman" w:hAnsi="Times New Roman" w:eastAsia="宋体" w:cs="Times New Roman"/>
      <w:kern w:val="0"/>
      <w:sz w:val="18"/>
      <w:szCs w:val="18"/>
    </w:rPr>
  </w:style>
  <w:style w:type="paragraph" w:customStyle="1" w:styleId="35">
    <w:name w:val="Table Paragraph"/>
    <w:basedOn w:val="1"/>
    <w:qFormat/>
    <w:uiPriority w:val="1"/>
    <w:pPr>
      <w:autoSpaceDE w:val="0"/>
      <w:autoSpaceDN w:val="0"/>
      <w:adjustRightInd w:val="0"/>
      <w:jc w:val="left"/>
    </w:pPr>
    <w:rPr>
      <w:kern w:val="0"/>
      <w:sz w:val="24"/>
      <w:szCs w:val="24"/>
    </w:rPr>
  </w:style>
  <w:style w:type="paragraph" w:customStyle="1" w:styleId="3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7">
    <w:name w:val="List Paragraph"/>
    <w:basedOn w:val="1"/>
    <w:qFormat/>
    <w:uiPriority w:val="72"/>
    <w:pPr>
      <w:ind w:firstLine="420" w:firstLineChars="200"/>
    </w:pPr>
  </w:style>
  <w:style w:type="paragraph" w:customStyle="1" w:styleId="38">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9">
    <w:name w:val="标题 1 字符1"/>
    <w:link w:val="3"/>
    <w:qFormat/>
    <w:uiPriority w:val="1"/>
    <w:rPr>
      <w:rFonts w:ascii="黑体" w:hAnsi="Times New Roman" w:eastAsia="黑体" w:cs="黑体"/>
      <w:b/>
      <w:bCs/>
      <w:kern w:val="0"/>
      <w:sz w:val="36"/>
      <w:szCs w:val="36"/>
    </w:rPr>
  </w:style>
  <w:style w:type="character" w:customStyle="1" w:styleId="40">
    <w:name w:val="标题 2 字符1"/>
    <w:link w:val="4"/>
    <w:qFormat/>
    <w:uiPriority w:val="9"/>
    <w:rPr>
      <w:rFonts w:ascii="Cambria" w:hAnsi="Cambria" w:eastAsia="宋体" w:cs="Times New Roman"/>
      <w:b/>
      <w:bCs/>
      <w:sz w:val="32"/>
      <w:szCs w:val="32"/>
    </w:rPr>
  </w:style>
  <w:style w:type="character" w:customStyle="1" w:styleId="41">
    <w:name w:val="标题 3 字符1"/>
    <w:link w:val="5"/>
    <w:qFormat/>
    <w:uiPriority w:val="1"/>
    <w:rPr>
      <w:rFonts w:ascii="宋体" w:hAnsi="Times New Roman" w:eastAsia="宋体" w:cs="宋体"/>
      <w:b/>
      <w:bCs/>
      <w:kern w:val="0"/>
      <w:szCs w:val="21"/>
    </w:rPr>
  </w:style>
  <w:style w:type="character" w:customStyle="1" w:styleId="42">
    <w:name w:val="批注文字 字符1"/>
    <w:link w:val="6"/>
    <w:qFormat/>
    <w:uiPriority w:val="99"/>
    <w:rPr>
      <w:rFonts w:ascii="Times New Roman" w:hAnsi="Times New Roman" w:eastAsia="宋体" w:cs="Times New Roman"/>
      <w:kern w:val="2"/>
      <w:sz w:val="21"/>
      <w:szCs w:val="22"/>
    </w:rPr>
  </w:style>
  <w:style w:type="character" w:customStyle="1" w:styleId="43">
    <w:name w:val="正文文本 字符1"/>
    <w:link w:val="2"/>
    <w:qFormat/>
    <w:uiPriority w:val="1"/>
    <w:rPr>
      <w:rFonts w:ascii="宋体" w:hAnsi="Times New Roman" w:eastAsia="宋体" w:cs="宋体"/>
      <w:kern w:val="0"/>
      <w:szCs w:val="21"/>
    </w:rPr>
  </w:style>
  <w:style w:type="character" w:customStyle="1" w:styleId="44">
    <w:name w:val="日期 字符1"/>
    <w:basedOn w:val="18"/>
    <w:link w:val="7"/>
    <w:semiHidden/>
    <w:qFormat/>
    <w:uiPriority w:val="99"/>
    <w:rPr>
      <w:rFonts w:ascii="Times New Roman" w:hAnsi="Times New Roman" w:eastAsia="宋体" w:cs="Times New Roman"/>
    </w:rPr>
  </w:style>
  <w:style w:type="character" w:customStyle="1" w:styleId="45">
    <w:name w:val="批注框文本 字符1"/>
    <w:link w:val="8"/>
    <w:semiHidden/>
    <w:qFormat/>
    <w:uiPriority w:val="99"/>
    <w:rPr>
      <w:rFonts w:ascii="Times New Roman" w:hAnsi="Times New Roman" w:eastAsia="宋体" w:cs="Times New Roman"/>
      <w:sz w:val="18"/>
      <w:szCs w:val="18"/>
    </w:rPr>
  </w:style>
  <w:style w:type="character" w:customStyle="1" w:styleId="46">
    <w:name w:val="页脚 字符1"/>
    <w:link w:val="9"/>
    <w:qFormat/>
    <w:uiPriority w:val="99"/>
    <w:rPr>
      <w:rFonts w:ascii="Times New Roman" w:hAnsi="Times New Roman" w:eastAsia="宋体" w:cs="Times New Roman"/>
      <w:sz w:val="18"/>
      <w:szCs w:val="18"/>
    </w:rPr>
  </w:style>
  <w:style w:type="character" w:customStyle="1" w:styleId="47">
    <w:name w:val="页眉 字符1"/>
    <w:link w:val="10"/>
    <w:qFormat/>
    <w:uiPriority w:val="99"/>
    <w:rPr>
      <w:rFonts w:ascii="Times New Roman" w:hAnsi="Times New Roman" w:eastAsia="宋体" w:cs="Times New Roman"/>
      <w:sz w:val="18"/>
      <w:szCs w:val="18"/>
    </w:rPr>
  </w:style>
  <w:style w:type="character" w:customStyle="1" w:styleId="48">
    <w:name w:val="脚注文本 字符2"/>
    <w:link w:val="11"/>
    <w:semiHidden/>
    <w:qFormat/>
    <w:uiPriority w:val="99"/>
    <w:rPr>
      <w:rFonts w:ascii="Times New Roman" w:hAnsi="Times New Roman" w:eastAsia="宋体" w:cs="Times New Roman"/>
      <w:kern w:val="2"/>
      <w:sz w:val="18"/>
      <w:szCs w:val="18"/>
    </w:rPr>
  </w:style>
  <w:style w:type="character" w:customStyle="1" w:styleId="49">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4841</Words>
  <Characters>4845</Characters>
  <Lines>243</Lines>
  <Paragraphs>68</Paragraphs>
  <TotalTime>13</TotalTime>
  <ScaleCrop>false</ScaleCrop>
  <LinksUpToDate>false</LinksUpToDate>
  <CharactersWithSpaces>5044</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2025-12-03T03:18:05Z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