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A954C8">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w:t>
      </w:r>
      <w:bookmarkStart w:id="0" w:name="_GoBack"/>
      <w:bookmarkEnd w:id="0"/>
      <w:r>
        <w:rPr>
          <w:rFonts w:ascii="楷体_GB2312" w:hAnsi="Arial" w:eastAsia="楷体_GB2312" w:cs="楷体_GB2312"/>
          <w:b/>
          <w:bCs/>
        </w:rPr>
        <w:t>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rPr>
        <w:t>https://www.zcf.org.cn，地方性公募基金会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color w:val="FF0000"/>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color w:val="FF0000"/>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color w:val="FF0000"/>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5077474A">
      <w:pPr>
        <w:shd w:val="clear" w:color="auto" w:fill="FFFFFF"/>
        <w:spacing w:line="300" w:lineRule="exact"/>
        <w:jc w:val="center"/>
        <w:outlineLvl w:val="1"/>
        <w:rPr>
          <w:rFonts w:hint="eastAsia" w:ascii="Times New Roman" w:hAnsi="Times New Roman" w:eastAsia="黑体" w:cs="Times New Roman"/>
          <w:sz w:val="22"/>
        </w:rPr>
      </w:pPr>
    </w:p>
    <w:p w14:paraId="68A94D86">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14:paraId="52DE90FC">
      <w:pPr>
        <w:spacing w:line="300" w:lineRule="exact"/>
        <w:ind w:firstLine="480"/>
        <w:rPr>
          <w:rFonts w:ascii="Times New Roman" w:hAnsi="Times New Roman" w:eastAsia="楷体_GB2312" w:cs="Times New Roman"/>
          <w:sz w:val="20"/>
          <w:szCs w:val="20"/>
        </w:rPr>
      </w:pPr>
    </w:p>
    <w:p w14:paraId="79341D91">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14:paraId="6A0D581D">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14:paraId="123DE341">
      <w:pPr>
        <w:spacing w:line="300" w:lineRule="exact"/>
        <w:ind w:firstLine="480"/>
        <w:rPr>
          <w:rFonts w:ascii="Times New Roman" w:hAnsi="Times New Roman" w:eastAsia="楷体_GB2312" w:cs="Times New Roman"/>
          <w:sz w:val="20"/>
          <w:szCs w:val="20"/>
        </w:rPr>
      </w:pPr>
      <w:r>
        <w:rPr>
          <w:rFonts w:ascii="Times New Roman" w:hAnsi="Times New Roman" w:eastAsia="楷体_GB2312" w:cs="Times New Roman"/>
          <w:sz w:val="20"/>
          <w:szCs w:val="20"/>
        </w:rPr>
        <w:t xml:space="preserve">   </w:t>
      </w:r>
    </w:p>
    <w:p w14:paraId="06049925">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14:paraId="48B11971">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14:paraId="3083C71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14:paraId="4EDAF4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14:paraId="00AD07E1">
      <w:pPr>
        <w:spacing w:line="300" w:lineRule="exact"/>
        <w:rPr>
          <w:rFonts w:ascii="Times New Roman" w:hAnsi="Times New Roman" w:eastAsia="楷体_GB2312" w:cs="Times New Roman"/>
          <w:sz w:val="20"/>
          <w:szCs w:val="20"/>
        </w:rPr>
      </w:pPr>
    </w:p>
    <w:p w14:paraId="34433425">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14:paraId="3786D10E">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固定收益类</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产品</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具体投资对象</w:t>
      </w:r>
      <w:r>
        <w:rPr>
          <w:rFonts w:ascii="Times New Roman" w:hAnsi="Times New Roman" w:eastAsia="楷体_GB2312" w:cs="Times New Roman"/>
          <w:b/>
          <w:bCs/>
          <w:sz w:val="20"/>
          <w:szCs w:val="20"/>
        </w:rPr>
        <w:t>投资比例如下：</w:t>
      </w:r>
    </w:p>
    <w:tbl>
      <w:tblPr>
        <w:tblStyle w:val="8"/>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26"/>
        <w:gridCol w:w="1749"/>
      </w:tblGrid>
      <w:tr w14:paraId="27F6A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1FBCB2A0">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14:paraId="6AB5185B">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14:paraId="554C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62E33C8">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14:paraId="78317B48">
            <w:pPr>
              <w:ind w:right="29" w:rightChars="12"/>
              <w:jc w:val="center"/>
              <w:rPr>
                <w:rFonts w:ascii="楷体" w:hAnsi="楷体" w:eastAsia="楷体"/>
                <w:color w:val="000000"/>
                <w:sz w:val="20"/>
                <w:szCs w:val="20"/>
              </w:rPr>
            </w:pPr>
            <w:r>
              <w:rPr>
                <w:rFonts w:hint="eastAsia" w:ascii="楷体" w:hAnsi="楷体" w:eastAsia="楷体"/>
                <w:sz w:val="20"/>
                <w:szCs w:val="20"/>
              </w:rPr>
              <w:t>【80%-100%】</w:t>
            </w:r>
          </w:p>
        </w:tc>
      </w:tr>
      <w:tr w14:paraId="247B2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F42DB17">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14:paraId="6AD097A7">
            <w:pPr>
              <w:ind w:right="29" w:rightChars="12"/>
              <w:jc w:val="center"/>
              <w:rPr>
                <w:rFonts w:ascii="楷体" w:hAnsi="楷体" w:eastAsia="楷体"/>
                <w:color w:val="000000"/>
                <w:sz w:val="20"/>
                <w:szCs w:val="20"/>
              </w:rPr>
            </w:pPr>
            <w:r>
              <w:rPr>
                <w:rFonts w:hint="eastAsia" w:ascii="楷体" w:hAnsi="楷体" w:eastAsia="楷体"/>
                <w:sz w:val="20"/>
                <w:szCs w:val="20"/>
              </w:rPr>
              <w:t>【0%-49%</w:t>
            </w:r>
            <w:r>
              <w:rPr>
                <w:rFonts w:ascii="楷体" w:hAnsi="楷体" w:eastAsia="楷体"/>
                <w:sz w:val="20"/>
                <w:szCs w:val="20"/>
              </w:rPr>
              <w:t>】</w:t>
            </w:r>
          </w:p>
        </w:tc>
      </w:tr>
      <w:tr w14:paraId="2EBA9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5F654DE4">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14:paraId="586ECE09">
            <w:pPr>
              <w:ind w:right="29" w:rightChars="12"/>
              <w:jc w:val="center"/>
              <w:rPr>
                <w:rFonts w:ascii="楷体" w:hAnsi="楷体" w:eastAsia="楷体"/>
                <w:color w:val="000000"/>
                <w:sz w:val="20"/>
                <w:szCs w:val="20"/>
              </w:rPr>
            </w:pPr>
            <w:r>
              <w:rPr>
                <w:rFonts w:hint="eastAsia" w:ascii="楷体" w:hAnsi="楷体" w:eastAsia="楷体"/>
                <w:sz w:val="20"/>
                <w:szCs w:val="20"/>
              </w:rPr>
              <w:t>【0%】</w:t>
            </w:r>
          </w:p>
        </w:tc>
      </w:tr>
      <w:tr w14:paraId="70367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3C2B6D1B">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14:paraId="6180547C">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r w14:paraId="06005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14:paraId="173B0FB7">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14:paraId="6802913A">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bl>
    <w:p w14:paraId="12BA1F3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14:paraId="5C815FBB">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（1）投资债权类资产的风险</w:t>
      </w:r>
    </w:p>
    <w:p w14:paraId="4F1920C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1）投资标准化债权类资产的风险</w:t>
      </w:r>
    </w:p>
    <w:p w14:paraId="0907430D">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14:paraId="407FB6C8">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14:paraId="7DED56E1">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1）投资普通股票可能面临的风险</w:t>
      </w:r>
    </w:p>
    <w:p w14:paraId="080C1D6F">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2）投资优先股可能面临的风险</w:t>
      </w:r>
    </w:p>
    <w:p w14:paraId="08F8364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14:paraId="71AD6517">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hAnsi="Times New Roman" w:eastAsia="楷体_GB2312" w:cs="Times New Roman"/>
          <w:b/>
          <w:bCs/>
          <w:sz w:val="20"/>
          <w:szCs w:val="20"/>
        </w:rPr>
      </w:pPr>
    </w:p>
    <w:p w14:paraId="0C298D9E">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hAnsi="Times New Roman" w:eastAsia="楷体_GB2312" w:cs="Times New Roman"/>
          <w:b/>
          <w:bCs/>
          <w:sz w:val="20"/>
          <w:szCs w:val="20"/>
        </w:rPr>
      </w:pPr>
    </w:p>
    <w:p w14:paraId="3B31B268">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rPr>
        <w:t>投资对象</w:t>
      </w:r>
      <w:r>
        <w:rPr>
          <w:rFonts w:hint="eastAsia" w:ascii="Times New Roman" w:hAnsi="Times New Roman" w:eastAsia="楷体_GB2312" w:cs="Times New Roman"/>
          <w:b/>
          <w:bCs/>
          <w:sz w:val="20"/>
          <w:szCs w:val="20"/>
        </w:rPr>
        <w:t>的</w:t>
      </w:r>
      <w:r>
        <w:rPr>
          <w:rFonts w:ascii="Times New Roman" w:hAnsi="Times New Roman" w:eastAsia="楷体_GB2312" w:cs="Times New Roman"/>
          <w:b/>
          <w:bCs/>
          <w:sz w:val="20"/>
          <w:szCs w:val="20"/>
        </w:rPr>
        <w:t>投资比例及相应</w:t>
      </w:r>
      <w:r>
        <w:rPr>
          <w:rFonts w:hint="eastAsia" w:ascii="Times New Roman" w:hAnsi="Times New Roman" w:eastAsia="楷体_GB2312" w:cs="Times New Roman"/>
          <w:b/>
          <w:bCs/>
          <w:sz w:val="20"/>
          <w:szCs w:val="20"/>
        </w:rPr>
        <w:t>投资</w:t>
      </w:r>
      <w:r>
        <w:rPr>
          <w:rFonts w:ascii="Times New Roman" w:hAnsi="Times New Roman" w:eastAsia="楷体_GB2312" w:cs="Times New Roman"/>
          <w:b/>
          <w:bCs/>
          <w:sz w:val="20"/>
          <w:szCs w:val="20"/>
        </w:rPr>
        <w:t>风险</w:t>
      </w:r>
      <w:r>
        <w:rPr>
          <w:rFonts w:hint="eastAsia" w:ascii="Times New Roman" w:hAnsi="Times New Roman" w:eastAsia="楷体_GB2312" w:cs="Times New Roman"/>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14:paraId="26F1CF61">
      <w:pPr>
        <w:spacing w:line="300" w:lineRule="exact"/>
        <w:ind w:firstLine="482"/>
        <w:rPr>
          <w:rFonts w:ascii="Times New Roman" w:hAnsi="Times New Roman" w:eastAsia="楷体_GB2312" w:cs="Times New Roman"/>
          <w:b/>
          <w:bCs/>
          <w:sz w:val="20"/>
          <w:szCs w:val="20"/>
        </w:rPr>
      </w:pPr>
    </w:p>
    <w:p w14:paraId="71C5DAF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14:paraId="3B4EE99C">
      <w:pPr>
        <w:spacing w:line="300" w:lineRule="exact"/>
        <w:ind w:firstLine="482"/>
        <w:rPr>
          <w:rFonts w:ascii="Times New Roman" w:hAnsi="Times New Roman" w:eastAsia="楷体_GB2312" w:cs="Times New Roman"/>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14:paraId="35EA177C">
      <w:pPr>
        <w:spacing w:line="300" w:lineRule="exact"/>
        <w:ind w:firstLine="482"/>
        <w:rPr>
          <w:rFonts w:ascii="Times New Roman" w:hAnsi="Times New Roman" w:eastAsia="楷体_GB2312" w:cs="Times New Roman"/>
          <w:bCs/>
          <w:sz w:val="20"/>
          <w:szCs w:val="20"/>
        </w:rPr>
      </w:pPr>
    </w:p>
    <w:p w14:paraId="06E12BFF">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14:paraId="435D2F90">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14:paraId="19579FD4">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14:paraId="2F98994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14:paraId="52EE48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14:paraId="0AFEFD6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14:paraId="36BF6B79">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14:paraId="050F42A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14:paraId="5D2B2B26">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hAnsi="Times New Roman" w:eastAsia="楷体_GB2312" w:cs="Times New Roman"/>
          <w:sz w:val="20"/>
          <w:szCs w:val="20"/>
        </w:rPr>
      </w:pPr>
    </w:p>
    <w:p w14:paraId="7E5686B6">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14:paraId="4FB71CEA">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14:paraId="544FA8EC">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14:paraId="1234881D">
      <w:pPr>
        <w:spacing w:line="300" w:lineRule="exact"/>
        <w:ind w:firstLine="482"/>
        <w:rPr>
          <w:rFonts w:ascii="Times New Roman" w:hAnsi="Times New Roman" w:eastAsia="楷体_GB2312" w:cs="Times New Roman"/>
          <w:sz w:val="20"/>
          <w:szCs w:val="20"/>
        </w:rPr>
      </w:pPr>
    </w:p>
    <w:p w14:paraId="4E72B39F">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14:paraId="47C2AF30">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14:paraId="398A78FB">
      <w:pPr>
        <w:spacing w:line="300" w:lineRule="exact"/>
        <w:ind w:firstLine="482"/>
        <w:rPr>
          <w:rFonts w:ascii="Times New Roman" w:hAnsi="Times New Roman" w:eastAsia="楷体_GB2312" w:cs="Times New Roman"/>
          <w:b/>
          <w:bCs/>
          <w:sz w:val="20"/>
          <w:szCs w:val="20"/>
        </w:rPr>
      </w:pPr>
    </w:p>
    <w:p w14:paraId="03BB3CB4">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14:paraId="72B32606">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rPr>
        <w:t>。</w:t>
      </w:r>
    </w:p>
    <w:p w14:paraId="38271711">
      <w:pPr>
        <w:spacing w:line="300" w:lineRule="exact"/>
        <w:ind w:firstLine="482"/>
        <w:rPr>
          <w:rFonts w:ascii="Times New Roman" w:hAnsi="Times New Roman" w:eastAsia="楷体_GB2312" w:cs="Times New Roman"/>
          <w:b/>
          <w:bCs/>
          <w:sz w:val="20"/>
          <w:szCs w:val="20"/>
        </w:rPr>
      </w:pPr>
    </w:p>
    <w:p w14:paraId="44611FE9">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14:paraId="483B028B">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hint="eastAsia" w:ascii="Times New Roman" w:hAnsi="Times New Roman" w:eastAsia="楷体_GB2312" w:cs="Times New Roman"/>
          <w:b/>
          <w:bCs/>
          <w:sz w:val="20"/>
          <w:szCs w:val="20"/>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6BE7B647">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（三）在协商或仲裁期间，对于本协议/理财产品合同不涉及争议部分的条款，双方仍须履行。</w:t>
      </w:r>
    </w:p>
    <w:p w14:paraId="66D3F2FE">
      <w:pPr>
        <w:spacing w:line="300" w:lineRule="exact"/>
        <w:ind w:firstLine="482"/>
        <w:rPr>
          <w:rFonts w:ascii="Times New Roman" w:hAnsi="Times New Roman" w:eastAsia="楷体_GB2312" w:cs="Times New Roman"/>
          <w:b/>
          <w:bCs/>
          <w:sz w:val="20"/>
          <w:szCs w:val="20"/>
        </w:rPr>
      </w:pPr>
    </w:p>
    <w:p w14:paraId="33DC896E">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14:paraId="43D5C269">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14:paraId="4F35098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14:paraId="487B8F4D">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hAnsi="Times New Roman" w:eastAsia="楷体_GB2312" w:cs="Times New Roman"/>
          <w:sz w:val="20"/>
          <w:szCs w:val="20"/>
        </w:rPr>
      </w:pPr>
    </w:p>
    <w:p w14:paraId="382E40CA">
      <w:pPr>
        <w:spacing w:line="300" w:lineRule="exact"/>
        <w:rPr>
          <w:rFonts w:ascii="Times New Roman" w:hAnsi="Times New Roman" w:eastAsia="楷体_GB2312" w:cs="Times New Roman"/>
          <w:sz w:val="20"/>
          <w:szCs w:val="20"/>
        </w:rPr>
      </w:pPr>
    </w:p>
    <w:p w14:paraId="684DC015">
      <w:pPr>
        <w:spacing w:line="300" w:lineRule="exact"/>
        <w:rPr>
          <w:rFonts w:ascii="Times New Roman" w:hAnsi="Times New Roman" w:eastAsia="楷体_GB2312" w:cs="Times New Roman"/>
          <w:sz w:val="20"/>
          <w:szCs w:val="20"/>
        </w:rPr>
      </w:pPr>
      <w:r>
        <w:rPr>
          <w:rFonts w:ascii="Times New Roman" w:hAnsi="Times New Roman" w:eastAsia="楷体_GB2312" w:cs="Times New Roman"/>
          <w:b/>
          <w:sz w:val="20"/>
          <w:szCs w:val="20"/>
        </w:rPr>
        <w:t>甲方</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14:paraId="75E89A50">
      <w:pPr>
        <w:spacing w:line="300" w:lineRule="exact"/>
        <w:ind w:firstLine="600" w:firstLineChars="300"/>
        <w:rPr>
          <w:rFonts w:ascii="Times New Roman" w:hAnsi="Times New Roman" w:eastAsia="楷体_GB2312" w:cs="Times New Roman"/>
          <w:sz w:val="20"/>
          <w:szCs w:val="20"/>
        </w:rPr>
      </w:pPr>
    </w:p>
    <w:p w14:paraId="4799ED60">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14:paraId="285D1965">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14:paraId="6742F1FA">
      <w:pPr>
        <w:spacing w:line="300" w:lineRule="exact"/>
        <w:ind w:firstLine="600" w:firstLineChars="300"/>
        <w:rPr>
          <w:rFonts w:ascii="Times New Roman" w:hAnsi="Times New Roman" w:eastAsia="楷体_GB2312" w:cs="Times New Roman"/>
          <w:sz w:val="20"/>
          <w:szCs w:val="20"/>
        </w:rPr>
      </w:pPr>
    </w:p>
    <w:p w14:paraId="4912DB02">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14:paraId="06AC3C35">
      <w:pPr>
        <w:spacing w:line="300" w:lineRule="exact"/>
        <w:ind w:firstLine="600" w:firstLineChars="300"/>
        <w:rPr>
          <w:rFonts w:ascii="Times New Roman" w:hAnsi="Times New Roman" w:eastAsia="楷体_GB2312" w:cs="Times New Roman"/>
          <w:sz w:val="20"/>
          <w:szCs w:val="20"/>
        </w:rPr>
      </w:pPr>
    </w:p>
    <w:p w14:paraId="3FAF2438">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p w14:paraId="18F5FA32">
      <w:pPr>
        <w:snapToGrid w:val="0"/>
        <w:ind w:right="53" w:rightChars="22"/>
        <w:outlineLvl w:val="0"/>
      </w:pPr>
      <w:r>
        <w:rPr>
          <w:rFonts w:ascii="Times New Roman" w:hAnsi="Times New Roman" w:eastAsia="楷体_GB2312" w:cs="Times New Roman"/>
          <w:sz w:val="20"/>
          <w:szCs w:val="20"/>
        </w:rPr>
        <w:t xml:space="preserve">             </w:t>
      </w: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t xml:space="preserve">                    </w:t>
    </w:r>
    <w:r>
      <w:rPr>
        <w:rFonts w:hint="eastAsia"/>
        <w:lang w:val="en-US" w:eastAsia="zh-CN"/>
      </w:rPr>
      <w:t xml:space="preserve">                                      </w:t>
    </w:r>
    <w:r>
      <w:t>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416780C"/>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17C617F"/>
    <w:rsid w:val="3555547B"/>
    <w:rsid w:val="35814F3A"/>
    <w:rsid w:val="36200A61"/>
    <w:rsid w:val="36C344B8"/>
    <w:rsid w:val="37085D5E"/>
    <w:rsid w:val="375E0BAF"/>
    <w:rsid w:val="37BD6F93"/>
    <w:rsid w:val="38126ED3"/>
    <w:rsid w:val="38AA320E"/>
    <w:rsid w:val="3AD774B7"/>
    <w:rsid w:val="3B5A0EDF"/>
    <w:rsid w:val="3ED41958"/>
    <w:rsid w:val="43BF748C"/>
    <w:rsid w:val="44193E1A"/>
    <w:rsid w:val="44A01663"/>
    <w:rsid w:val="46896EAF"/>
    <w:rsid w:val="477E1AE8"/>
    <w:rsid w:val="4A097F8F"/>
    <w:rsid w:val="4A684CC3"/>
    <w:rsid w:val="4B7F0E9E"/>
    <w:rsid w:val="4DED180A"/>
    <w:rsid w:val="50A5550E"/>
    <w:rsid w:val="54AF1C27"/>
    <w:rsid w:val="54F974BE"/>
    <w:rsid w:val="566F721C"/>
    <w:rsid w:val="5744470A"/>
    <w:rsid w:val="57ED7804"/>
    <w:rsid w:val="57EFD92C"/>
    <w:rsid w:val="58671BA0"/>
    <w:rsid w:val="587641EB"/>
    <w:rsid w:val="598A78EB"/>
    <w:rsid w:val="5A032C9A"/>
    <w:rsid w:val="5A380F0B"/>
    <w:rsid w:val="5FE40CB2"/>
    <w:rsid w:val="5FF5EC4B"/>
    <w:rsid w:val="60884B3D"/>
    <w:rsid w:val="60977546"/>
    <w:rsid w:val="62DD554A"/>
    <w:rsid w:val="6499029E"/>
    <w:rsid w:val="650B63FE"/>
    <w:rsid w:val="65E43670"/>
    <w:rsid w:val="66AC290C"/>
    <w:rsid w:val="67A2A190"/>
    <w:rsid w:val="682B5744"/>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Pages>
  <Words>4237</Words>
  <Characters>24152</Characters>
  <Lines>201</Lines>
  <Paragraphs>56</Paragraphs>
  <TotalTime>77</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2025-12-11T09:31:54Z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