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C40A91">
      <w:pPr>
        <w:spacing w:line="300" w:lineRule="exact"/>
        <w:jc w:val="both"/>
        <w:rPr>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Z700262500</w:t>
      </w:r>
      <w:r>
        <w:rPr>
          <w:rFonts w:hint="eastAsia"/>
          <w:color w:val="000000" w:themeColor="text1"/>
          <w:lang w:val="en-US" w:eastAsia="zh-CN"/>
          <w14:textFill>
            <w14:solidFill>
              <w14:schemeClr w14:val="tx1"/>
            </w14:solidFill>
          </w14:textFill>
        </w:rPr>
        <w:t>2486</w:t>
      </w:r>
      <w:r>
        <w:rPr>
          <w:color w:val="000000" w:themeColor="text1"/>
          <w14:textFill>
            <w14:solidFill>
              <w14:schemeClr w14:val="tx1"/>
            </w14:solidFill>
          </w14:textFill>
        </w:rPr>
        <w:t>】</w:t>
      </w:r>
    </w:p>
    <w:p w14:paraId="14894ADD">
      <w:pPr>
        <w:spacing w:line="300" w:lineRule="exact"/>
        <w:ind w:right="89" w:rightChars="37"/>
        <w:rPr>
          <w:rFonts w:ascii="黑体" w:hAnsi="黑体" w:eastAsia="黑体"/>
          <w:sz w:val="21"/>
          <w:szCs w:val="21"/>
        </w:rPr>
      </w:pPr>
      <w:r>
        <w:rPr>
          <w:rFonts w:hint="eastAsia" w:ascii="黑体" w:hAnsi="黑体" w:eastAsia="黑体"/>
          <w:sz w:val="21"/>
          <w:szCs w:val="21"/>
        </w:rPr>
        <w:t>理财产品登记编码为本产品在全国银行业理财信息登记系统取得的理财产品登记编码，投资者可以依据该理财产品登记编码在金融产品查询平台（www.jrcpcx.cn）或中国理财网（</w:t>
      </w:r>
      <w:r>
        <w:rPr>
          <w:rFonts w:ascii="黑体" w:hAnsi="黑体" w:eastAsia="黑体"/>
          <w:sz w:val="21"/>
          <w:szCs w:val="21"/>
        </w:rPr>
        <w:t>www.chinawealth.com.cn）上查询本产品相关信息。</w:t>
      </w:r>
    </w:p>
    <w:p w14:paraId="11882F74">
      <w:pPr>
        <w:spacing w:line="300" w:lineRule="exact"/>
        <w:ind w:right="89" w:rightChars="37"/>
        <w:rPr>
          <w:rFonts w:ascii="黑体" w:hAnsi="黑体" w:eastAsia="黑体"/>
          <w:sz w:val="21"/>
          <w:szCs w:val="21"/>
        </w:rPr>
      </w:pPr>
    </w:p>
    <w:p w14:paraId="60039533">
      <w:pPr>
        <w:spacing w:line="300" w:lineRule="exact"/>
        <w:ind w:right="89" w:rightChars="37"/>
        <w:rPr>
          <w:rFonts w:ascii="黑体" w:hAnsi="黑体" w:eastAsia="黑体"/>
          <w:b/>
          <w:sz w:val="28"/>
          <w:szCs w:val="28"/>
        </w:rPr>
      </w:pPr>
      <w:r>
        <w:rPr>
          <w:rFonts w:hint="eastAsia" w:ascii="黑体" w:hAnsi="黑体" w:eastAsia="黑体"/>
          <w:b/>
          <w:sz w:val="28"/>
          <w:szCs w:val="28"/>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hAnsi="黑体" w:eastAsia="黑体"/>
          <w:b/>
          <w:sz w:val="28"/>
          <w:szCs w:val="28"/>
        </w:rPr>
        <w:t>www.chinawealth.com.cn）上查询到产品相关信息，则该产品非信银理财发行产品。</w:t>
      </w:r>
    </w:p>
    <w:p w14:paraId="6AFAA48A">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5A961E9D">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2006040B">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14:paraId="0D7ED81A">
      <w:pPr>
        <w:widowControl w:val="0"/>
        <w:spacing w:line="300" w:lineRule="exact"/>
        <w:ind w:right="-792" w:rightChars="-330"/>
        <w:jc w:val="center"/>
        <w:rPr>
          <w:rFonts w:ascii="黑体" w:hAnsi="Calibri"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rPr>
        <w:t>信银理财</w:t>
      </w:r>
      <w:r>
        <w:rPr>
          <w:rFonts w:hint="eastAsia" w:ascii="黑体" w:hAnsi="Calibri" w:eastAsia="黑体" w:cs="黑体"/>
          <w:b/>
          <w:bCs/>
          <w:sz w:val="20"/>
          <w:szCs w:val="20"/>
          <w:lang w:eastAsia="zh-CN"/>
        </w:rPr>
        <w:t>安盈象固收稳健温暖童行丰收封闭式6号</w:t>
      </w:r>
      <w:r>
        <w:rPr>
          <w:rFonts w:hint="eastAsia" w:ascii="黑体" w:hAnsi="Calibri" w:eastAsia="黑体" w:cs="黑体"/>
          <w:b/>
          <w:bCs/>
          <w:sz w:val="20"/>
          <w:szCs w:val="20"/>
        </w:rPr>
        <w:t>理财产品</w:t>
      </w:r>
      <w:r>
        <w:rPr>
          <w:rFonts w:hint="eastAsia" w:ascii="黑体" w:hAnsi="Calibri" w:eastAsia="黑体" w:cs="黑体"/>
          <w:b/>
          <w:bCs/>
          <w:color w:val="000000" w:themeColor="text1"/>
          <w:sz w:val="20"/>
          <w:szCs w:val="20"/>
          <w14:textFill>
            <w14:solidFill>
              <w14:schemeClr w14:val="tx1"/>
            </w14:solidFill>
          </w14:textFill>
        </w:rPr>
        <w:t xml:space="preserve">】  </w:t>
      </w:r>
    </w:p>
    <w:p w14:paraId="6F12700F">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Calibri" w:eastAsia="黑体" w:cs="黑体"/>
          <w:b/>
          <w:bCs/>
          <w:color w:val="000000" w:themeColor="text1"/>
          <w:sz w:val="20"/>
          <w:szCs w:val="20"/>
          <w14:textFill>
            <w14:solidFill>
              <w14:schemeClr w14:val="tx1"/>
            </w14:solidFill>
          </w14:textFill>
        </w:rPr>
        <w:t>产品代码</w:t>
      </w:r>
      <w:r>
        <w:rPr>
          <w:rFonts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lang w:eastAsia="zh-CN"/>
        </w:rPr>
        <w:t>AF251856</w:t>
      </w:r>
      <w:r>
        <w:rPr>
          <w:rFonts w:ascii="黑体" w:hAnsi="Calibri" w:eastAsia="黑体" w:cs="黑体"/>
          <w:b/>
          <w:bCs/>
          <w:color w:val="000000" w:themeColor="text1"/>
          <w:sz w:val="20"/>
          <w:szCs w:val="20"/>
          <w14:textFill>
            <w14:solidFill>
              <w14:schemeClr w14:val="tx1"/>
            </w14:solidFill>
          </w14:textFill>
        </w:rPr>
        <w:t>】</w:t>
      </w:r>
      <w:r>
        <w:rPr>
          <w:rFonts w:hint="eastAsia" w:ascii="黑体" w:hAnsi="Times New Roman" w:eastAsia="黑体" w:cs="黑体"/>
          <w:b/>
          <w:bCs/>
          <w:color w:val="000000" w:themeColor="text1"/>
          <w:sz w:val="20"/>
          <w:szCs w:val="20"/>
          <w14:textFill>
            <w14:solidFill>
              <w14:schemeClr w14:val="tx1"/>
            </w14:solidFill>
          </w14:textFill>
        </w:rPr>
        <w:t>）</w:t>
      </w:r>
    </w:p>
    <w:p w14:paraId="7FE49EE9">
      <w:pPr>
        <w:spacing w:line="300" w:lineRule="exact"/>
        <w:ind w:right="-792" w:rightChars="-330"/>
        <w:rPr>
          <w:color w:val="000000" w:themeColor="text1"/>
          <w14:textFill>
            <w14:solidFill>
              <w14:schemeClr w14:val="tx1"/>
            </w14:solidFill>
          </w14:textFill>
        </w:rPr>
      </w:pPr>
    </w:p>
    <w:p w14:paraId="0D4AD127">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14:paraId="575147D5">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．本理财产品的产品期限为【</w:t>
      </w:r>
      <w:r>
        <w:rPr>
          <w:rFonts w:ascii="黑体" w:hAnsi="Times New Roman" w:eastAsia="黑体" w:cs="黑体"/>
          <w:b/>
          <w:color w:val="000000" w:themeColor="text1"/>
          <w:sz w:val="20"/>
          <w:szCs w:val="20"/>
          <w14:textFill>
            <w14:solidFill>
              <w14:schemeClr w14:val="tx1"/>
            </w14:solidFill>
          </w14:textFill>
        </w:rPr>
        <w:t>421</w:t>
      </w:r>
      <w:r>
        <w:rPr>
          <w:rFonts w:hint="eastAsia" w:ascii="黑体" w:hAnsi="Times New Roman" w:eastAsia="黑体" w:cs="黑体"/>
          <w:b/>
          <w:color w:val="000000" w:themeColor="text1"/>
          <w:sz w:val="20"/>
          <w:szCs w:val="20"/>
          <w14:textFill>
            <w14:solidFill>
              <w14:schemeClr w14:val="tx1"/>
            </w14:solidFill>
          </w14:textFill>
        </w:rPr>
        <w:t>】天，到期日为</w:t>
      </w:r>
      <w:r>
        <w:rPr>
          <w:rFonts w:ascii="黑体" w:hAnsi="Times New Roman" w:eastAsia="黑体" w:cs="黑体"/>
          <w:b/>
          <w:color w:val="000000" w:themeColor="text1"/>
          <w:sz w:val="20"/>
          <w:szCs w:val="20"/>
          <w14:textFill>
            <w14:solidFill>
              <w14:schemeClr w14:val="tx1"/>
            </w14:solidFill>
          </w14:textFill>
        </w:rPr>
        <w:t>【2027】年【2】月【</w:t>
      </w:r>
      <w:r>
        <w:rPr>
          <w:rFonts w:hint="eastAsia" w:ascii="黑体" w:hAnsi="Times New Roman" w:eastAsia="黑体" w:cs="黑体"/>
          <w:b/>
          <w:color w:val="000000" w:themeColor="text1"/>
          <w:sz w:val="20"/>
          <w:szCs w:val="20"/>
          <w:lang w:val="en-US" w:eastAsia="zh-CN"/>
          <w14:textFill>
            <w14:solidFill>
              <w14:schemeClr w14:val="tx1"/>
            </w14:solidFill>
          </w14:textFill>
        </w:rPr>
        <w:t>17</w:t>
      </w:r>
      <w:r>
        <w:rPr>
          <w:rFonts w:ascii="黑体" w:hAnsi="Times New Roman" w:eastAsia="黑体" w:cs="黑体"/>
          <w:b/>
          <w:color w:val="000000" w:themeColor="text1"/>
          <w:sz w:val="20"/>
          <w:szCs w:val="20"/>
          <w14:textFill>
            <w14:solidFill>
              <w14:schemeClr w14:val="tx1"/>
            </w14:solidFill>
          </w14:textFill>
        </w:rPr>
        <w:t>】日</w:t>
      </w:r>
      <w:r>
        <w:rPr>
          <w:rFonts w:hint="eastAsia" w:ascii="黑体" w:hAnsi="Times New Roman" w:eastAsia="黑体" w:cs="黑体"/>
          <w:b/>
          <w:color w:val="000000" w:themeColor="text1"/>
          <w:sz w:val="20"/>
          <w:szCs w:val="20"/>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本</w:t>
      </w:r>
      <w:r>
        <w:rPr>
          <w:rFonts w:hint="eastAsia" w:ascii="黑体" w:hAnsi="Times New Roman" w:eastAsia="黑体" w:cs="黑体"/>
          <w:color w:val="000000" w:themeColor="text1"/>
          <w:sz w:val="20"/>
          <w:szCs w:val="20"/>
          <w14:textFill>
            <w14:solidFill>
              <w14:schemeClr w14:val="tx1"/>
            </w14:solidFill>
          </w14:textFill>
        </w:rPr>
        <w:t>理财产品的《信银理财理财</w:t>
      </w:r>
      <w:r>
        <w:rPr>
          <w:rFonts w:ascii="黑体" w:hAnsi="Times New Roman" w:eastAsia="黑体" w:cs="黑体"/>
          <w:color w:val="000000" w:themeColor="text1"/>
          <w:sz w:val="20"/>
          <w:szCs w:val="20"/>
          <w14:textFill>
            <w14:solidFill>
              <w14:schemeClr w14:val="tx1"/>
            </w14:solidFill>
          </w14:textFill>
        </w:rPr>
        <w:t>产品说明书</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信银</w:t>
      </w:r>
      <w:r>
        <w:rPr>
          <w:rFonts w:ascii="黑体" w:hAnsi="Times New Roman" w:eastAsia="黑体" w:cs="黑体"/>
          <w:color w:val="000000" w:themeColor="text1"/>
          <w:sz w:val="20"/>
          <w:szCs w:val="20"/>
          <w14:textFill>
            <w14:solidFill>
              <w14:schemeClr w14:val="tx1"/>
            </w14:solidFill>
          </w14:textFill>
        </w:rPr>
        <w:t>理财理财产品风险揭示书》</w:t>
      </w:r>
      <w:r>
        <w:rPr>
          <w:rFonts w:hint="eastAsia" w:ascii="黑体" w:hAnsi="Times New Roman" w:eastAsia="黑体" w:cs="黑体"/>
          <w:color w:val="000000" w:themeColor="text1"/>
          <w:sz w:val="20"/>
          <w:szCs w:val="20"/>
          <w14:textFill>
            <w14:solidFill>
              <w14:schemeClr w14:val="tx1"/>
            </w14:solidFill>
          </w14:textFill>
        </w:rPr>
        <w:t>、《信银理财理财产品投资协议书》</w:t>
      </w:r>
      <w:r>
        <w:rPr>
          <w:rFonts w:ascii="黑体" w:hAnsi="Times New Roman" w:eastAsia="黑体" w:cs="黑体"/>
          <w:color w:val="000000" w:themeColor="text1"/>
          <w:sz w:val="20"/>
          <w:szCs w:val="20"/>
          <w14:textFill>
            <w14:solidFill>
              <w14:schemeClr w14:val="tx1"/>
            </w14:solidFill>
          </w14:textFill>
        </w:rPr>
        <w:t>与《信银理财理财产品销售总协议》（含附件：客户权益须知专页）（或合作销售机构向投资者提供的理财产品销售协议文本）</w:t>
      </w:r>
      <w:r>
        <w:rPr>
          <w:rFonts w:hint="eastAsia" w:ascii="黑体" w:hAnsi="Times New Roman" w:eastAsia="黑体" w:cs="黑体"/>
          <w:color w:val="000000" w:themeColor="text1"/>
          <w:sz w:val="20"/>
          <w:szCs w:val="20"/>
          <w14:textFill>
            <w14:solidFill>
              <w14:schemeClr w14:val="tx1"/>
            </w14:solidFill>
          </w14:textFill>
        </w:rPr>
        <w:t>等文件及其不时有效修订与补充</w:t>
      </w:r>
      <w:r>
        <w:rPr>
          <w:rFonts w:ascii="黑体" w:hAnsi="Times New Roman" w:eastAsia="黑体" w:cs="黑体"/>
          <w:color w:val="000000" w:themeColor="text1"/>
          <w:sz w:val="20"/>
          <w:szCs w:val="20"/>
          <w14:textFill>
            <w14:solidFill>
              <w14:schemeClr w14:val="tx1"/>
            </w14:solidFill>
          </w14:textFill>
        </w:rPr>
        <w:t>共同构成</w:t>
      </w:r>
      <w:r>
        <w:rPr>
          <w:rFonts w:hint="eastAsia" w:ascii="黑体" w:hAnsi="Times New Roman" w:eastAsia="黑体" w:cs="黑体"/>
          <w:color w:val="000000" w:themeColor="text1"/>
          <w:sz w:val="20"/>
          <w:szCs w:val="20"/>
          <w14:textFill>
            <w14:solidFill>
              <w14:schemeClr w14:val="tx1"/>
            </w14:solidFill>
          </w14:textFill>
        </w:rPr>
        <w:t>理财产品销售文件</w:t>
      </w:r>
      <w:r>
        <w:rPr>
          <w:rFonts w:ascii="黑体" w:hAnsi="Times New Roman" w:eastAsia="黑体" w:cs="黑体"/>
          <w:color w:val="000000" w:themeColor="text1"/>
          <w:sz w:val="20"/>
          <w:szCs w:val="20"/>
          <w14:textFill>
            <w14:solidFill>
              <w14:schemeClr w14:val="tx1"/>
            </w14:solidFill>
          </w14:textFill>
        </w:rPr>
        <w:t>。</w:t>
      </w:r>
    </w:p>
    <w:p w14:paraId="3297E99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14:paraId="56DCE51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hAnsi="Times New Roman" w:eastAsia="黑体" w:cs="黑体"/>
          <w:color w:val="000000" w:themeColor="text1"/>
          <w:sz w:val="20"/>
          <w:szCs w:val="20"/>
          <w14:textFill>
            <w14:solidFill>
              <w14:schemeClr w14:val="tx1"/>
            </w14:solidFill>
          </w14:textFill>
        </w:rPr>
        <w:t>机构</w:t>
      </w:r>
      <w:r>
        <w:rPr>
          <w:rFonts w:hint="eastAsia" w:ascii="黑体" w:hAnsi="Times New Roman" w:eastAsia="黑体" w:cs="黑体"/>
          <w:color w:val="000000" w:themeColor="text1"/>
          <w:sz w:val="20"/>
          <w:szCs w:val="20"/>
          <w14:textFill>
            <w14:solidFill>
              <w14:schemeClr w14:val="tx1"/>
            </w14:solidFill>
          </w14:textFill>
        </w:rPr>
        <w:t>各营业场所或营业</w:t>
      </w:r>
      <w:r>
        <w:rPr>
          <w:rFonts w:ascii="黑体" w:hAnsi="Times New Roman" w:eastAsia="黑体" w:cs="黑体"/>
          <w:color w:val="000000" w:themeColor="text1"/>
          <w:sz w:val="20"/>
          <w:szCs w:val="20"/>
          <w14:textFill>
            <w14:solidFill>
              <w14:schemeClr w14:val="tx1"/>
            </w14:solidFill>
          </w14:textFill>
        </w:rPr>
        <w:t>网点</w:t>
      </w:r>
      <w:r>
        <w:rPr>
          <w:rFonts w:hint="eastAsia" w:ascii="黑体" w:hAnsi="Times New Roman" w:eastAsia="黑体" w:cs="黑体"/>
          <w:color w:val="000000" w:themeColor="text1"/>
          <w:sz w:val="20"/>
          <w:szCs w:val="20"/>
          <w14:textFill>
            <w14:solidFill>
              <w14:schemeClr w14:val="tx1"/>
            </w14:solidFill>
          </w14:textFill>
        </w:rPr>
        <w:t>咨询。</w:t>
      </w:r>
    </w:p>
    <w:p w14:paraId="422532DF">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14:paraId="25097462">
      <w:pPr>
        <w:snapToGrid w:val="0"/>
        <w:ind w:firstLine="200"/>
        <w:jc w:val="both"/>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14:paraId="7B53214D">
      <w:pPr>
        <w:snapToGrid w:val="0"/>
        <w:ind w:firstLine="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14:paraId="57F91A8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未及时将投资者认购</w:t>
      </w:r>
      <w:r>
        <w:rPr>
          <w:rFonts w:ascii="黑体" w:hAnsi="黑体" w:eastAsia="黑体"/>
          <w:b/>
          <w:color w:val="000000" w:themeColor="text1"/>
          <w:sz w:val="20"/>
          <w:szCs w:val="20"/>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14:textFill>
            <w14:solidFill>
              <w14:schemeClr w14:val="tx1"/>
            </w14:solidFill>
          </w14:textFill>
        </w:rPr>
        <w:t>赎回和</w:t>
      </w:r>
      <w:r>
        <w:rPr>
          <w:rFonts w:ascii="黑体" w:hAnsi="黑体" w:eastAsia="黑体"/>
          <w:b/>
          <w:color w:val="000000" w:themeColor="text1"/>
          <w:sz w:val="20"/>
          <w:szCs w:val="20"/>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w:t>
      </w:r>
      <w:r>
        <w:rPr>
          <w:rFonts w:ascii="黑体" w:hAnsi="黑体" w:eastAsia="黑体"/>
          <w:b/>
          <w:color w:val="000000" w:themeColor="text1"/>
          <w:sz w:val="20"/>
          <w:szCs w:val="20"/>
          <w14:textFill>
            <w14:solidFill>
              <w14:schemeClr w14:val="tx1"/>
            </w14:solidFill>
          </w14:textFill>
        </w:rPr>
        <w:t>信银理财不承担任何责任。</w:t>
      </w:r>
    </w:p>
    <w:p w14:paraId="74EAAF49">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hAnsi="黑体" w:eastAsia="黑体"/>
          <w:color w:val="000000" w:themeColor="text1"/>
          <w:sz w:val="20"/>
          <w:szCs w:val="20"/>
          <w14:textFill>
            <w14:solidFill>
              <w14:schemeClr w14:val="tx1"/>
            </w14:solidFill>
          </w14:textFill>
        </w:rPr>
      </w:pPr>
    </w:p>
    <w:p w14:paraId="2A932026">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w:t>
      </w:r>
      <w:r>
        <w:rPr>
          <w:rFonts w:ascii="黑体" w:hAnsi="Times New Roman" w:eastAsia="黑体" w:cs="黑体"/>
          <w:b/>
          <w:bCs/>
          <w:color w:val="000000" w:themeColor="text1"/>
          <w:sz w:val="20"/>
          <w:szCs w:val="20"/>
          <w14:textFill>
            <w14:solidFill>
              <w14:schemeClr w14:val="tx1"/>
            </w14:solidFill>
          </w14:textFill>
        </w:rPr>
        <w:t>定义：</w:t>
      </w:r>
    </w:p>
    <w:p w14:paraId="1E80C41F">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14:paraId="1DDFA2E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/净资产</w:t>
      </w:r>
      <w:r>
        <w:rPr>
          <w:rFonts w:ascii="黑体" w:hAnsi="黑体" w:eastAsia="黑体"/>
          <w:color w:val="000000" w:themeColor="text1"/>
          <w:sz w:val="20"/>
          <w:szCs w:val="20"/>
          <w14:textFill>
            <w14:solidFill>
              <w14:schemeClr w14:val="tx1"/>
            </w14:solidFill>
          </w14:textFill>
        </w:rPr>
        <w:t>：资产净值=产品资产总值-产品负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w:t>
      </w:r>
      <w:r>
        <w:rPr>
          <w:rFonts w:hint="eastAsia" w:ascii="黑体" w:hAnsi="黑体" w:eastAsia="黑体"/>
          <w:color w:val="000000" w:themeColor="text1"/>
          <w:sz w:val="20"/>
          <w:szCs w:val="20"/>
          <w14:textFill>
            <w14:solidFill>
              <w14:schemeClr w14:val="tx1"/>
            </w14:solidFill>
          </w14:textFill>
        </w:rPr>
        <w:t>。</w:t>
      </w:r>
    </w:p>
    <w:p w14:paraId="1B1F5FC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，扣除认购费后</w:t>
      </w:r>
      <w:r>
        <w:rPr>
          <w:rFonts w:ascii="黑体" w:hAnsi="黑体" w:eastAsia="黑体"/>
          <w:color w:val="000000" w:themeColor="text1"/>
          <w:sz w:val="20"/>
          <w:szCs w:val="20"/>
          <w14:textFill>
            <w14:solidFill>
              <w14:schemeClr w14:val="tx1"/>
            </w14:solidFill>
          </w14:textFill>
        </w:rPr>
        <w:t>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14:paraId="777990E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14:paraId="4508E9F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14:paraId="48AD85F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14:paraId="29BC2341">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14:paraId="4E153AAC">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14:paraId="7E3AD06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14:paraId="7138C28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p>
    <w:p w14:paraId="74C60AB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14:paraId="2272F83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14．信银理财电子渠道：指信银理财官方网站（</w:t>
      </w:r>
      <w:r>
        <w:rPr>
          <w:rStyle w:val="11"/>
          <w:rFonts w:ascii="黑体" w:hAnsi="黑体" w:eastAsia="黑体"/>
          <w:sz w:val="20"/>
          <w:szCs w:val="20"/>
        </w:rPr>
        <w:fldChar w:fldCharType="begin"/>
      </w:r>
      <w:r>
        <w:rPr>
          <w:rStyle w:val="11"/>
          <w:rFonts w:ascii="黑体" w:hAnsi="黑体" w:eastAsia="黑体"/>
          <w:sz w:val="20"/>
          <w:szCs w:val="20"/>
        </w:rPr>
        <w:instrText xml:space="preserve"> HYPERLINK "http://www.citic-wealth.com" </w:instrText>
      </w:r>
      <w:r>
        <w:rPr>
          <w:rStyle w:val="11"/>
          <w:rFonts w:ascii="黑体" w:hAnsi="黑体" w:eastAsia="黑体"/>
          <w:sz w:val="20"/>
          <w:szCs w:val="20"/>
        </w:rPr>
        <w:fldChar w:fldCharType="separate"/>
      </w:r>
      <w:r>
        <w:rPr>
          <w:rStyle w:val="11"/>
          <w:rFonts w:ascii="黑体" w:hAnsi="黑体" w:eastAsia="黑体"/>
          <w:sz w:val="20"/>
          <w:szCs w:val="20"/>
        </w:rPr>
        <w:t>http://www.citic-wealth.com</w:t>
      </w:r>
      <w:r>
        <w:rPr>
          <w:rStyle w:val="11"/>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14:paraId="4FCE737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15．信银理财直销渠道：指信银理财电子渠道及营业场所。</w:t>
      </w:r>
    </w:p>
    <w:p w14:paraId="6B4EF93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16．销售机构：指信银理财及代销机构。</w:t>
      </w:r>
    </w:p>
    <w:p w14:paraId="77627480">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3957F209">
      <w:pPr>
        <w:pStyle w:val="19"/>
        <w:numPr>
          <w:ilvl w:val="255"/>
          <w:numId w:val="0"/>
        </w:numPr>
        <w:spacing w:line="300" w:lineRule="atLeast"/>
        <w:ind w:right="36" w:firstLine="400" w:firstLineChars="200"/>
        <w:rPr>
          <w:rFonts w:ascii="黑体" w:hAnsi="黑体" w:eastAsia="黑体"/>
          <w:color w:val="000000" w:themeColor="text1"/>
          <w:sz w:val="20"/>
          <w:szCs w:val="20"/>
          <w14:textFill>
            <w14:solidFill>
              <w14:schemeClr w14:val="tx1"/>
            </w14:solidFill>
          </w14:textFill>
        </w:rPr>
      </w:pPr>
    </w:p>
    <w:p w14:paraId="0F96C1C8">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14:paraId="525AFA1F">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8"/>
        <w:gridCol w:w="2370"/>
        <w:gridCol w:w="3770"/>
      </w:tblGrid>
      <w:tr w14:paraId="0860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2F62CB8A">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14:paraId="1695DDE9">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4327" w:type="dxa"/>
            <w:vAlign w:val="center"/>
          </w:tcPr>
          <w:p w14:paraId="1029746E">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14:paraId="326A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571315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14:paraId="7EBF8FBC">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4327" w:type="dxa"/>
            <w:vAlign w:val="center"/>
          </w:tcPr>
          <w:p w14:paraId="48987A9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14:paraId="70A7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055A059B">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14:paraId="1DA79A45">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4327" w:type="dxa"/>
            <w:vAlign w:val="center"/>
          </w:tcPr>
          <w:p w14:paraId="5FB6EAD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14:paraId="19CD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9D1EA47">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14:paraId="4AAA9B0A">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4327" w:type="dxa"/>
            <w:vAlign w:val="center"/>
          </w:tcPr>
          <w:p w14:paraId="5CFE2FE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14:paraId="2750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3150E7D">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14:paraId="7198B426">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4327" w:type="dxa"/>
            <w:vAlign w:val="center"/>
          </w:tcPr>
          <w:p w14:paraId="7746408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14:paraId="623C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D09A3A2">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14:paraId="7BD6D5DA">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4327" w:type="dxa"/>
            <w:vAlign w:val="center"/>
          </w:tcPr>
          <w:p w14:paraId="762AD7B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14:paraId="3F46C695">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14:paraId="5DA403D6">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14:paraId="683DC93B">
      <w:pPr>
        <w:snapToGrid w:val="0"/>
        <w:ind w:left="433" w:right="53" w:rightChars="22" w:firstLine="0" w:firstLineChars="0"/>
        <w:outlineLvl w:val="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．产品投资策略：</w:t>
      </w:r>
    </w:p>
    <w:p w14:paraId="2E9FE289">
      <w:pPr>
        <w:spacing w:line="300" w:lineRule="exact"/>
        <w:ind w:left="-2" w:leftChars="-1" w:right="36" w:rightChars="15" w:firstLine="422"/>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p w14:paraId="032DBAE6">
      <w:pPr>
        <w:spacing w:line="300" w:lineRule="exact"/>
        <w:ind w:left="-2" w:leftChars="0" w:right="36" w:rightChars="15" w:firstLine="420" w:firstLineChars="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14:paraId="37379198">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14:paraId="04B61E15">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14:paraId="710C6F30">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14:paraId="76EF9675">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14:paraId="6C290A87">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right="36" w:rightChars="15" w:firstLine="420" w:firstLineChars="0"/>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13"/>
        <w:gridCol w:w="3815"/>
      </w:tblGrid>
      <w:tr w14:paraId="4CFBB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DF0D605">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14:paraId="1BA084F8">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14:paraId="06148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3BD743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14:paraId="002CA2B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【80%-100%】</w:t>
            </w:r>
          </w:p>
        </w:tc>
      </w:tr>
      <w:tr w14:paraId="2066F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C95E97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14:paraId="06CBEEFC">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【0%-49%</w:t>
            </w:r>
            <w:r>
              <w:rPr>
                <w:rFonts w:ascii="楷体" w:hAnsi="楷体" w:eastAsia="楷体"/>
                <w:color w:val="000000" w:themeColor="text1"/>
                <w:sz w:val="20"/>
                <w:szCs w:val="20"/>
                <w14:textFill>
                  <w14:solidFill>
                    <w14:schemeClr w14:val="tx1"/>
                  </w14:solidFill>
                </w14:textFill>
              </w:rPr>
              <w:t>】</w:t>
            </w:r>
          </w:p>
        </w:tc>
      </w:tr>
      <w:tr w14:paraId="76D43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01F568B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14:paraId="4CAD7C05">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14:paraId="6F4E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1BFAE4AE">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14:paraId="6612C441">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r w14:paraId="67AD8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61AB16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14:paraId="486BB9BA">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bl>
    <w:p w14:paraId="065AA9BC">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基金</w:t>
      </w:r>
      <w:r>
        <w:rPr>
          <w:rFonts w:ascii="Times New Roman" w:hAnsi="Times New Roman" w:eastAsia="楷体_GB2312" w:cs="楷体_GB2312"/>
          <w:color w:val="000000" w:themeColor="text1"/>
          <w:sz w:val="20"/>
          <w:szCs w:val="20"/>
          <w14:textFill>
            <w14:solidFill>
              <w14:schemeClr w14:val="tx1"/>
            </w14:solidFill>
          </w14:textFill>
        </w:rPr>
        <w:t>、期货</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保险资产管理机构等依法设立的资产管理产品</w:t>
      </w:r>
      <w:r>
        <w:rPr>
          <w:rFonts w:hint="eastAsia" w:ascii="Times New Roman" w:hAnsi="Times New Roman" w:eastAsia="楷体_GB2312" w:cs="楷体_GB2312"/>
          <w:color w:val="000000" w:themeColor="text1"/>
          <w:sz w:val="20"/>
          <w:szCs w:val="20"/>
          <w14:textFill>
            <w14:solidFill>
              <w14:schemeClr w14:val="tx1"/>
            </w14:solidFill>
          </w14:textFill>
        </w:rPr>
        <w:t>以及其他符合国家相关政策、法律法规的投资渠道和方式实现对上述投资品种的投资，且可以由资产持有人按公允价格转让本产品所投资的全部或部分投资标的。</w:t>
      </w:r>
    </w:p>
    <w:p w14:paraId="42F021DF">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非因管理人主观因素导致突破前述比例限制的，管理人应在流动性受限资产可出售、可转让或者恢复交易的15个</w:t>
      </w:r>
      <w:r>
        <w:rPr>
          <w:rFonts w:ascii="Times New Roman" w:hAnsi="Times New Roman" w:eastAsia="楷体_GB2312" w:cs="楷体_GB2312"/>
          <w:color w:val="000000" w:themeColor="text1"/>
          <w:sz w:val="20"/>
          <w:szCs w:val="20"/>
          <w14:textFill>
            <w14:solidFill>
              <w14:schemeClr w14:val="tx1"/>
            </w14:solidFill>
          </w14:textFill>
        </w:rPr>
        <w:t>交易日内调整至</w:t>
      </w:r>
      <w:r>
        <w:rPr>
          <w:rFonts w:hint="eastAsia" w:ascii="Times New Roman" w:hAnsi="Times New Roman" w:eastAsia="楷体_GB2312" w:cs="楷体_GB2312"/>
          <w:color w:val="000000" w:themeColor="text1"/>
          <w:sz w:val="20"/>
          <w:szCs w:val="20"/>
          <w14:textFill>
            <w14:solidFill>
              <w14:schemeClr w14:val="tx1"/>
            </w14:solidFill>
          </w14:textFill>
        </w:rPr>
        <w:t>至符合</w:t>
      </w:r>
      <w:r>
        <w:rPr>
          <w:rFonts w:ascii="Times New Roman" w:hAnsi="Times New Roman" w:eastAsia="楷体_GB2312" w:cs="楷体_GB2312"/>
          <w:color w:val="000000" w:themeColor="text1"/>
          <w:sz w:val="20"/>
          <w:szCs w:val="20"/>
          <w14:textFill>
            <w14:solidFill>
              <w14:schemeClr w14:val="tx1"/>
            </w14:solidFill>
          </w14:textFill>
        </w:rPr>
        <w:t>要求</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国务院银行业监督管理机构规定的特殊情形除外</w:t>
      </w:r>
      <w:r>
        <w:rPr>
          <w:rFonts w:hint="eastAsia" w:ascii="Times New Roman" w:hAnsi="Times New Roman" w:eastAsia="楷体_GB2312" w:cs="楷体_GB2312"/>
          <w:color w:val="000000" w:themeColor="text1"/>
          <w:sz w:val="20"/>
          <w:szCs w:val="20"/>
          <w14:textFill>
            <w14:solidFill>
              <w14:schemeClr w14:val="tx1"/>
            </w14:solidFill>
          </w14:textFill>
        </w:rPr>
        <w:t>。</w:t>
      </w:r>
    </w:p>
    <w:p w14:paraId="3B0557B5">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w:t>
      </w:r>
      <w:r>
        <w:rPr>
          <w:rFonts w:ascii="楷体_GB2312" w:eastAsia="楷体_GB2312" w:cs="楷体_GB2312"/>
          <w:sz w:val="20"/>
          <w:szCs w:val="20"/>
        </w:rPr>
        <w:t>整</w:t>
      </w:r>
      <w:r>
        <w:rPr>
          <w:rFonts w:hint="eastAsia" w:ascii="楷体_GB2312" w:eastAsia="楷体_GB2312" w:cs="楷体_GB2312"/>
          <w:sz w:val="20"/>
          <w:szCs w:val="20"/>
        </w:rPr>
        <w:t>。投资者</w:t>
      </w:r>
      <w:r>
        <w:rPr>
          <w:rFonts w:ascii="楷体_GB2312" w:eastAsia="楷体_GB2312" w:cs="楷体_GB2312"/>
          <w:sz w:val="20"/>
          <w:szCs w:val="20"/>
        </w:rPr>
        <w:t>不接受的，可</w:t>
      </w:r>
      <w:r>
        <w:rPr>
          <w:rFonts w:hint="eastAsia" w:ascii="楷体_GB2312" w:eastAsia="楷体_GB2312" w:cs="楷体_GB2312"/>
          <w:sz w:val="20"/>
          <w:szCs w:val="20"/>
        </w:rPr>
        <w:t>提前</w:t>
      </w:r>
      <w:r>
        <w:rPr>
          <w:rFonts w:ascii="楷体_GB2312" w:eastAsia="楷体_GB2312" w:cs="楷体_GB2312"/>
          <w:sz w:val="20"/>
          <w:szCs w:val="20"/>
        </w:rPr>
        <w:t>赎回理财产品，</w:t>
      </w:r>
      <w:r>
        <w:rPr>
          <w:rFonts w:hint="eastAsia" w:ascii="楷体_GB2312" w:eastAsia="楷体_GB2312" w:cs="楷体_GB2312"/>
          <w:sz w:val="20"/>
          <w:szCs w:val="20"/>
        </w:rPr>
        <w:t>信银理财有权根据情况设立临时的赎回开放日</w:t>
      </w:r>
      <w:r>
        <w:rPr>
          <w:rFonts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w:t>
      </w:r>
      <w:r>
        <w:rPr>
          <w:rFonts w:ascii="Times New Roman" w:hAnsi="Times New Roman" w:eastAsia="楷体_GB2312" w:cs="楷体_GB2312"/>
          <w:color w:val="000000" w:themeColor="text1"/>
          <w:sz w:val="20"/>
          <w:szCs w:val="20"/>
          <w14:textFill>
            <w14:solidFill>
              <w14:schemeClr w14:val="tx1"/>
            </w14:solidFill>
          </w14:textFill>
        </w:rPr>
        <w:t>限制：</w:t>
      </w:r>
    </w:p>
    <w:p w14:paraId="32AEEF17">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200%；</w:t>
      </w:r>
    </w:p>
    <w:p w14:paraId="712A273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hAnsi="Times New Roman" w:eastAsia="楷体_GB2312" w:cs="楷体_GB2312"/>
          <w:b/>
          <w:bCs/>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（3</w:t>
      </w:r>
      <w:r>
        <w:rPr>
          <w:rFonts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b/>
          <w:bCs/>
          <w:color w:val="000000" w:themeColor="text1"/>
          <w:sz w:val="20"/>
          <w:szCs w:val="20"/>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b）计划投资上述资产的比例达到产品净资产50%以上。</w:t>
      </w:r>
    </w:p>
    <w:p w14:paraId="4F21476D">
      <w:pPr>
        <w:spacing w:line="300" w:lineRule="exact"/>
        <w:ind w:left="-2" w:right="36" w:rightChars="15" w:firstLine="400" w:firstLineChars="200"/>
        <w:rPr>
          <w:rFonts w:ascii="Times New Roman" w:hAnsi="Times New Roman" w:eastAsia="楷体_GB2312" w:cs="楷体_GB2312"/>
          <w:color w:val="000000" w:themeColor="text1"/>
          <w:sz w:val="20"/>
          <w:szCs w:val="20"/>
          <w:highlight w:val="none"/>
          <w14:textFill>
            <w14:solidFill>
              <w14:schemeClr w14:val="tx1"/>
            </w14:solidFill>
          </w14:textFill>
        </w:rPr>
      </w:pPr>
      <w:bookmarkStart w:id="0" w:name="_Hlk37143861"/>
      <w:r>
        <w:rPr>
          <w:rFonts w:ascii="楷体_GB2312" w:eastAsia="楷体_GB2312"/>
          <w:color w:val="000000" w:themeColor="text1"/>
          <w:sz w:val="20"/>
          <w:szCs w:val="20"/>
          <w:highlight w:val="none"/>
          <w14:textFill>
            <w14:solidFill>
              <w14:schemeClr w14:val="tx1"/>
            </w14:solidFill>
          </w14:textFill>
        </w:rPr>
        <w:t>5.</w:t>
      </w:r>
      <w:r>
        <w:rPr>
          <w:highlight w:val="none"/>
        </w:rPr>
        <w:t xml:space="preserve"> </w:t>
      </w:r>
      <w:r>
        <w:rPr>
          <w:rFonts w:hint="eastAsia" w:ascii="楷体_GB2312" w:eastAsia="楷体_GB2312"/>
          <w:color w:val="000000" w:themeColor="text1"/>
          <w:sz w:val="20"/>
          <w:szCs w:val="20"/>
          <w:highlight w:val="none"/>
          <w14:textFill>
            <w14:solidFill>
              <w14:schemeClr w14:val="tx1"/>
            </w14:solidFill>
          </w14:textFill>
        </w:rPr>
        <w:t>本理财产品的捐赠合作机构为【浙江省慈善联合总会】（网址https://www.zcf.org.cn</w:t>
      </w:r>
      <w:r>
        <w:rPr>
          <w:rFonts w:ascii="楷体_GB2312" w:eastAsia="楷体_GB2312"/>
          <w:color w:val="000000" w:themeColor="text1"/>
          <w:sz w:val="20"/>
          <w:szCs w:val="20"/>
          <w:highlight w:val="none"/>
          <w14:textFill>
            <w14:solidFill>
              <w14:schemeClr w14:val="tx1"/>
            </w14:solidFill>
          </w14:textFill>
        </w:rPr>
        <w:t xml:space="preserve"> </w:t>
      </w:r>
      <w:r>
        <w:rPr>
          <w:rFonts w:hint="eastAsia" w:ascii="楷体_GB2312" w:eastAsia="楷体_GB2312"/>
          <w:color w:val="000000" w:themeColor="text1"/>
          <w:sz w:val="20"/>
          <w:szCs w:val="20"/>
          <w:highlight w:val="none"/>
          <w14:textFill>
            <w14:solidFill>
              <w14:schemeClr w14:val="tx1"/>
            </w14:solidFill>
          </w14:textFill>
        </w:rPr>
        <w:t>，地方性公募基金会），地址【</w:t>
      </w:r>
      <w:r>
        <w:rPr>
          <w:rFonts w:ascii="楷体_GB2312" w:eastAsia="楷体_GB2312"/>
          <w:color w:val="000000" w:themeColor="text1"/>
          <w:sz w:val="20"/>
          <w:szCs w:val="20"/>
          <w:highlight w:val="none"/>
          <w14:textFill>
            <w14:solidFill>
              <w14:schemeClr w14:val="tx1"/>
            </w14:solidFill>
          </w14:textFill>
        </w:rPr>
        <w:t>浙江省杭州市西湖区保</w:t>
      </w:r>
      <w:r>
        <w:rPr>
          <w:rFonts w:ascii="微软雅黑" w:hAnsi="微软雅黑" w:eastAsia="微软雅黑" w:cs="微软雅黑"/>
          <w:color w:val="000000" w:themeColor="text1"/>
          <w:sz w:val="20"/>
          <w:szCs w:val="20"/>
          <w:highlight w:val="none"/>
          <w14:textFill>
            <w14:solidFill>
              <w14:schemeClr w14:val="tx1"/>
            </w14:solidFill>
          </w14:textFill>
        </w:rPr>
        <w:t>俶</w:t>
      </w:r>
      <w:r>
        <w:rPr>
          <w:rFonts w:ascii="楷体_GB2312" w:eastAsia="楷体_GB2312"/>
          <w:color w:val="000000" w:themeColor="text1"/>
          <w:sz w:val="20"/>
          <w:szCs w:val="20"/>
          <w:highlight w:val="none"/>
          <w14:textFill>
            <w14:solidFill>
              <w14:schemeClr w14:val="tx1"/>
            </w14:solidFill>
          </w14:textFill>
        </w:rPr>
        <w:t>北路</w:t>
      </w:r>
      <w:r>
        <w:rPr>
          <w:rFonts w:hint="eastAsia" w:ascii="楷体_GB2312" w:eastAsia="楷体_GB2312"/>
          <w:color w:val="000000" w:themeColor="text1"/>
          <w:sz w:val="20"/>
          <w:szCs w:val="20"/>
          <w:highlight w:val="none"/>
          <w14:textFill>
            <w14:solidFill>
              <w14:schemeClr w14:val="tx1"/>
            </w14:solidFill>
          </w14:textFill>
        </w:rPr>
        <w:t>8</w:t>
      </w:r>
      <w:r>
        <w:rPr>
          <w:rFonts w:ascii="楷体_GB2312" w:eastAsia="楷体_GB2312"/>
          <w:color w:val="000000" w:themeColor="text1"/>
          <w:sz w:val="20"/>
          <w:szCs w:val="20"/>
          <w:highlight w:val="none"/>
          <w14:textFill>
            <w14:solidFill>
              <w14:schemeClr w14:val="tx1"/>
            </w14:solidFill>
          </w14:textFill>
        </w:rPr>
        <w:t>3号】，联系电话【0571-28950831】</w:t>
      </w:r>
      <w:r>
        <w:rPr>
          <w:rFonts w:hint="eastAsia" w:ascii="楷体_GB2312" w:eastAsia="楷体_GB2312"/>
          <w:color w:val="000000" w:themeColor="text1"/>
          <w:sz w:val="20"/>
          <w:szCs w:val="20"/>
          <w:highlight w:val="none"/>
          <w14:textFill>
            <w14:solidFill>
              <w14:schemeClr w14:val="tx1"/>
            </w14:solidFill>
          </w14:textFill>
        </w:rPr>
        <w:t>。</w:t>
      </w:r>
      <w:bookmarkEnd w:id="0"/>
    </w:p>
    <w:p w14:paraId="2B58A500">
      <w:pPr>
        <w:spacing w:line="300" w:lineRule="exact"/>
        <w:ind w:firstLine="400" w:firstLineChars="200"/>
        <w:jc w:val="both"/>
        <w:rPr>
          <w:rFonts w:ascii="Times New Roman" w:hAnsi="Times New Roman" w:eastAsia="楷体_GB2312" w:cs="楷体_GB2312"/>
          <w:color w:val="000000" w:themeColor="text1"/>
          <w:sz w:val="20"/>
          <w:szCs w:val="20"/>
          <w:u w:val="single"/>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7</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14:paraId="686520F9">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8</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非标准化</w:t>
      </w:r>
      <w:r>
        <w:rPr>
          <w:rFonts w:ascii="楷体_GB2312" w:eastAsia="楷体_GB2312"/>
          <w:color w:val="000000" w:themeColor="text1"/>
          <w:sz w:val="20"/>
          <w:szCs w:val="20"/>
          <w14:textFill>
            <w14:solidFill>
              <w14:schemeClr w14:val="tx1"/>
            </w14:solidFill>
          </w14:textFill>
        </w:rPr>
        <w:t>债权</w:t>
      </w:r>
      <w:r>
        <w:rPr>
          <w:rFonts w:hint="eastAsia" w:ascii="楷体_GB2312" w:eastAsia="楷体_GB2312"/>
          <w:color w:val="000000" w:themeColor="text1"/>
          <w:sz w:val="20"/>
          <w:szCs w:val="20"/>
          <w14:textFill>
            <w14:solidFill>
              <w14:schemeClr w14:val="tx1"/>
            </w14:solidFill>
          </w14:textFill>
        </w:rPr>
        <w:t>资产信息</w:t>
      </w:r>
      <w:r>
        <w:rPr>
          <w:rFonts w:ascii="楷体_GB2312" w:eastAsia="楷体_GB2312"/>
          <w:color w:val="000000" w:themeColor="text1"/>
          <w:sz w:val="20"/>
          <w:szCs w:val="20"/>
          <w14:textFill>
            <w14:solidFill>
              <w14:schemeClr w14:val="tx1"/>
            </w14:solidFill>
          </w14:textFill>
        </w:rPr>
        <w:t>披露</w:t>
      </w:r>
    </w:p>
    <w:p w14:paraId="62796547">
      <w:pPr>
        <w:spacing w:line="300" w:lineRule="exact"/>
        <w:ind w:firstLine="400" w:firstLineChars="200"/>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本产品可投资于非标准化债权类资产，信银理财将按照监管规定，向投资者披露产品投资每笔非标准化债权类资产的融资客户、项目名称、剩余融资期限、到期收益分配、交易结构、风险状况等资产信息。</w:t>
      </w:r>
    </w:p>
    <w:p w14:paraId="1A37E873">
      <w:pPr>
        <w:spacing w:line="300" w:lineRule="exact"/>
        <w:ind w:right="48" w:rightChars="20"/>
        <w:jc w:val="both"/>
        <w:rPr>
          <w:color w:val="000000" w:themeColor="text1"/>
          <w14:textFill>
            <w14:solidFill>
              <w14:schemeClr w14:val="tx1"/>
            </w14:solidFill>
          </w14:textFill>
        </w:rPr>
      </w:pPr>
    </w:p>
    <w:p w14:paraId="252B17B3">
      <w:pPr>
        <w:spacing w:line="300" w:lineRule="exact"/>
        <w:ind w:right="48" w:rightChars="20"/>
        <w:jc w:val="both"/>
        <w:rPr>
          <w:color w:val="000000" w:themeColor="text1"/>
          <w14:textFill>
            <w14:solidFill>
              <w14:schemeClr w14:val="tx1"/>
            </w14:solidFill>
          </w14:textFill>
        </w:rPr>
      </w:pPr>
    </w:p>
    <w:p w14:paraId="23DEDF75">
      <w:pPr>
        <w:snapToGrid w:val="0"/>
        <w:ind w:left="-2" w:leftChars="-1" w:right="53" w:rightChars="22"/>
        <w:outlineLvl w:val="0"/>
        <w:rPr>
          <w:rFonts w:ascii="楷体" w:hAnsi="楷体" w:eastAsia="楷体"/>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6328"/>
      </w:tblGrid>
      <w:tr w14:paraId="39D4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0" w:type="pct"/>
            <w:vAlign w:val="center"/>
          </w:tcPr>
          <w:p w14:paraId="6269E19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709" w:type="pct"/>
            <w:vAlign w:val="center"/>
          </w:tcPr>
          <w:p w14:paraId="76DC5EED">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r>
              <w:rPr>
                <w:rFonts w:hint="eastAsia" w:ascii="楷体_GB2312" w:eastAsia="楷体_GB2312" w:cs="楷体_GB2312"/>
                <w:color w:val="000000" w:themeColor="text1"/>
                <w:sz w:val="20"/>
                <w:szCs w:val="20"/>
                <w:lang w:eastAsia="zh-CN"/>
                <w14:textFill>
                  <w14:solidFill>
                    <w14:schemeClr w14:val="tx1"/>
                  </w14:solidFill>
                </w14:textFill>
              </w:rPr>
              <w:t>安盈象固收稳健温暖童行丰收封闭式6号</w:t>
            </w:r>
            <w:r>
              <w:rPr>
                <w:rFonts w:hint="eastAsia" w:ascii="楷体_GB2312" w:eastAsia="楷体_GB2312" w:cs="楷体_GB2312"/>
                <w:color w:val="000000" w:themeColor="text1"/>
                <w:sz w:val="20"/>
                <w:szCs w:val="20"/>
                <w14:textFill>
                  <w14:solidFill>
                    <w14:schemeClr w14:val="tx1"/>
                  </w14:solidFill>
                </w14:textFill>
              </w:rPr>
              <w:t>理财产品】</w:t>
            </w:r>
          </w:p>
        </w:tc>
      </w:tr>
      <w:tr w14:paraId="67C2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DD5E7C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709" w:type="pct"/>
            <w:vAlign w:val="center"/>
          </w:tcPr>
          <w:p w14:paraId="7BA9F0F2">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lang w:eastAsia="zh-CN"/>
                <w14:textFill>
                  <w14:solidFill>
                    <w14:schemeClr w14:val="tx1"/>
                  </w14:solidFill>
                </w14:textFill>
              </w:rPr>
              <w:t>Z700262500</w:t>
            </w:r>
            <w:r>
              <w:rPr>
                <w:rFonts w:hint="eastAsia" w:ascii="楷体_GB2312" w:eastAsia="楷体_GB2312"/>
                <w:color w:val="000000" w:themeColor="text1"/>
                <w:sz w:val="20"/>
                <w:szCs w:val="20"/>
                <w:lang w:val="en-US" w:eastAsia="zh-CN"/>
                <w14:textFill>
                  <w14:solidFill>
                    <w14:schemeClr w14:val="tx1"/>
                  </w14:solidFill>
                </w14:textFill>
              </w:rPr>
              <w:t>2486</w:t>
            </w:r>
            <w:r>
              <w:rPr>
                <w:rFonts w:ascii="楷体_GB2312" w:eastAsia="楷体_GB2312"/>
                <w:color w:val="000000" w:themeColor="text1"/>
                <w:sz w:val="20"/>
                <w:szCs w:val="20"/>
                <w14:textFill>
                  <w14:solidFill>
                    <w14:schemeClr w14:val="tx1"/>
                  </w14:solidFill>
                </w14:textFill>
              </w:rPr>
              <w:t>】</w:t>
            </w:r>
          </w:p>
        </w:tc>
      </w:tr>
      <w:tr w14:paraId="296A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37D70C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709" w:type="pct"/>
            <w:vAlign w:val="center"/>
          </w:tcPr>
          <w:p w14:paraId="66D91F5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eastAsia="zh-CN"/>
                <w14:textFill>
                  <w14:solidFill>
                    <w14:schemeClr w14:val="tx1"/>
                  </w14:solidFill>
                </w14:textFill>
              </w:rPr>
              <w:t>AF251856</w:t>
            </w:r>
            <w:r>
              <w:rPr>
                <w:rFonts w:ascii="楷体_GB2312" w:eastAsia="楷体_GB2312" w:cs="楷体_GB2312"/>
                <w:color w:val="000000" w:themeColor="text1"/>
                <w:sz w:val="20"/>
                <w:szCs w:val="20"/>
                <w14:textFill>
                  <w14:solidFill>
                    <w14:schemeClr w14:val="tx1"/>
                  </w14:solidFill>
                </w14:textFill>
              </w:rPr>
              <w:t>】</w:t>
            </w:r>
          </w:p>
        </w:tc>
      </w:tr>
      <w:tr w14:paraId="0BBA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0894C4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709" w:type="pct"/>
            <w:vAlign w:val="center"/>
          </w:tcPr>
          <w:p w14:paraId="33D6B887">
            <w:pPr>
              <w:spacing w:line="300" w:lineRule="exact"/>
              <w:ind w:left="-2" w:leftChars="-1" w:right="36" w:rightChars="15"/>
            </w:pPr>
            <w:r>
              <w:rPr>
                <w:rFonts w:hint="eastAsia" w:ascii="楷体_GB2312" w:eastAsia="楷体_GB2312" w:cs="楷体_GB2312"/>
                <w:color w:val="000000" w:themeColor="text1"/>
                <w:sz w:val="20"/>
                <w:szCs w:val="20"/>
                <w14:textFill>
                  <w14:solidFill>
                    <w14:schemeClr w14:val="tx1"/>
                  </w14:solidFill>
                </w14:textFill>
              </w:rPr>
              <w:t>公募、【固定收益类】、封闭式</w:t>
            </w:r>
          </w:p>
        </w:tc>
      </w:tr>
      <w:tr w14:paraId="1D47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23E74D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709" w:type="pct"/>
            <w:vAlign w:val="center"/>
          </w:tcPr>
          <w:p w14:paraId="7ED2EA72">
            <w:pPr>
              <w:spacing w:line="300" w:lineRule="exact"/>
              <w:ind w:left="-2" w:leftChars="-1" w:right="36" w:rightChars="15"/>
              <w:rPr>
                <w:rFonts w:ascii="楷体_GB2312" w:eastAsia="楷体_GB2312" w:cs="楷体_GB2312"/>
                <w:color w:val="000000"/>
                <w:sz w:val="20"/>
                <w:szCs w:val="20"/>
              </w:rPr>
            </w:pPr>
            <w:r>
              <w:rPr>
                <w:rFonts w:ascii="楷体_GB2312" w:eastAsia="楷体_GB2312" w:cs="楷体_GB2312"/>
                <w:sz w:val="20"/>
                <w:szCs w:val="20"/>
              </w:rPr>
              <w:t>PR</w:t>
            </w:r>
            <w:r>
              <w:rPr>
                <w:rFonts w:hint="eastAsia" w:ascii="楷体_GB2312" w:eastAsia="楷体_GB2312" w:cs="楷体_GB2312"/>
                <w:sz w:val="20"/>
                <w:szCs w:val="20"/>
              </w:rPr>
              <w:t>【</w:t>
            </w:r>
            <w:r>
              <w:rPr>
                <w:rFonts w:ascii="楷体_GB2312" w:eastAsia="楷体_GB2312" w:cs="楷体_GB2312"/>
                <w:sz w:val="20"/>
                <w:szCs w:val="20"/>
              </w:rPr>
              <w:t>2</w:t>
            </w:r>
            <w:r>
              <w:rPr>
                <w:rFonts w:hint="eastAsia" w:ascii="楷体_GB2312" w:eastAsia="楷体_GB2312" w:cs="楷体_GB2312"/>
                <w:sz w:val="20"/>
                <w:szCs w:val="20"/>
              </w:rPr>
              <w:t>】级（【稳健】</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sz w:val="20"/>
                <w:szCs w:val="20"/>
              </w:rPr>
              <w:t>。本风险分级为信银理财自行评定，仅供参考。</w:t>
            </w:r>
          </w:p>
          <w:p w14:paraId="25E9484A">
            <w:pPr>
              <w:spacing w:line="300" w:lineRule="exact"/>
              <w:ind w:left="-2" w:leftChars="-1" w:right="36" w:rightChars="15"/>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color w:val="000000"/>
                <w:sz w:val="20"/>
                <w:szCs w:val="20"/>
              </w:rPr>
              <w:t>理财</w:t>
            </w:r>
            <w:r>
              <w:rPr>
                <w:rFonts w:ascii="楷体_GB2312" w:eastAsia="楷体_GB2312" w:cs="楷体_GB2312"/>
                <w:color w:val="000000"/>
                <w:sz w:val="20"/>
                <w:szCs w:val="20"/>
              </w:rPr>
              <w:t>产品通过代销机构销售的，代销机构将</w:t>
            </w:r>
            <w:r>
              <w:rPr>
                <w:rFonts w:hint="eastAsia" w:ascii="楷体_GB2312" w:eastAsia="楷体_GB2312" w:cs="楷体_GB2312"/>
                <w:color w:val="000000"/>
                <w:sz w:val="20"/>
                <w:szCs w:val="20"/>
              </w:rPr>
              <w:t>对</w:t>
            </w:r>
            <w:r>
              <w:rPr>
                <w:rFonts w:ascii="楷体_GB2312" w:eastAsia="楷体_GB2312" w:cs="楷体_GB2312"/>
                <w:color w:val="000000"/>
                <w:sz w:val="20"/>
                <w:szCs w:val="20"/>
              </w:rPr>
              <w:t>理财产品进行风险评级</w:t>
            </w:r>
            <w:r>
              <w:rPr>
                <w:rFonts w:hint="eastAsia" w:ascii="楷体_GB2312" w:eastAsia="楷体_GB2312" w:cs="楷体_GB2312"/>
                <w:color w:val="000000"/>
                <w:sz w:val="20"/>
                <w:szCs w:val="20"/>
              </w:rPr>
              <w:t>并</w:t>
            </w:r>
            <w:r>
              <w:rPr>
                <w:rFonts w:ascii="楷体_GB2312" w:eastAsia="楷体_GB2312" w:cs="楷体_GB2312"/>
                <w:color w:val="000000"/>
                <w:sz w:val="20"/>
                <w:szCs w:val="20"/>
              </w:rPr>
              <w:t>对投资者进行风险</w:t>
            </w:r>
            <w:r>
              <w:rPr>
                <w:rFonts w:hint="eastAsia" w:ascii="楷体_GB2312" w:eastAsia="楷体_GB2312" w:cs="楷体_GB2312"/>
                <w:color w:val="000000"/>
                <w:sz w:val="20"/>
                <w:szCs w:val="20"/>
              </w:rPr>
              <w:t>承受</w:t>
            </w:r>
            <w:r>
              <w:rPr>
                <w:rFonts w:ascii="楷体_GB2312" w:eastAsia="楷体_GB2312" w:cs="楷体_GB2312"/>
                <w:color w:val="000000"/>
                <w:sz w:val="20"/>
                <w:szCs w:val="20"/>
              </w:rPr>
              <w:t>能力测评</w:t>
            </w:r>
            <w:r>
              <w:rPr>
                <w:rFonts w:hint="eastAsia" w:ascii="楷体_GB2312" w:eastAsia="楷体_GB2312" w:cs="楷体_GB2312"/>
                <w:color w:val="000000"/>
                <w:sz w:val="20"/>
                <w:szCs w:val="20"/>
              </w:rPr>
              <w:t>，</w:t>
            </w:r>
            <w:r>
              <w:rPr>
                <w:rFonts w:hint="eastAsia" w:ascii="楷体_GB2312" w:eastAsia="楷体_GB2312" w:cs="楷体_GB2312"/>
                <w:b/>
                <w:color w:val="000000"/>
                <w:sz w:val="20"/>
                <w:szCs w:val="20"/>
              </w:rPr>
              <w:t>理财产品评级应当以代销机构最终披露的评级结果为准</w:t>
            </w:r>
            <w:r>
              <w:rPr>
                <w:rFonts w:ascii="楷体_GB2312" w:eastAsia="楷体_GB2312" w:cs="楷体_GB2312"/>
                <w:color w:val="000000"/>
                <w:sz w:val="20"/>
                <w:szCs w:val="20"/>
              </w:rPr>
              <w:t>。</w:t>
            </w:r>
            <w:r>
              <w:rPr>
                <w:rFonts w:hint="eastAsia" w:ascii="楷体_GB2312" w:eastAsia="楷体_GB2312" w:cs="楷体_GB2312"/>
                <w:color w:val="000000"/>
                <w:sz w:val="20"/>
                <w:szCs w:val="20"/>
              </w:rPr>
              <w:t>代销</w:t>
            </w:r>
            <w:r>
              <w:rPr>
                <w:rFonts w:ascii="楷体_GB2312" w:eastAsia="楷体_GB2312" w:cs="楷体_GB2312"/>
                <w:color w:val="000000"/>
                <w:sz w:val="20"/>
                <w:szCs w:val="20"/>
              </w:rPr>
              <w:t>机构对</w:t>
            </w:r>
            <w:r>
              <w:rPr>
                <w:rFonts w:hint="eastAsia" w:ascii="楷体_GB2312" w:eastAsia="楷体_GB2312" w:cs="楷体_GB2312"/>
                <w:color w:val="000000"/>
                <w:sz w:val="20"/>
                <w:szCs w:val="20"/>
              </w:rPr>
              <w:t>产品的</w:t>
            </w:r>
            <w:r>
              <w:rPr>
                <w:rFonts w:ascii="楷体_GB2312" w:eastAsia="楷体_GB2312" w:cs="楷体_GB2312"/>
                <w:color w:val="000000"/>
                <w:sz w:val="20"/>
                <w:szCs w:val="20"/>
              </w:rPr>
              <w:t>风险</w:t>
            </w:r>
            <w:r>
              <w:rPr>
                <w:rFonts w:hint="eastAsia" w:ascii="楷体_GB2312" w:eastAsia="楷体_GB2312" w:cs="楷体_GB2312"/>
                <w:color w:val="000000"/>
                <w:sz w:val="20"/>
                <w:szCs w:val="20"/>
              </w:rPr>
              <w:t>评级</w:t>
            </w:r>
            <w:r>
              <w:rPr>
                <w:rFonts w:ascii="楷体_GB2312" w:eastAsia="楷体_GB2312" w:cs="楷体_GB2312"/>
                <w:color w:val="000000"/>
                <w:sz w:val="20"/>
                <w:szCs w:val="20"/>
              </w:rPr>
              <w:t>结果与信银理财不一致的，将采用对应较高风险</w:t>
            </w:r>
            <w:r>
              <w:rPr>
                <w:rFonts w:hint="eastAsia" w:ascii="楷体_GB2312" w:eastAsia="楷体_GB2312" w:cs="楷体_GB2312"/>
                <w:color w:val="000000"/>
                <w:sz w:val="20"/>
                <w:szCs w:val="20"/>
              </w:rPr>
              <w:t>等级</w:t>
            </w:r>
            <w:r>
              <w:rPr>
                <w:rFonts w:ascii="楷体_GB2312" w:eastAsia="楷体_GB2312" w:cs="楷体_GB2312"/>
                <w:color w:val="000000"/>
                <w:sz w:val="20"/>
                <w:szCs w:val="20"/>
              </w:rPr>
              <w:t>的评级结果。</w:t>
            </w:r>
          </w:p>
        </w:tc>
      </w:tr>
      <w:tr w14:paraId="4B7B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FAA7E0B">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709" w:type="pct"/>
            <w:vAlign w:val="center"/>
          </w:tcPr>
          <w:p w14:paraId="136D36A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【个人/机构】客户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适合</w:t>
            </w:r>
            <w:r>
              <w:rPr>
                <w:rFonts w:hint="eastAsia" w:ascii="楷体_GB2312" w:eastAsia="楷体_GB2312" w:cs="Times New Roman"/>
                <w:sz w:val="20"/>
                <w:szCs w:val="20"/>
              </w:rPr>
              <w:t>【稳健型】、【平衡型】、【进取型】、【激进型】</w:t>
            </w:r>
            <w:r>
              <w:rPr>
                <w:rFonts w:hint="eastAsia" w:ascii="楷体_GB2312" w:eastAsia="楷体_GB2312" w:cs="楷体_GB2312"/>
                <w:color w:val="000000"/>
                <w:sz w:val="20"/>
                <w:szCs w:val="20"/>
              </w:rPr>
              <w:t>投资者。</w:t>
            </w:r>
            <w:r>
              <w:rPr>
                <w:rFonts w:hint="eastAsia" w:ascii="楷体_GB2312" w:eastAsia="楷体_GB2312" w:cs="楷体_GB2312"/>
                <w:sz w:val="20"/>
                <w:szCs w:val="20"/>
              </w:rPr>
              <w:t>代销机构对产品的发行对象与信银理财不一致的，以代销机构为准</w:t>
            </w:r>
            <w:r>
              <w:rPr>
                <w:rFonts w:hint="eastAsia" w:ascii="楷体_GB2312" w:eastAsia="楷体_GB2312" w:cs="楷体_GB2312"/>
                <w:b w:val="0"/>
                <w:bCs w:val="0"/>
                <w:sz w:val="20"/>
                <w:szCs w:val="20"/>
                <w:lang w:eastAsia="zh-CN"/>
              </w:rPr>
              <w:t>，</w:t>
            </w:r>
            <w:r>
              <w:rPr>
                <w:rFonts w:hint="eastAsia" w:ascii="楷体_GB2312" w:eastAsia="楷体_GB2312" w:cs="楷体_GB2312"/>
                <w:b w:val="0"/>
                <w:bCs w:val="0"/>
                <w:sz w:val="20"/>
                <w:szCs w:val="20"/>
                <w:lang w:val="en-US" w:eastAsia="zh-CN"/>
              </w:rPr>
              <w:t>但不得超出上述发行对象范围</w:t>
            </w:r>
            <w:r>
              <w:rPr>
                <w:rFonts w:hint="eastAsia" w:ascii="楷体_GB2312" w:eastAsia="楷体_GB2312" w:cs="楷体_GB2312"/>
                <w:b w:val="0"/>
                <w:bCs w:val="0"/>
                <w:sz w:val="20"/>
                <w:szCs w:val="20"/>
              </w:rPr>
              <w:t>。</w:t>
            </w:r>
          </w:p>
        </w:tc>
      </w:tr>
      <w:tr w14:paraId="2F49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26F8B53">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709" w:type="pct"/>
            <w:vAlign w:val="center"/>
          </w:tcPr>
          <w:p w14:paraId="7B38D78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14:paraId="77CA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AF1123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709" w:type="pct"/>
            <w:vAlign w:val="center"/>
          </w:tcPr>
          <w:p w14:paraId="74EAD760">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销售合同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14:paraId="673D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2C0F9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709" w:type="pct"/>
            <w:vAlign w:val="center"/>
          </w:tcPr>
          <w:p w14:paraId="547247B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14:paraId="5B2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1C447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709" w:type="pct"/>
            <w:vAlign w:val="center"/>
          </w:tcPr>
          <w:p w14:paraId="0F8D0FF3">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rPr>
              <w:t>【B】类份额：份额代码【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rPr>
              <w:t>B】</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rPr>
              <w:t>G】</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rPr>
              <w:t>M】</w:t>
            </w:r>
          </w:p>
          <w:p w14:paraId="585FCACA">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14:paraId="66B5979E">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14:paraId="25B5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89387C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709" w:type="pct"/>
            <w:vAlign w:val="center"/>
          </w:tcPr>
          <w:p w14:paraId="078AC594">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指除中国法定节假日和公休日外的其他日。</w:t>
            </w:r>
          </w:p>
        </w:tc>
      </w:tr>
      <w:tr w14:paraId="3CEC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F14243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709" w:type="pct"/>
            <w:vAlign w:val="center"/>
          </w:tcPr>
          <w:p w14:paraId="33B6B195">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w:t>
            </w:r>
            <w:r>
              <w:rPr>
                <w:rFonts w:hint="eastAsia" w:ascii="楷体_GB2312" w:eastAsia="楷体_GB2312" w:cs="楷体_GB2312"/>
                <w:color w:val="000000" w:themeColor="text1"/>
                <w:sz w:val="20"/>
                <w:szCs w:val="20"/>
                <w:lang w:val="en-US" w:eastAsia="zh-CN"/>
                <w14:textFill>
                  <w14:solidFill>
                    <w14:schemeClr w14:val="tx1"/>
                  </w14:solidFill>
                </w14:textFill>
              </w:rPr>
              <w:t>15</w:t>
            </w:r>
            <w:r>
              <w:rPr>
                <w:rFonts w:ascii="楷体_GB2312" w:eastAsia="楷体_GB2312" w:cs="楷体_GB2312"/>
                <w:color w:val="000000" w:themeColor="text1"/>
                <w:sz w:val="20"/>
                <w:szCs w:val="20"/>
                <w14:textFill>
                  <w14:solidFill>
                    <w14:schemeClr w14:val="tx1"/>
                  </w14:solidFill>
                </w14:textFill>
              </w:rPr>
              <w:t>】日至【2025】年【12】月【</w:t>
            </w:r>
            <w:r>
              <w:rPr>
                <w:rFonts w:hint="eastAsia" w:ascii="楷体_GB2312" w:eastAsia="楷体_GB2312" w:cs="楷体_GB2312"/>
                <w:color w:val="000000" w:themeColor="text1"/>
                <w:sz w:val="20"/>
                <w:szCs w:val="20"/>
                <w:lang w:val="en-US" w:eastAsia="zh-CN"/>
                <w14:textFill>
                  <w14:solidFill>
                    <w14:schemeClr w14:val="tx1"/>
                  </w14:solidFill>
                </w14:textFill>
              </w:rPr>
              <w:t>22</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管理人有权提前结束募集期并提前成立产品或者延长募集期。</w:t>
            </w:r>
          </w:p>
          <w:p w14:paraId="52A3ED1F">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可以</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14:paraId="7908389D">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14:paraId="624B8A1F">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14:paraId="2B55BFA6">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14:paraId="3AB6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D3BBF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709" w:type="pct"/>
            <w:vAlign w:val="center"/>
          </w:tcPr>
          <w:p w14:paraId="2D30CB6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eastAsia="楷体_GB2312" w:cs="Times New Roman"/>
                <w:color w:val="000000" w:themeColor="text1"/>
                <w:sz w:val="20"/>
                <w:szCs w:val="20"/>
                <w14:textFill>
                  <w14:solidFill>
                    <w14:schemeClr w14:val="tx1"/>
                  </w14:solidFill>
                </w14:textFill>
              </w:rPr>
              <w:t>【2025】年【12】月【</w:t>
            </w:r>
            <w:r>
              <w:rPr>
                <w:rFonts w:hint="eastAsia" w:ascii="Times New Roman" w:eastAsia="楷体_GB2312" w:cs="Times New Roman"/>
                <w:color w:val="000000" w:themeColor="text1"/>
                <w:sz w:val="20"/>
                <w:szCs w:val="20"/>
                <w:lang w:val="en-US" w:eastAsia="zh-CN"/>
                <w14:textFill>
                  <w14:solidFill>
                    <w14:schemeClr w14:val="tx1"/>
                  </w14:solidFill>
                </w14:textFill>
              </w:rPr>
              <w:t>23</w:t>
            </w:r>
            <w:r>
              <w:rPr>
                <w:rFonts w:hint="eastAsia" w:ascii="Times New Roman" w:eastAsia="楷体_GB2312" w:cs="Times New Roman"/>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（如管理人调整募集期，则运作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14:paraId="4686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CE1C3EA">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709" w:type="pct"/>
            <w:vAlign w:val="center"/>
          </w:tcPr>
          <w:p w14:paraId="15383D9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w:t>
            </w:r>
            <w:r>
              <w:rPr>
                <w:rFonts w:hint="eastAsia" w:ascii="楷体_GB2312" w:eastAsia="楷体_GB2312" w:cs="楷体_GB2312"/>
                <w:color w:val="000000" w:themeColor="text1"/>
                <w:sz w:val="20"/>
                <w:szCs w:val="20"/>
                <w:lang w:val="en-US" w:eastAsia="zh-CN"/>
                <w14:textFill>
                  <w14:solidFill>
                    <w14:schemeClr w14:val="tx1"/>
                  </w14:solidFill>
                </w14:textFill>
              </w:rPr>
              <w:t>23</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至【2026】年【6】月【</w:t>
            </w:r>
            <w:r>
              <w:rPr>
                <w:rFonts w:hint="eastAsia" w:ascii="楷体_GB2312" w:eastAsia="楷体_GB2312" w:cs="楷体_GB2312"/>
                <w:color w:val="000000" w:themeColor="text1"/>
                <w:sz w:val="20"/>
                <w:szCs w:val="20"/>
                <w:lang w:val="en-US" w:eastAsia="zh-CN"/>
                <w14:textFill>
                  <w14:solidFill>
                    <w14:schemeClr w14:val="tx1"/>
                  </w14:solidFill>
                </w14:textFill>
              </w:rPr>
              <w:t>22</w:t>
            </w:r>
            <w:r>
              <w:rPr>
                <w:rFonts w:hint="eastAsia" w:ascii="楷体_GB2312" w:eastAsia="楷体_GB2312" w:cs="楷体_GB2312"/>
                <w:color w:val="000000" w:themeColor="text1"/>
                <w:sz w:val="20"/>
                <w:szCs w:val="20"/>
                <w14:textFill>
                  <w14:solidFill>
                    <w14:schemeClr w14:val="tx1"/>
                  </w14:solidFill>
                </w14:textFill>
              </w:rPr>
              <w:t>】日。</w:t>
            </w:r>
          </w:p>
        </w:tc>
      </w:tr>
      <w:tr w14:paraId="667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649C0C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709" w:type="pct"/>
            <w:vAlign w:val="center"/>
          </w:tcPr>
          <w:p w14:paraId="161A27DB">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【2027】年【2】月【</w:t>
            </w:r>
            <w:r>
              <w:rPr>
                <w:rFonts w:hint="eastAsia" w:ascii="楷体_GB2312" w:eastAsia="楷体_GB2312" w:cs="楷体_GB2312"/>
                <w:color w:val="000000" w:themeColor="text1"/>
                <w:sz w:val="20"/>
                <w:szCs w:val="20"/>
                <w:lang w:val="en-US" w:eastAsia="zh-CN"/>
                <w14:textFill>
                  <w14:solidFill>
                    <w14:schemeClr w14:val="tx1"/>
                  </w14:solidFill>
                </w14:textFill>
              </w:rPr>
              <w:t>17</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（受运作</w:t>
            </w:r>
            <w:r>
              <w:rPr>
                <w:rFonts w:ascii="楷体_GB2312" w:eastAsia="楷体_GB2312" w:cs="楷体_GB2312"/>
                <w:color w:val="000000" w:themeColor="text1"/>
                <w:sz w:val="20"/>
                <w:szCs w:val="20"/>
                <w14:textFill>
                  <w14:solidFill>
                    <w14:schemeClr w14:val="tx1"/>
                  </w14:solidFill>
                </w14:textFill>
              </w:rPr>
              <w:t>起始</w:t>
            </w:r>
            <w:r>
              <w:rPr>
                <w:rFonts w:hint="eastAsia" w:ascii="楷体_GB2312" w:eastAsia="楷体_GB2312" w:cs="楷体_GB2312"/>
                <w:color w:val="000000" w:themeColor="text1"/>
                <w:sz w:val="20"/>
                <w:szCs w:val="20"/>
                <w14:textFill>
                  <w14:solidFill>
                    <w14:schemeClr w14:val="tx1"/>
                  </w14:solidFill>
                </w14:textFill>
              </w:rPr>
              <w:t>日、提前终止条款等约束，遇非工作日则顺延至下一工作日）</w:t>
            </w:r>
          </w:p>
        </w:tc>
      </w:tr>
      <w:tr w14:paraId="4411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2DC643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709" w:type="pct"/>
            <w:vAlign w:val="center"/>
          </w:tcPr>
          <w:p w14:paraId="12CF1F5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14:paraId="61B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41DA36E">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709" w:type="pct"/>
            <w:vAlign w:val="center"/>
          </w:tcPr>
          <w:p w14:paraId="2F968686">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【B】类份额：【2.40%】</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【G】类份额：【2.30%】</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【M】类份额：【2.50%】</w:t>
            </w:r>
          </w:p>
          <w:p w14:paraId="121DD7AE">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14:paraId="06951BE1">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b/>
                <w:bCs/>
                <w:sz w:val="20"/>
                <w:szCs w:val="20"/>
              </w:rPr>
              <w:t>业绩</w:t>
            </w:r>
            <w:r>
              <w:rPr>
                <w:rFonts w:ascii="楷体_GB2312" w:eastAsia="楷体_GB2312" w:cs="楷体_GB2312"/>
                <w:b/>
                <w:bCs/>
                <w:sz w:val="20"/>
                <w:szCs w:val="20"/>
              </w:rPr>
              <w:t>比较基准测算依据：</w:t>
            </w:r>
            <w:r>
              <w:rPr>
                <w:rFonts w:hint="eastAsia" w:ascii="楷体_GB2312" w:eastAsia="楷体_GB2312" w:cs="楷体_GB2312"/>
                <w:b/>
                <w:bCs/>
                <w:sz w:val="20"/>
                <w:szCs w:val="20"/>
              </w:rPr>
              <w:t>【本理财产品为固定收益类产品，主要投向债券、非标等债权类资产。根据当前市场利率水平、组合目标久期、可投资债券的静态收益率、债券杠杆操作等因素作为测算依据，扣除相关税费成本之后，综合得出产品的业绩比较基准。业绩比较基准是本机构基于产品性质、投资策略、过往经验等因素对产品设定的投资目标，不是预期收益率，不代表产品的未来表现和实际收益，不构成对产品收益的承诺</w:t>
            </w:r>
            <w:r>
              <w:rPr>
                <w:rFonts w:hint="eastAsia" w:ascii="楷体_GB2312" w:eastAsia="楷体_GB2312" w:cs="楷体_GB2312"/>
                <w:b/>
                <w:bCs/>
                <w:sz w:val="20"/>
                <w:szCs w:val="20"/>
                <w:lang w:eastAsia="zh-CN"/>
              </w:rPr>
              <w:t>，</w:t>
            </w:r>
            <w:r>
              <w:rPr>
                <w:rFonts w:hint="eastAsia" w:ascii="楷体_GB2312" w:eastAsia="楷体_GB2312" w:cs="楷体_GB2312"/>
                <w:b/>
                <w:bCs/>
                <w:sz w:val="20"/>
                <w:szCs w:val="20"/>
                <w:lang w:val="en-US" w:eastAsia="zh-CN"/>
              </w:rPr>
              <w:t>投资需谨慎</w:t>
            </w:r>
            <w:r>
              <w:rPr>
                <w:rFonts w:hint="eastAsia" w:ascii="楷体_GB2312" w:eastAsia="楷体_GB2312" w:cs="楷体_GB2312"/>
                <w:b/>
                <w:bCs/>
                <w:sz w:val="20"/>
                <w:szCs w:val="20"/>
              </w:rPr>
              <w:t>。】</w:t>
            </w:r>
            <w:bookmarkStart w:id="1" w:name="_GoBack"/>
            <w:bookmarkEnd w:id="1"/>
          </w:p>
          <w:p w14:paraId="54138B23">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5ED974">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709" w:type="pct"/>
            <w:vAlign w:val="center"/>
          </w:tcPr>
          <w:p w14:paraId="447AC58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fldChar w:fldCharType="begin"/>
            </w:r>
            <w:r>
              <w:instrText xml:space="preserve"> HYPERLINK </w:instrText>
            </w:r>
            <w:r>
              <w:fldChar w:fldCharType="separate"/>
            </w:r>
            <w:r>
              <w:fldChar w:fldCharType="end"/>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代销机构购买理财产品的，还应按照代销机构对于交易时间以及交易申请的相关规定执行，但认购交易时间必须在【8：30-17:00</w:t>
            </w:r>
            <w:r>
              <w:rPr>
                <w:rFonts w:hint="eastAsia" w:ascii="楷体_GB2312" w:eastAsia="楷体_GB2312" w:cs="楷体_GB2312"/>
                <w:color w:val="000000" w:themeColor="text1"/>
                <w:sz w:val="20"/>
                <w:szCs w:val="20"/>
                <w14:textFill>
                  <w14:solidFill>
                    <w14:schemeClr w14:val="tx1"/>
                  </w14:solidFill>
                </w14:textFill>
              </w:rPr>
              <w:t>】内</w:t>
            </w:r>
            <w:r>
              <w:rPr>
                <w:rFonts w:ascii="楷体_GB2312" w:eastAsia="楷体_GB2312" w:cs="楷体_GB2312"/>
                <w:color w:val="000000" w:themeColor="text1"/>
                <w:sz w:val="20"/>
                <w:szCs w:val="20"/>
                <w14:textFill>
                  <w14:solidFill>
                    <w14:schemeClr w14:val="tx1"/>
                  </w14:solidFill>
                </w14:textFill>
              </w:rPr>
              <w:t>。</w:t>
            </w:r>
          </w:p>
        </w:tc>
      </w:tr>
      <w:tr w14:paraId="67DF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E6416A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hint="eastAsia" w:ascii="Times New Roman" w:eastAsia="楷体_GB2312" w:cs="楷体_GB2312"/>
                <w:color w:val="000000" w:themeColor="text1"/>
                <w:sz w:val="20"/>
                <w:szCs w:val="20"/>
                <w:lang w:eastAsia="zh-Hans"/>
                <w14:textFill>
                  <w14:solidFill>
                    <w14:schemeClr w14:val="tx1"/>
                  </w14:solidFill>
                </w14:textFill>
              </w:rPr>
              <w:t>上</w:t>
            </w:r>
            <w:r>
              <w:rPr>
                <w:rFonts w:ascii="Times New Roman" w:eastAsia="楷体_GB2312" w:cs="楷体_GB2312"/>
                <w:color w:val="000000" w:themeColor="text1"/>
                <w:sz w:val="20"/>
                <w:szCs w:val="20"/>
                <w14:textFill>
                  <w14:solidFill>
                    <w14:schemeClr w14:val="tx1"/>
                  </w14:solidFill>
                </w14:textFill>
              </w:rPr>
              <w:t>限</w:t>
            </w:r>
          </w:p>
        </w:tc>
        <w:tc>
          <w:tcPr>
            <w:tcW w:w="3709" w:type="pct"/>
            <w:vAlign w:val="center"/>
          </w:tcPr>
          <w:p w14:paraId="20E44042">
            <w:pPr>
              <w:pStyle w:val="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tc>
      </w:tr>
      <w:tr w14:paraId="1100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6A03B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709" w:type="pct"/>
            <w:vAlign w:val="center"/>
          </w:tcPr>
          <w:p w14:paraId="15B787E4">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本产品的计划募集金额下限为【人民币】【1】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03D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73008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709" w:type="pct"/>
            <w:vAlign w:val="center"/>
          </w:tcPr>
          <w:p w14:paraId="6C37B9B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p>
        </w:tc>
      </w:tr>
      <w:tr w14:paraId="0BC6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C09B961">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认购起点</w:t>
            </w:r>
          </w:p>
        </w:tc>
        <w:tc>
          <w:tcPr>
            <w:tcW w:w="3709" w:type="pct"/>
            <w:vAlign w:val="center"/>
          </w:tcPr>
          <w:p w14:paraId="0B62AA2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【B】类份额初始认购金额不低于【人民币】【1】元，以【人民币】【0.01】元的整数倍增加。追加认购金额不低于【人民币】【0.01】元，以【人民币】【0.01】元的整数倍增加。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代销机构对产品的认购起点及追加认购金额的要求与信银理财不一致的，以代销机构为准，但不得低于上述对应金额。</w:t>
            </w:r>
          </w:p>
        </w:tc>
      </w:tr>
      <w:tr w14:paraId="514E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C33B0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709" w:type="pct"/>
            <w:vAlign w:val="center"/>
          </w:tcPr>
          <w:p w14:paraId="752664D1">
            <w:pPr>
              <w:spacing w:line="300" w:lineRule="exact"/>
              <w:ind w:left="-2" w:leftChars="-1" w:right="36" w:rightChars="15"/>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w:t>
            </w:r>
            <w:r>
              <w:rPr>
                <w:rFonts w:ascii="楷体_GB2312" w:eastAsia="楷体_GB2312" w:cs="楷体_GB2312"/>
                <w:color w:val="000000" w:themeColor="text1"/>
                <w:sz w:val="20"/>
                <w:szCs w:val="20"/>
                <w14:textFill>
                  <w14:solidFill>
                    <w14:schemeClr w14:val="tx1"/>
                  </w14:solidFill>
                </w14:textFill>
              </w:rPr>
              <w:t>单一投资者持有份额</w:t>
            </w:r>
            <w:r>
              <w:rPr>
                <w:rFonts w:hint="eastAsia" w:ascii="楷体_GB2312" w:eastAsia="楷体_GB2312" w:cs="楷体_GB2312"/>
                <w:color w:val="000000" w:themeColor="text1"/>
                <w:sz w:val="20"/>
                <w:szCs w:val="20"/>
                <w14:textFill>
                  <w14:solidFill>
                    <w14:schemeClr w14:val="tx1"/>
                  </w14:solidFill>
                </w14:textFill>
              </w:rPr>
              <w:t>【b</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261B67A2">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可以</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。但产品不得</w:t>
            </w:r>
            <w:r>
              <w:rPr>
                <w:rFonts w:ascii="楷体_GB2312" w:eastAsia="楷体_GB2312" w:cs="楷体_GB2312"/>
                <w:color w:val="000000" w:themeColor="text1"/>
                <w:sz w:val="20"/>
                <w:szCs w:val="20"/>
                <w14:textFill>
                  <w14:solidFill>
                    <w14:schemeClr w14:val="tx1"/>
                  </w14:solidFill>
                </w14:textFill>
              </w:rPr>
              <w:t xml:space="preserve">向个人投资者公开发售。 </w:t>
            </w:r>
          </w:p>
          <w:p w14:paraId="735BA2F5">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p>
        </w:tc>
      </w:tr>
      <w:tr w14:paraId="0048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328F217">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709" w:type="pct"/>
            <w:vAlign w:val="center"/>
          </w:tcPr>
          <w:p w14:paraId="3028C13D">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14:paraId="7143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8AA2B6">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709" w:type="pct"/>
            <w:vAlign w:val="center"/>
          </w:tcPr>
          <w:p w14:paraId="45DF7300">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14:textFill>
                  <w14:solidFill>
                    <w14:schemeClr w14:val="tx1"/>
                  </w14:solidFill>
                </w14:textFill>
              </w:rPr>
              <w:t>浮动管理费</w:t>
            </w:r>
            <w:r>
              <w:rPr>
                <w:rFonts w:hint="eastAsia" w:ascii="楷体_GB2312" w:eastAsia="楷体_GB2312" w:cs="楷体_GB2312"/>
                <w:color w:val="000000" w:themeColor="text1"/>
                <w:sz w:val="20"/>
                <w:szCs w:val="20"/>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本产品到期后，管理人将在到期日后【5】个工作日内披露产品</w:t>
            </w:r>
            <w:r>
              <w:rPr>
                <w:rFonts w:ascii="楷体_GB2312" w:eastAsia="楷体_GB2312" w:cs="楷体_GB2312"/>
                <w:color w:val="000000" w:themeColor="text1"/>
                <w:sz w:val="20"/>
                <w:szCs w:val="20"/>
                <w14:textFill>
                  <w14:solidFill>
                    <w14:schemeClr w14:val="tx1"/>
                  </w14:solidFill>
                </w14:textFill>
              </w:rPr>
              <w:t>份额</w:t>
            </w:r>
            <w:r>
              <w:rPr>
                <w:rFonts w:hint="eastAsia" w:ascii="楷体_GB2312" w:eastAsia="楷体_GB2312" w:cs="楷体_GB2312"/>
                <w:color w:val="000000" w:themeColor="text1"/>
                <w:sz w:val="20"/>
                <w:szCs w:val="20"/>
                <w14:textFill>
                  <w14:solidFill>
                    <w14:schemeClr w14:val="tx1"/>
                  </w14:solidFill>
                </w14:textFill>
              </w:rPr>
              <w:t>最终单位净值。</w:t>
            </w:r>
          </w:p>
        </w:tc>
      </w:tr>
      <w:tr w14:paraId="4E76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EDA1EB8">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709" w:type="pct"/>
            <w:vAlign w:val="center"/>
          </w:tcPr>
          <w:p w14:paraId="5E90A1A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理财产品通过代销机构销售的，投资者可通过代销机构规定的渠道认购。</w:t>
            </w:r>
          </w:p>
          <w:p w14:paraId="08BBF135">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93CECD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709" w:type="pct"/>
            <w:vAlign w:val="center"/>
          </w:tcPr>
          <w:p w14:paraId="44C81E18">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4E6B4A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709" w:type="pct"/>
            <w:vAlign w:val="center"/>
          </w:tcPr>
          <w:p w14:paraId="0DC19621">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1.</w:t>
            </w:r>
            <w:r>
              <w:rPr>
                <w:rFonts w:hint="eastAsia" w:ascii="楷体_GB2312" w:eastAsia="楷体_GB2312" w:cs="楷体_GB2312"/>
                <w:b/>
                <w:sz w:val="20"/>
                <w:szCs w:val="20"/>
              </w:rPr>
              <w:t>认购费</w:t>
            </w:r>
            <w:r>
              <w:rPr>
                <w:rFonts w:ascii="楷体_GB2312" w:eastAsia="楷体_GB2312" w:cs="楷体_GB2312"/>
                <w:b/>
                <w:sz w:val="20"/>
                <w:szCs w:val="20"/>
              </w:rPr>
              <w:t>：</w:t>
            </w:r>
            <w:r>
              <w:rPr>
                <w:rFonts w:hint="eastAsia" w:ascii="楷体_GB2312" w:eastAsia="楷体_GB2312"/>
                <w:b/>
                <w:sz w:val="20"/>
                <w:szCs w:val="20"/>
              </w:rPr>
              <w:t>【B】类份额不收取认购费，【G】类份额不收取认购费，【M】类份额不收取认购费</w:t>
            </w:r>
            <w:r>
              <w:rPr>
                <w:rFonts w:hint="eastAsia" w:ascii="楷体_GB2312" w:eastAsia="楷体_GB2312"/>
                <w:b/>
                <w:sz w:val="20"/>
                <w:szCs w:val="20"/>
                <w:lang w:eastAsia="zh-CN"/>
              </w:rPr>
              <w:t>；</w:t>
            </w:r>
          </w:p>
          <w:p w14:paraId="62A82753">
            <w:pPr>
              <w:snapToGrid w:val="0"/>
              <w:spacing w:line="300" w:lineRule="exact"/>
              <w:ind w:left="-2" w:leftChars="-1"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2.</w:t>
            </w:r>
            <w:r>
              <w:rPr>
                <w:rFonts w:hint="eastAsia" w:ascii="楷体_GB2312" w:eastAsia="楷体_GB2312" w:cs="楷体_GB2312"/>
                <w:b/>
                <w:sz w:val="20"/>
                <w:szCs w:val="20"/>
              </w:rPr>
              <w:t>销售服务费：【B】类份额费率【0.15%】/年，【G】类份额费率【0.25%】/年，【M】类份额费率【0.05%】/年</w:t>
            </w:r>
            <w:r>
              <w:rPr>
                <w:rFonts w:hint="eastAsia" w:ascii="楷体_GB2312" w:eastAsia="楷体_GB2312" w:cs="楷体_GB2312"/>
                <w:b/>
                <w:sz w:val="20"/>
                <w:szCs w:val="20"/>
                <w:lang w:eastAsia="zh-CN"/>
              </w:rPr>
              <w:t>；</w:t>
            </w:r>
          </w:p>
          <w:p w14:paraId="793AE849">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3.</w:t>
            </w:r>
            <w:r>
              <w:rPr>
                <w:rFonts w:hint="eastAsia" w:ascii="楷体_GB2312" w:eastAsia="楷体_GB2312" w:cs="楷体_GB2312"/>
                <w:b/>
                <w:sz w:val="20"/>
                <w:szCs w:val="20"/>
              </w:rPr>
              <w:t>托管费：费率【</w:t>
            </w:r>
            <w:r>
              <w:rPr>
                <w:rFonts w:ascii="楷体_GB2312" w:eastAsia="楷体_GB2312" w:cs="楷体_GB2312"/>
                <w:b/>
                <w:sz w:val="20"/>
                <w:szCs w:val="20"/>
              </w:rPr>
              <w:t>0.0</w:t>
            </w:r>
            <w:r>
              <w:rPr>
                <w:rFonts w:hint="eastAsia" w:ascii="楷体_GB2312" w:eastAsia="楷体_GB2312" w:cs="楷体_GB2312"/>
                <w:b/>
                <w:sz w:val="20"/>
                <w:szCs w:val="20"/>
                <w:lang w:val="en-US" w:eastAsia="zh-CN"/>
              </w:rPr>
              <w:t>2</w:t>
            </w:r>
            <w:r>
              <w:rPr>
                <w:rFonts w:ascii="楷体_GB2312" w:eastAsia="楷体_GB2312" w:cs="楷体_GB2312"/>
                <w:b/>
                <w:sz w:val="20"/>
                <w:szCs w:val="20"/>
              </w:rPr>
              <w:t>%】/年</w:t>
            </w:r>
            <w:r>
              <w:rPr>
                <w:rFonts w:hint="eastAsia" w:ascii="楷体_GB2312" w:eastAsia="楷体_GB2312" w:cs="楷体_GB2312"/>
                <w:b/>
                <w:sz w:val="20"/>
                <w:szCs w:val="20"/>
                <w:lang w:eastAsia="zh-CN"/>
              </w:rPr>
              <w:t>；</w:t>
            </w:r>
          </w:p>
          <w:p w14:paraId="0B46EB90">
            <w:pPr>
              <w:snapToGrid w:val="0"/>
              <w:spacing w:line="300" w:lineRule="exact"/>
              <w:ind w:right="96" w:rightChars="40"/>
              <w:outlineLvl w:val="0"/>
              <w:rPr>
                <w:rFonts w:hint="eastAsia" w:ascii="楷体_GB2312" w:eastAsia="楷体_GB2312" w:cs="楷体_GB2312"/>
                <w:b/>
                <w:sz w:val="20"/>
                <w:szCs w:val="20"/>
                <w:lang w:eastAsia="zh-CN"/>
              </w:rPr>
            </w:pPr>
            <w:r>
              <w:rPr>
                <w:rFonts w:ascii="楷体_GB2312" w:eastAsia="楷体_GB2312" w:cs="楷体_GB2312"/>
                <w:b/>
                <w:sz w:val="20"/>
                <w:szCs w:val="20"/>
              </w:rPr>
              <w:t>4.</w:t>
            </w:r>
            <w:r>
              <w:rPr>
                <w:rFonts w:hint="eastAsia" w:ascii="楷体_GB2312" w:eastAsia="楷体_GB2312" w:cs="楷体_GB2312"/>
                <w:b/>
                <w:sz w:val="20"/>
                <w:szCs w:val="20"/>
              </w:rPr>
              <w:t>固定管理费：费率【0.05%</w:t>
            </w:r>
            <w:r>
              <w:rPr>
                <w:rFonts w:ascii="楷体_GB2312" w:eastAsia="楷体_GB2312" w:cs="楷体_GB2312"/>
                <w:b/>
                <w:sz w:val="20"/>
                <w:szCs w:val="20"/>
              </w:rPr>
              <w:t>】/年</w:t>
            </w:r>
            <w:r>
              <w:rPr>
                <w:rFonts w:hint="eastAsia" w:ascii="楷体_GB2312" w:eastAsia="楷体_GB2312" w:cs="楷体_GB2312"/>
                <w:b/>
                <w:sz w:val="20"/>
                <w:szCs w:val="20"/>
                <w:lang w:eastAsia="zh-CN"/>
              </w:rPr>
              <w:t>；</w:t>
            </w:r>
          </w:p>
          <w:p w14:paraId="0005DA40">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5.</w:t>
            </w:r>
            <w:r>
              <w:rPr>
                <w:rFonts w:hint="eastAsia" w:ascii="楷体_GB2312" w:eastAsia="楷体_GB2312" w:cs="楷体_GB2312"/>
                <w:b/>
                <w:sz w:val="20"/>
                <w:szCs w:val="20"/>
              </w:rPr>
              <w:t>浮动管理费：</w:t>
            </w:r>
          </w:p>
          <w:p w14:paraId="2E39FB67">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4F6B6801">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5AF84CBE">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2FBF8D6D">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05FE616E">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1A0F7EF0">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八、理财产品的费用</w:t>
            </w:r>
            <w:r>
              <w:rPr>
                <w:rFonts w:ascii="楷体_GB2312" w:eastAsia="楷体_GB2312" w:cs="楷体_GB2312"/>
                <w:b/>
                <w:color w:val="000000" w:themeColor="text1"/>
                <w:sz w:val="20"/>
                <w:szCs w:val="20"/>
                <w14:textFill>
                  <w14:solidFill>
                    <w14:schemeClr w14:val="tx1"/>
                  </w14:solidFill>
                </w14:textFill>
              </w:rPr>
              <w:t>”部分。</w:t>
            </w:r>
          </w:p>
          <w:p w14:paraId="00B37122">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B31997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709" w:type="pct"/>
            <w:vAlign w:val="center"/>
          </w:tcPr>
          <w:p w14:paraId="553C9FF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14:paraId="68AD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9A16B1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709" w:type="pct"/>
            <w:vAlign w:val="center"/>
          </w:tcPr>
          <w:p w14:paraId="092F262E">
            <w:pPr>
              <w:spacing w:line="300" w:lineRule="atLeast"/>
              <w:ind w:right="31"/>
              <w:rPr>
                <w:rFonts w:ascii="楷体_GB2312" w:eastAsia="楷体_GB2312" w:cs="楷体_GB2312"/>
                <w:sz w:val="20"/>
                <w:szCs w:val="20"/>
                <w:highlight w:val="none"/>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lang w:val="en-US" w:eastAsia="zh-CN"/>
              </w:rPr>
              <w:t>B</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highlight w:val="none"/>
                <w:lang w:eastAsia="zh-CN"/>
              </w:rPr>
              <w:t>（</w:t>
            </w:r>
            <w:r>
              <w:rPr>
                <w:rFonts w:hint="eastAsia" w:ascii="楷体_GB2312" w:eastAsia="楷体_GB2312" w:cs="楷体_GB2312"/>
                <w:sz w:val="20"/>
                <w:szCs w:val="20"/>
                <w:highlight w:val="none"/>
                <w:lang w:val="en-US" w:eastAsia="zh-CN"/>
              </w:rPr>
              <w:t>销售简称：安盈象固收稳健温暖童行丰收封闭6号B（慈善）</w:t>
            </w:r>
            <w:r>
              <w:rPr>
                <w:rFonts w:hint="eastAsia" w:ascii="楷体_GB2312" w:eastAsia="楷体_GB2312" w:cs="楷体_GB2312"/>
                <w:sz w:val="20"/>
                <w:szCs w:val="20"/>
                <w:highlight w:val="none"/>
                <w:lang w:eastAsia="zh-CN"/>
              </w:rPr>
              <w:t>）</w:t>
            </w:r>
            <w:r>
              <w:rPr>
                <w:rFonts w:ascii="楷体_GB2312" w:eastAsia="楷体_GB2312" w:cs="楷体_GB2312"/>
                <w:sz w:val="20"/>
                <w:szCs w:val="20"/>
                <w:highlight w:val="none"/>
              </w:rPr>
              <w:t>：</w:t>
            </w:r>
          </w:p>
          <w:p w14:paraId="0038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595FC0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5077AD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B8922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193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5EAE31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E39BA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28794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FE75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BC266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B5E53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7B312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09C40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48D4E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727BE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E265B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4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40D5E9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DD0D83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7F879A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D01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33F34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5DFB5F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31E34B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D105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7592D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36AB67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10AEF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BE04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DD8D2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3CD405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167795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7E0E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7170C9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72667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ABD2E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5F05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18F8BF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29E8CB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42584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1B1B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8D469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1DFB2C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410252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C69A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15B665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3F85A8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68EAEC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40C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3FC553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5F98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1D70AF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CF66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DA690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660307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3373CC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6A2AD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57096F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2289E69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5F1E09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F45A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68DD99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5D1550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65E3C2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44CA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126C30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4B69C4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6D671F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3F60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2BB707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1E1551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7CF948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0AD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653931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1D7EC9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49AD3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B649F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4E396C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673C05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6599E6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5C6D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739D45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57B35D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E0E7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90C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1D20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7F45880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1E5C2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8A6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BD8D6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07C5E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7D706D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760E2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037F97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32C435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74D56F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76B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68071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18A704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7E38CE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29227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E0008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3A08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17D32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281199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588B4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6FC2B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05F2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724FBF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015B24B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392E96C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B81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62CC49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681A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37672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68CD2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0C853F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77C52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42AAF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7019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06B152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06F303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149963E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4A7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1CB10A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004D16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80498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DCE1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CD029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5161EB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1CCE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93D5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14638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EB561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322B5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7139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7A7A6F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66B27AA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1D52B2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7991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05D088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3AE73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05818B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696F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26152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36961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1549FB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D40F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7F4E7E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163BC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495343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540F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4E56F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0C6D2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2520D4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A579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3DD036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70726A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11E2F1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B4AB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F895E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D0CD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367E53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FE53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7BFED9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580D28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C1402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5C5C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13BC1F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8B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001A4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238F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66E17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3BB808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3D071F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D29D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2775AA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6182DD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5BEF67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4335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4A89B9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3EEB6B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50C2C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91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542882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566EAB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13B2D6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DBE4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2111A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0AB751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2302F3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1D13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128D7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60B55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5F1C54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14C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550139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322D3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6972EA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13EF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33CE63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1BFF14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00B2AF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8238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51D396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3C5387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46B519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DA57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002347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3947B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A9B3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2738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2FFB9C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2D2E2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18651B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36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4A7B3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19E5F0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497725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9D1C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531A51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5A06F5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C8CA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3BF1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6280EE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25A9F0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7D211D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D1408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66A96A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2FA54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1EA147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2D38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3D544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7248E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6505F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3464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5C26BE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3E63D7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D7329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ACB4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30060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7ADA71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15FF38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07D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951BD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4D33D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11C4F5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03903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266454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5E6094C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121364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F5EA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479434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1E33EB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560C8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F9F9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266A85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790B8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01BBED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8BC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69785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7C0ED5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B1144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F8E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4D040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36B3B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23FE9E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5C9B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EAFF1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532657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CDE05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116E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2EBF77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636F6F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2886C6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E0C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694368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67E610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374398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1C4D79">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763C0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52ADF1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424D3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67A5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342DAF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16C4A6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D2B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046D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615203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3311F3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759C48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D483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20005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50C6E3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729186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93B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30096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03C16AB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19ED22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5ADE22">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0FF82B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1EEEB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A9E4E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D22CF1">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29476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66F9DF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39F13A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426CE9C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488790F">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lang w:val="en-US" w:eastAsia="zh-CN"/>
              </w:rPr>
              <w:t>G</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销售简称：安盈象固收稳健温暖童行丰收封闭6号G（慈善））</w:t>
            </w:r>
            <w:r>
              <w:rPr>
                <w:rFonts w:ascii="楷体_GB2312" w:eastAsia="楷体_GB2312" w:cs="楷体_GB2312"/>
                <w:sz w:val="20"/>
                <w:szCs w:val="20"/>
              </w:rPr>
              <w:t>：</w:t>
            </w:r>
          </w:p>
          <w:p w14:paraId="570CE5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71B057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49AE9E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3736E4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486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22E5E8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31E3C9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0BE748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514E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0E3EF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67F4C3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7F59F2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5D23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7002A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9F4EC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2BF31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00DC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50DCF0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0905CD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3B3A7D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C3AFF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100EC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456D4E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21681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615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2E5103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0D1B6D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28F9C3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8088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6BFAF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403662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4AC84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8258A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4CDFA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F1151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9652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EEB9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0529EB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0E8F68E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087BD3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504C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0B48DC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39D72D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464DC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C82E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57815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4D5AF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71A7A9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68E8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0214C3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A2CD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3D815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E0B76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CF661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3EF256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4A5515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AE0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79EE26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65B762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167A92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A330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4C7187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26C8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9BE54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F65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7C5ED3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040C90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02D52E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3B8E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4D29B7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042FA5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DEBC2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5A084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339CA4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60D758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2C5C8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A8A3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0378E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1507CA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2EEE14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91ED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5DC5C4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389965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5C90E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87A0D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1EA4AD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55C46D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03F399D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1E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C21FF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767A8B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4CEBEB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EB83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235B55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22F0F5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19425E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80E64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208B07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1C78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586876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5FA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64599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2C1DE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47A9AF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9517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39C349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756D14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34379A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41B1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5C87F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68E2B2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6A53FB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BF8D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18A578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38EB0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6B2E26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34F1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7E2484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1980C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7C0CC5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5C19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440966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53AEF0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4F5F6F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3613D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2CB5B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558C24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AD8F0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8DCBE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58CEAB0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368F8F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3724C9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5C80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4AC928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6EEE4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2E48B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201F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32FDD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0729F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7011EC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44C9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AE845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19BA313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1BDBB3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ABF0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53A86C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557162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2C964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78ACB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F5210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F38C9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7B2A3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7733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15ED1A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2B33D2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11B35B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70B2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160947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6C0EF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47B21B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73DE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0349C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237B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6746C5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8D47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18961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191DA4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D0C82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4F5A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423CE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207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2951BD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C54C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07A94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4A86C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2EE4CE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BCD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B0849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31C325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1A7524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BC39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5498EA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8D902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65B4D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15E0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005DF0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470967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A8F7A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F19E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1970FB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3C44A6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6A2FDA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F1018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10639C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41BE3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203F1C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9E8B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396FB0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0E0CC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5031CF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84E6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FACF0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3F8A46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11BE1B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AD14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8FCD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7E5BDC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7867D3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396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14B48E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5B2D64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B75C5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00A6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1A20F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1AD08C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06B0CA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6969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7CD036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2F8E9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5B3D51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A216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72F126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0BF220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A3B78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BBA0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1DA3C9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7E2952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4293F6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991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15DFD4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4593F4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6E1B03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B3F2C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74742D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5B326A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230C9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8EDEB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94B7E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037354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6CA06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891F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E74A0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57AA5C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06FDEB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1AB68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0A0F8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5ACBC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289175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68A3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4C70E0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079A95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3DDCB8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C62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08BAAB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660BD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C0EE3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8DDC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7B164B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22AD47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786034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8186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24ADE5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44D08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53855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445B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60B436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B352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613CDA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C160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90476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75FBF0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ECF7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9AC3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06D08F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1D90F3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7C721A2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6E673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521167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28006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1E71D6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3BC3A1">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E4C3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643D15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337109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DC1B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6BB788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45ED1A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ECBDA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A441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59A65B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278F3F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341902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5CAE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00E4F3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632F5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4BC616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AED2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2143F8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54B49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259D19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B8B105">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4521E0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7EEECD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473012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44B10">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555787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7CE882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1EF9A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6866CCA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6D039662">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AF251856</w:t>
            </w:r>
            <w:r>
              <w:rPr>
                <w:rFonts w:hint="eastAsia" w:ascii="楷体_GB2312" w:eastAsia="楷体_GB2312" w:cs="楷体_GB2312"/>
                <w:sz w:val="20"/>
                <w:szCs w:val="20"/>
                <w:lang w:val="en-US" w:eastAsia="zh-CN"/>
              </w:rPr>
              <w:t>M</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销售简称：安盈象固收稳健温暖童行丰收封闭6号M（慈善））</w:t>
            </w:r>
            <w:r>
              <w:rPr>
                <w:rFonts w:ascii="楷体_GB2312" w:eastAsia="楷体_GB2312" w:cs="楷体_GB2312"/>
                <w:sz w:val="20"/>
                <w:szCs w:val="20"/>
              </w:rPr>
              <w:t>：</w:t>
            </w:r>
          </w:p>
          <w:p w14:paraId="463D6D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3B76A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238D7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42D77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F71A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6F483F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1D4B2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A8637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2E22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42C0E7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9BDD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E3041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A1D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6C70AB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8F6F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722FF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A294D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7BF5F4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6CAC5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2F1F0F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24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77C32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617EC0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1F37B3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DAEF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5AE5E6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51E417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36E1B00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4C1E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35D2F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2D79DA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6E6BFA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E6DB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11E83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A970F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119E6D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9B49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330B30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4E5046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2C49AE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671E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A7B7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661B6C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89C72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2165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6483C8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76DD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118AB1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56E6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171E1D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7CAFF1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721AEF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E686E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417435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0FCA4C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2911C6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FA8D8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3D81A8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781F36C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707F73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C8A3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01270E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DB0B1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D9DFD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57B6D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671AB7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16FBDF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22ACCB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4A57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6007A3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2B598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20D23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B2951E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2E47B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43343D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3C9048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A9AD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25B441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038BA4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04880E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1E2C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2377A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1882B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4E6EC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EFFA8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5DBB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4E4F43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D7FFD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B91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56B6AD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681C4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2D1C66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A9DE9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771D55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6F6D4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099246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F251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3014A2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23E74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38D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46ED1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388AFC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65837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07401D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226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1DA727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4DCBF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76A859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C493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39B1C2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1D6755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02BAFB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1B2C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20992C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7FF644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56BB1A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351E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25BA19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5AEBD7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7C019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481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1EB30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65927B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5D5670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3A051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AA155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797AD9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3A8CD2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4B8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E114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1A59A7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813CF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182C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0C9DCF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FC3B5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06BFF1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5C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79E74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19B83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2887E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4027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E4021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DA849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00BB6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468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1359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086B7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74CB24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DEE9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A1A7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73A47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6BB818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BD24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B90B18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1597D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4CE34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F682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7BFD22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088D7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3C1D1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86B7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3EA65E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F8432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256AD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2A594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5D5E6A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7B7794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2F0556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9B64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68D643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11D772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4348E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BE790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5191C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BF64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068821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60A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F853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764F19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08FBA3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5B35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14718A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0A4C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769B95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78572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1F4DB4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1A34EF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8506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F68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6142CF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2E5BEE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3AE72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D264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3A07F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30616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481640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754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0FAC59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EE7F37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0B535B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B41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8543E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21F432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43B7D9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F6255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9EE4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53F74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59DF6E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DBD1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36CFCC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418124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4D598E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7D38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022553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7D91F0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4A8BBD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C01B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3F5EB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73417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6B3273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4291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1AFF7D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465B17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4F2636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D97E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70C2CA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1877F6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13AE6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A0F7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5481F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65526E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7E635A1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F46E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628BF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291630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443A2D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A3F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68A7C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6149CC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1E583B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868F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35D214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4BD537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798693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8893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3CACB2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1D80D3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0DD55C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0D2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71F434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69B532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292FCA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7F83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271102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4087EE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6AA93D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F1AE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3E7B1C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6F7025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6AC06C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B6B9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7B60B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016E0C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6E62A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1D83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25606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C449A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511B86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7966C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3B01C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7C9798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974E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7A1BE8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3A8CA7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5B5FC2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D9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332ABF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490032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4DFECB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AF5B4F">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390161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2161C0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016A49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4564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766964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31F9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5B956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953E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286052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66EB62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55972B3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98D2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492DBB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7D1DF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33D25F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4277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B98F0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0A381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386FA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0E2327">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5BD282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DDF65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68F08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22863D">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64CAEC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4F4537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2C71DE5F">
            <w:pPr>
              <w:spacing w:line="300" w:lineRule="atLeast"/>
              <w:ind w:left="-2" w:leftChars="0" w:right="31" w:right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客户服务热线：【400-88-96596】</w:t>
            </w:r>
          </w:p>
          <w:p w14:paraId="51763D4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37AF162">
            <w:pPr>
              <w:spacing w:line="300" w:lineRule="atLeast"/>
              <w:ind w:left="-2"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14:paraId="3BF4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E5FB7A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709" w:type="pct"/>
            <w:vAlign w:val="center"/>
          </w:tcPr>
          <w:p w14:paraId="0CCB71FB">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14:paraId="7CDAF1AF">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14:paraId="702914E0">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14:paraId="4A9AD0E7">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14:paraId="2C74EE7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14:paraId="139ACE42">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14:paraId="7AAA1E7A">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0D71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050542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709" w:type="pct"/>
            <w:vAlign w:val="center"/>
          </w:tcPr>
          <w:p w14:paraId="7881BBF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企业名称：【中信银行股份有限公司】</w:t>
            </w:r>
            <w:r>
              <w:rPr>
                <w:rFonts w:hint="eastAsia" w:ascii="楷体_GB2312" w:eastAsia="楷体_GB2312" w:cs="楷体_GB2312"/>
                <w:sz w:val="20"/>
                <w:szCs w:val="20"/>
              </w:rPr>
              <w:br w:type="textWrapping"/>
            </w:r>
            <w:r>
              <w:rPr>
                <w:rFonts w:hint="eastAsia" w:ascii="楷体_GB2312" w:eastAsia="楷体_GB2312" w:cs="楷体_GB2312"/>
                <w:sz w:val="20"/>
                <w:szCs w:val="20"/>
              </w:rPr>
              <w:t>统一社会信用代码：【91110000101690725E】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纳税人识别号：【91110000101690725E】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法定代表人：【方合英】</w:t>
            </w:r>
            <w:r>
              <w:rPr>
                <w:rFonts w:hint="eastAsia" w:ascii="楷体_GB2312" w:eastAsia="楷体_GB2312" w:cs="楷体_GB2312"/>
                <w:sz w:val="20"/>
                <w:szCs w:val="20"/>
              </w:rPr>
              <w:br w:type="textWrapping"/>
            </w:r>
            <w:r>
              <w:rPr>
                <w:rFonts w:hint="eastAsia" w:ascii="楷体_GB2312" w:eastAsia="楷体_GB2312" w:cs="楷体_GB2312"/>
                <w:sz w:val="20"/>
                <w:szCs w:val="20"/>
              </w:rPr>
              <w:t>住所：【北京市朝阳区光华路10号中信大厦】</w:t>
            </w:r>
          </w:p>
        </w:tc>
      </w:tr>
      <w:tr w14:paraId="5735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C8FAB9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709" w:type="pct"/>
            <w:vAlign w:val="center"/>
          </w:tcPr>
          <w:p w14:paraId="361E7CE9">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14:paraId="783F89AB">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14:paraId="15E5EBA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14:textFill>
                  <w14:solidFill>
                    <w14:schemeClr w14:val="tx1"/>
                  </w14:solidFill>
                </w14:textFill>
              </w:rPr>
              <w:t>资产净值</w:t>
            </w:r>
            <w:r>
              <w:rPr>
                <w:rFonts w:hint="eastAsia" w:ascii="楷体_GB2312" w:eastAsia="楷体_GB2312" w:cs="楷体_GB2312"/>
                <w:color w:val="000000" w:themeColor="text1"/>
                <w:sz w:val="20"/>
                <w:szCs w:val="20"/>
                <w14:textFill>
                  <w14:solidFill>
                    <w14:schemeClr w14:val="tx1"/>
                  </w14:solidFill>
                </w14:textFill>
              </w:rPr>
              <w:t>、理财产品份额认/申购、赎回价格等数据，及时核查认/申购、赎回以及投资资金的支付和到账情况；</w:t>
            </w:r>
          </w:p>
          <w:p w14:paraId="28C9B121">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4D3CA57E">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14:paraId="65054DC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3191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5AE062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382C2B1E">
            <w:pPr>
              <w:spacing w:line="300" w:lineRule="exact"/>
              <w:ind w:right="36" w:rightChars="15" w:firstLine="284" w:firstLineChars="142"/>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C5387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5031BE54">
            <w:pPr>
              <w:pStyle w:val="19"/>
              <w:spacing w:line="300" w:lineRule="exact"/>
              <w:ind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C9168B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709" w:type="pct"/>
            <w:vAlign w:val="center"/>
          </w:tcPr>
          <w:p w14:paraId="28841A80">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7660C98">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709" w:type="pct"/>
            <w:vAlign w:val="center"/>
          </w:tcPr>
          <w:p w14:paraId="32D4C033">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14:paraId="79CD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7F6AE4F">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709" w:type="pct"/>
            <w:vAlign w:val="center"/>
          </w:tcPr>
          <w:p w14:paraId="26EB3146">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1．信银理财</w:t>
            </w:r>
            <w:r>
              <w:rPr>
                <w:rFonts w:ascii="楷体_GB2312" w:eastAsia="楷体_GB2312" w:cs="楷体_GB2312"/>
                <w:color w:val="000000" w:themeColor="text1"/>
                <w:sz w:val="20"/>
                <w:szCs w:val="20"/>
                <w14:textFill>
                  <w14:solidFill>
                    <w14:schemeClr w14:val="tx1"/>
                  </w14:solidFill>
                </w14:textFill>
              </w:rPr>
              <w:t>将通过【http://www.citic-wealth.com】</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14:paraId="5811A9B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本理财产品存续期间内，因</w:t>
            </w:r>
            <w:r>
              <w:rPr>
                <w:rFonts w:ascii="楷体_GB2312" w:eastAsia="楷体_GB2312" w:cs="楷体_GB2312"/>
                <w:color w:val="000000" w:themeColor="text1"/>
                <w:sz w:val="20"/>
                <w:szCs w:val="20"/>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在不损害投资者</w:t>
            </w:r>
            <w:r>
              <w:rPr>
                <w:rFonts w:hint="eastAsia" w:ascii="楷体_GB2312" w:eastAsia="楷体_GB2312" w:cs="楷体_GB2312"/>
                <w:color w:val="000000" w:themeColor="text1"/>
                <w:sz w:val="20"/>
                <w:szCs w:val="20"/>
                <w14:textFill>
                  <w14:solidFill>
                    <w14:schemeClr w14:val="tx1"/>
                  </w14:solidFill>
                </w14:textFill>
              </w:rPr>
              <w:t>利益</w:t>
            </w:r>
            <w:r>
              <w:rPr>
                <w:rFonts w:ascii="楷体_GB2312" w:eastAsia="楷体_GB2312" w:cs="楷体_GB2312"/>
                <w:color w:val="000000" w:themeColor="text1"/>
                <w:sz w:val="20"/>
                <w:szCs w:val="20"/>
                <w14:textFill>
                  <w14:solidFill>
                    <w14:schemeClr w14:val="tx1"/>
                  </w14:solidFill>
                </w14:textFill>
              </w:rPr>
              <w:t>的前提下</w:t>
            </w:r>
            <w:r>
              <w:rPr>
                <w:rFonts w:hint="eastAsia" w:ascii="楷体_GB2312" w:eastAsia="楷体_GB2312" w:cs="楷体_GB2312"/>
                <w:color w:val="000000" w:themeColor="text1"/>
                <w:sz w:val="20"/>
                <w:szCs w:val="20"/>
                <w14:textFill>
                  <w14:solidFill>
                    <w14:schemeClr w14:val="tx1"/>
                  </w14:solidFill>
                </w14:textFill>
              </w:rPr>
              <w:t>，信银理财有权提前【2】个工作日向投资者发出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w:t>
            </w:r>
          </w:p>
          <w:p w14:paraId="07DBB1E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14:paraId="3A94158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14:paraId="7965FB0F">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14:paraId="76FC2D2A">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14:paraId="237D92F2">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056B2842">
            <w:pPr>
              <w:pStyle w:val="19"/>
              <w:spacing w:line="300" w:lineRule="exact"/>
              <w:ind w:left="360"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日后【5】个工作日内，向投资者披露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14:paraId="23460B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14:paraId="79FB8F9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14:paraId="13ECEA48">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产品存续</w:t>
            </w:r>
            <w:r>
              <w:rPr>
                <w:rFonts w:hint="eastAsia" w:ascii="Times New Roman" w:hAnsi="Times New Roman" w:eastAsia="楷体_GB2312" w:cs="楷体_GB2312"/>
                <w:color w:val="000000" w:themeColor="text1"/>
                <w:sz w:val="20"/>
                <w:szCs w:val="20"/>
                <w14:textFill>
                  <w14:solidFill>
                    <w14:schemeClr w14:val="tx1"/>
                  </w14:solidFill>
                </w14:textFill>
              </w:rPr>
              <w:t>期间</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如</w:t>
            </w:r>
            <w:r>
              <w:rPr>
                <w:rFonts w:ascii="Times New Roman" w:hAnsi="Times New Roman" w:eastAsia="楷体_GB2312" w:cs="楷体_GB2312"/>
                <w:color w:val="000000" w:themeColor="text1"/>
                <w:sz w:val="20"/>
                <w:szCs w:val="20"/>
                <w14:textFill>
                  <w14:solidFill>
                    <w14:schemeClr w14:val="tx1"/>
                  </w14:solidFill>
                </w14:textFill>
              </w:rPr>
              <w:t>因市场</w:t>
            </w:r>
            <w:r>
              <w:rPr>
                <w:rFonts w:hint="eastAsia" w:ascii="Times New Roman" w:hAnsi="Times New Roman" w:eastAsia="楷体_GB2312" w:cs="楷体_GB2312"/>
                <w:color w:val="000000" w:themeColor="text1"/>
                <w:sz w:val="20"/>
                <w:szCs w:val="20"/>
                <w14:textFill>
                  <w14:solidFill>
                    <w14:schemeClr w14:val="tx1"/>
                  </w14:solidFill>
                </w14:textFill>
              </w:rPr>
              <w:t>重大</w:t>
            </w:r>
            <w:r>
              <w:rPr>
                <w:rFonts w:ascii="Times New Roman" w:hAnsi="Times New Roman" w:eastAsia="楷体_GB2312" w:cs="楷体_GB2312"/>
                <w:color w:val="000000" w:themeColor="text1"/>
                <w:sz w:val="20"/>
                <w:szCs w:val="20"/>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14:textFill>
                  <w14:solidFill>
                    <w14:schemeClr w14:val="tx1"/>
                  </w14:solidFill>
                </w14:textFill>
              </w:rPr>
              <w:t>且</w:t>
            </w:r>
            <w:r>
              <w:rPr>
                <w:rFonts w:ascii="Times New Roman" w:hAnsi="Times New Roman" w:eastAsia="楷体_GB2312" w:cs="楷体_GB2312"/>
                <w:color w:val="000000" w:themeColor="text1"/>
                <w:sz w:val="20"/>
                <w:szCs w:val="20"/>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14:textFill>
                  <w14:solidFill>
                    <w14:schemeClr w14:val="tx1"/>
                  </w14:solidFill>
                </w14:textFill>
              </w:rPr>
              <w:t>信银理财</w:t>
            </w:r>
            <w:r>
              <w:rPr>
                <w:rFonts w:ascii="Times New Roman" w:hAnsi="Times New Roman" w:eastAsia="楷体_GB2312" w:cs="楷体_GB2312"/>
                <w:color w:val="000000" w:themeColor="text1"/>
                <w:sz w:val="20"/>
                <w:szCs w:val="20"/>
                <w14:textFill>
                  <w14:solidFill>
                    <w14:schemeClr w14:val="tx1"/>
                  </w14:solidFill>
                </w14:textFill>
              </w:rPr>
              <w:t>将</w:t>
            </w:r>
            <w:r>
              <w:rPr>
                <w:rFonts w:hint="eastAsia" w:ascii="Times New Roman" w:hAnsi="Times New Roman" w:eastAsia="楷体_GB2312" w:cs="楷体_GB2312"/>
                <w:color w:val="000000" w:themeColor="text1"/>
                <w:sz w:val="20"/>
                <w:szCs w:val="20"/>
                <w14:textFill>
                  <w14:solidFill>
                    <w14:schemeClr w14:val="tx1"/>
                  </w14:solidFill>
                </w14:textFill>
              </w:rPr>
              <w:t>在【2】个</w:t>
            </w:r>
            <w:r>
              <w:rPr>
                <w:rFonts w:ascii="Times New Roman" w:hAnsi="Times New Roman" w:eastAsia="楷体_GB2312" w:cs="楷体_GB2312"/>
                <w:color w:val="000000" w:themeColor="text1"/>
                <w:sz w:val="20"/>
                <w:szCs w:val="20"/>
                <w14:textFill>
                  <w14:solidFill>
                    <w14:schemeClr w14:val="tx1"/>
                  </w14:solidFill>
                </w14:textFill>
              </w:rPr>
              <w:t>工作日内</w:t>
            </w:r>
            <w:r>
              <w:rPr>
                <w:rFonts w:hint="eastAsia" w:ascii="Times New Roman" w:hAnsi="Times New Roman" w:eastAsia="楷体_GB2312" w:cs="楷体_GB2312"/>
                <w:color w:val="000000" w:themeColor="text1"/>
                <w:sz w:val="20"/>
                <w:szCs w:val="20"/>
                <w14:textFill>
                  <w14:solidFill>
                    <w14:schemeClr w14:val="tx1"/>
                  </w14:solidFill>
                </w14:textFill>
              </w:rPr>
              <w:t>告知投资者</w:t>
            </w:r>
            <w:r>
              <w:rPr>
                <w:rFonts w:ascii="Times New Roman" w:hAnsi="Times New Roman" w:eastAsia="楷体_GB2312" w:cs="楷体_GB2312"/>
                <w:color w:val="000000" w:themeColor="text1"/>
                <w:sz w:val="20"/>
                <w:szCs w:val="20"/>
                <w14:textFill>
                  <w14:solidFill>
                    <w14:schemeClr w14:val="tx1"/>
                  </w14:solidFill>
                </w14:textFill>
              </w:rPr>
              <w:t>。</w:t>
            </w:r>
          </w:p>
          <w:p w14:paraId="13C3E740">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hAnsi="Times New Roman" w:eastAsia="楷体_GB2312" w:cs="楷体_GB2312"/>
                <w:color w:val="000000" w:themeColor="text1"/>
                <w:sz w:val="20"/>
                <w:szCs w:val="20"/>
                <w14:textFill>
                  <w14:solidFill>
                    <w14:schemeClr w14:val="tx1"/>
                  </w14:solidFill>
                </w14:textFill>
              </w:rPr>
              <w:t>。</w:t>
            </w:r>
          </w:p>
          <w:p w14:paraId="52D47665">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产品存续期间，信银理财将向投资者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 xml:space="preserve">将在理财产品季度、半年和年度报告中披露理财产品组合资产情况及其流动性风险分析等； </w:t>
            </w:r>
          </w:p>
          <w:p w14:paraId="10EC2279">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经信银理财合理判断认为对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w:t>
            </w:r>
            <w:r>
              <w:rPr>
                <w:rFonts w:hint="eastAsia" w:ascii="楷体_GB2312" w:eastAsia="楷体_GB2312" w:cs="楷体_GB2312"/>
                <w:color w:val="000000" w:themeColor="text1"/>
                <w:sz w:val="20"/>
                <w:szCs w:val="20"/>
                <w14:textFill>
                  <w14:solidFill>
                    <w14:schemeClr w14:val="tx1"/>
                  </w14:solidFill>
                </w14:textFill>
              </w:rPr>
              <w:t>及时</w:t>
            </w:r>
            <w:r>
              <w:rPr>
                <w:rFonts w:ascii="楷体_GB2312" w:eastAsia="楷体_GB2312" w:cs="楷体_GB2312"/>
                <w:color w:val="000000" w:themeColor="text1"/>
                <w:sz w:val="20"/>
                <w:szCs w:val="20"/>
                <w14:textFill>
                  <w14:solidFill>
                    <w14:schemeClr w14:val="tx1"/>
                  </w14:solidFill>
                </w14:textFill>
              </w:rPr>
              <w:t>向投资者发布相关信息。</w:t>
            </w:r>
          </w:p>
          <w:p w14:paraId="7013C4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至少每周向投资者披露一次本产品的资产净值和份额净值。</w:t>
            </w:r>
          </w:p>
          <w:p w14:paraId="167010B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w:t>
            </w:r>
            <w:r>
              <w:rPr>
                <w:rFonts w:ascii="楷体_GB2312" w:eastAsia="楷体_GB2312" w:cs="楷体_GB2312"/>
                <w:color w:val="000000" w:themeColor="text1"/>
                <w:sz w:val="20"/>
                <w:szCs w:val="20"/>
                <w14:textFill>
                  <w14:solidFill>
                    <w14:schemeClr w14:val="tx1"/>
                  </w14:solidFill>
                </w14:textFill>
              </w:rPr>
              <w:t>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购</w:t>
            </w:r>
            <w:r>
              <w:rPr>
                <w:rFonts w:ascii="楷体_GB2312" w:eastAsia="楷体_GB2312" w:cs="楷体_GB2312"/>
                <w:color w:val="000000" w:themeColor="text1"/>
                <w:sz w:val="20"/>
                <w:szCs w:val="20"/>
                <w14:textFill>
                  <w14:solidFill>
                    <w14:schemeClr w14:val="tx1"/>
                  </w14:solidFill>
                </w14:textFill>
              </w:rPr>
              <w:t>申请</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14:textFill>
                  <w14:solidFill>
                    <w14:schemeClr w14:val="tx1"/>
                  </w14:solidFill>
                </w14:textFill>
              </w:rPr>
              <w:t>整</w:t>
            </w:r>
            <w:r>
              <w:rPr>
                <w:rFonts w:ascii="楷体_GB2312" w:eastAsia="楷体_GB2312" w:cs="楷体_GB2312"/>
                <w:color w:val="000000" w:themeColor="text1"/>
                <w:sz w:val="20"/>
                <w:szCs w:val="20"/>
                <w14:textFill>
                  <w14:solidFill>
                    <w14:schemeClr w14:val="tx1"/>
                  </w14:solidFill>
                </w14:textFill>
              </w:rPr>
              <w:t>时，及时发布临时公告</w:t>
            </w:r>
            <w:r>
              <w:rPr>
                <w:rFonts w:hint="eastAsia" w:ascii="楷体_GB2312" w:eastAsia="楷体_GB2312" w:cs="楷体_GB2312"/>
                <w:color w:val="000000" w:themeColor="text1"/>
                <w:sz w:val="20"/>
                <w:szCs w:val="20"/>
                <w14:textFill>
                  <w14:solidFill>
                    <w14:schemeClr w14:val="tx1"/>
                  </w14:solidFill>
                </w14:textFill>
              </w:rPr>
              <w:t>。</w:t>
            </w:r>
          </w:p>
          <w:p w14:paraId="4D7FDA24">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14:paraId="01404F38">
      <w:pPr>
        <w:snapToGrid w:val="0"/>
        <w:ind w:left="-2" w:leftChars="-1" w:right="53" w:rightChars="22"/>
        <w:outlineLvl w:val="0"/>
        <w:rPr>
          <w:rFonts w:ascii="黑体" w:hAnsi="Times New Roman" w:eastAsia="黑体" w:cs="黑体"/>
          <w:color w:val="000000" w:themeColor="text1"/>
          <w:sz w:val="20"/>
          <w:szCs w:val="20"/>
          <w14:textFill>
            <w14:solidFill>
              <w14:schemeClr w14:val="tx1"/>
            </w14:solidFill>
          </w14:textFill>
        </w:rPr>
      </w:pPr>
    </w:p>
    <w:p w14:paraId="30C464FF">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19"/>
        <w:widowControl w:val="0"/>
        <w:snapToGrid w:val="0"/>
        <w:spacing w:line="300" w:lineRule="exact"/>
        <w:ind w:left="200" w:firstLine="201" w:firstLineChars="1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2.代表理财产品签订投资和资产管理过程中涉及到的协议、合同等文本；</w:t>
      </w:r>
    </w:p>
    <w:p w14:paraId="1B580ABA">
      <w:pPr>
        <w:pStyle w:val="19"/>
        <w:widowControl w:val="0"/>
        <w:snapToGrid w:val="0"/>
        <w:spacing w:line="300" w:lineRule="exact"/>
        <w:ind w:firstLine="402"/>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left="-2" w:leftChars="-1" w:right="53" w:rightChars="22" w:firstLine="400" w:firstLineChars="200"/>
        <w:outlineLvl w:val="0"/>
        <w:rPr>
          <w:rFonts w:ascii="楷体_GB2312" w:eastAsia="楷体_GB2312"/>
          <w:color w:val="000000" w:themeColor="text1"/>
          <w:sz w:val="20"/>
          <w:szCs w:val="20"/>
          <w14:textFill>
            <w14:solidFill>
              <w14:schemeClr w14:val="tx1"/>
            </w14:solidFill>
          </w14:textFill>
        </w:rPr>
      </w:pPr>
    </w:p>
    <w:p w14:paraId="35CD7F63">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p>
    <w:p w14:paraId="408920C5">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投资者在募集期</w:t>
      </w:r>
      <w:r>
        <w:rPr>
          <w:rFonts w:ascii="Times New Roman" w:hAnsi="Times New Roman" w:eastAsia="楷体_GB2312" w:cs="Times New Roman"/>
          <w:color w:val="000000" w:themeColor="text1"/>
          <w:sz w:val="20"/>
          <w:szCs w:val="20"/>
          <w14:textFill>
            <w14:solidFill>
              <w14:schemeClr w14:val="tx1"/>
            </w14:solidFill>
          </w14:textFill>
        </w:rPr>
        <w:t>内可</w:t>
      </w:r>
      <w:r>
        <w:rPr>
          <w:rFonts w:hint="eastAsia" w:ascii="Times New Roman" w:hAnsi="Times New Roman" w:eastAsia="楷体_GB2312" w:cs="Times New Roman"/>
          <w:color w:val="000000" w:themeColor="text1"/>
          <w:sz w:val="20"/>
          <w:szCs w:val="20"/>
          <w14:textFill>
            <w14:solidFill>
              <w14:schemeClr w14:val="tx1"/>
            </w14:solidFill>
          </w14:textFill>
        </w:rPr>
        <w:t>提交</w:t>
      </w:r>
      <w:r>
        <w:rPr>
          <w:rFonts w:ascii="Times New Roman" w:hAnsi="Times New Roman" w:eastAsia="楷体_GB2312" w:cs="Times New Roman"/>
          <w:color w:val="000000" w:themeColor="text1"/>
          <w:sz w:val="20"/>
          <w:szCs w:val="20"/>
          <w14:textFill>
            <w14:solidFill>
              <w14:schemeClr w14:val="tx1"/>
            </w14:solidFill>
          </w14:textFill>
        </w:rPr>
        <w:t>认购申请，认购</w:t>
      </w:r>
      <w:r>
        <w:rPr>
          <w:rFonts w:hint="eastAsia" w:ascii="Times New Roman" w:hAnsi="Times New Roman" w:eastAsia="楷体_GB2312" w:cs="Times New Roman"/>
          <w:color w:val="000000" w:themeColor="text1"/>
          <w:sz w:val="20"/>
          <w:szCs w:val="20"/>
          <w14:textFill>
            <w14:solidFill>
              <w14:schemeClr w14:val="tx1"/>
            </w14:solidFill>
          </w14:textFill>
        </w:rPr>
        <w:t>理财</w:t>
      </w:r>
      <w:r>
        <w:rPr>
          <w:rFonts w:ascii="Times New Roman" w:hAnsi="Times New Roman" w:eastAsia="楷体_GB2312" w:cs="Times New Roman"/>
          <w:color w:val="000000" w:themeColor="text1"/>
          <w:sz w:val="20"/>
          <w:szCs w:val="20"/>
          <w14:textFill>
            <w14:solidFill>
              <w14:schemeClr w14:val="tx1"/>
            </w14:solidFill>
          </w14:textFill>
        </w:rPr>
        <w:t>产品份额</w:t>
      </w:r>
      <w:r>
        <w:rPr>
          <w:rFonts w:hint="eastAsia" w:ascii="Times New Roman" w:hAnsi="Times New Roman" w:eastAsia="楷体_GB2312" w:cs="Times New Roman"/>
          <w:color w:val="000000" w:themeColor="text1"/>
          <w:sz w:val="20"/>
          <w:szCs w:val="20"/>
          <w14:textFill>
            <w14:solidFill>
              <w14:schemeClr w14:val="tx1"/>
            </w14:solidFill>
          </w14:textFill>
        </w:rPr>
        <w:t>。</w:t>
      </w:r>
    </w:p>
    <w:p w14:paraId="433102F3">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本</w:t>
      </w:r>
      <w:r>
        <w:rPr>
          <w:rFonts w:ascii="Times New Roman" w:hAnsi="Times New Roman" w:eastAsia="楷体_GB2312" w:cs="Times New Roman"/>
          <w:color w:val="000000" w:themeColor="text1"/>
          <w:sz w:val="20"/>
          <w:szCs w:val="20"/>
          <w14:textFill>
            <w14:solidFill>
              <w14:schemeClr w14:val="tx1"/>
            </w14:solidFill>
          </w14:textFill>
        </w:rPr>
        <w:t>理财产品采取金额认购的方式，</w:t>
      </w:r>
      <w:r>
        <w:rPr>
          <w:rFonts w:hint="eastAsia" w:ascii="Times New Roman" w:hAnsi="Times New Roman" w:eastAsia="楷体_GB2312" w:cs="Times New Roman"/>
          <w:color w:val="000000" w:themeColor="text1"/>
          <w:sz w:val="20"/>
          <w:szCs w:val="20"/>
          <w14:textFill>
            <w14:solidFill>
              <w14:schemeClr w14:val="tx1"/>
            </w14:solidFill>
          </w14:textFill>
        </w:rPr>
        <w:t>认购份额</w:t>
      </w:r>
      <w:r>
        <w:rPr>
          <w:rFonts w:ascii="Times New Roman" w:hAnsi="Times New Roman" w:eastAsia="楷体_GB2312" w:cs="Times New Roman"/>
          <w:color w:val="000000" w:themeColor="text1"/>
          <w:sz w:val="20"/>
          <w:szCs w:val="20"/>
          <w14:textFill>
            <w14:solidFill>
              <w14:schemeClr w14:val="tx1"/>
            </w14:solidFill>
          </w14:textFill>
        </w:rPr>
        <w:t>=人民币认购金额×（1-认购费率）/1元</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认购份额按照四舍五入方法计算，保留小数点后【2】位</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由此误差产生的损失由理财财产承担，产生的收益归理财财产所有）</w:t>
      </w:r>
      <w:r>
        <w:rPr>
          <w:rFonts w:ascii="Times New Roman" w:hAnsi="Times New Roman" w:eastAsia="楷体_GB2312" w:cs="Times New Roman"/>
          <w:color w:val="000000" w:themeColor="text1"/>
          <w:sz w:val="20"/>
          <w:szCs w:val="20"/>
          <w14:textFill>
            <w14:solidFill>
              <w14:schemeClr w14:val="tx1"/>
            </w14:solidFill>
          </w14:textFill>
        </w:rPr>
        <w:t>。</w:t>
      </w:r>
    </w:p>
    <w:p w14:paraId="166A4339">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募集期结束后的第一个工作日</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为认购份额</w:t>
      </w:r>
      <w:r>
        <w:rPr>
          <w:rFonts w:ascii="Times New Roman" w:hAnsi="Times New Roman" w:eastAsia="楷体_GB2312" w:cs="Times New Roman"/>
          <w:color w:val="000000" w:themeColor="text1"/>
          <w:sz w:val="20"/>
          <w:szCs w:val="20"/>
          <w14:textFill>
            <w14:solidFill>
              <w14:schemeClr w14:val="tx1"/>
            </w14:solidFill>
          </w14:textFill>
        </w:rPr>
        <w:t>确认日</w:t>
      </w:r>
      <w:r>
        <w:rPr>
          <w:rFonts w:hint="eastAsia" w:ascii="Times New Roman" w:hAnsi="Times New Roman" w:eastAsia="楷体_GB2312" w:cs="Times New Roman"/>
          <w:color w:val="000000" w:themeColor="text1"/>
          <w:sz w:val="20"/>
          <w:szCs w:val="20"/>
          <w14:textFill>
            <w14:solidFill>
              <w14:schemeClr w14:val="tx1"/>
            </w14:solidFill>
          </w14:textFill>
        </w:rPr>
        <w:t>，认购</w:t>
      </w:r>
      <w:r>
        <w:rPr>
          <w:rFonts w:ascii="Times New Roman" w:hAnsi="Times New Roman" w:eastAsia="楷体_GB2312" w:cs="Times New Roman"/>
          <w:color w:val="000000" w:themeColor="text1"/>
          <w:sz w:val="20"/>
          <w:szCs w:val="20"/>
          <w14:textFill>
            <w14:solidFill>
              <w14:schemeClr w14:val="tx1"/>
            </w14:solidFill>
          </w14:textFill>
        </w:rPr>
        <w:t>份额确认日后投资者可</w:t>
      </w:r>
      <w:r>
        <w:rPr>
          <w:rFonts w:hint="eastAsia" w:ascii="Times New Roman" w:hAnsi="Times New Roman" w:eastAsia="楷体_GB2312" w:cs="Times New Roman"/>
          <w:color w:val="000000" w:themeColor="text1"/>
          <w:sz w:val="20"/>
          <w:szCs w:val="20"/>
          <w14:textFill>
            <w14:solidFill>
              <w14:schemeClr w14:val="tx1"/>
            </w14:solidFill>
          </w14:textFill>
        </w:rPr>
        <w:t>向销售机构</w:t>
      </w:r>
      <w:r>
        <w:rPr>
          <w:rFonts w:ascii="Times New Roman" w:hAnsi="Times New Roman" w:eastAsia="楷体_GB2312" w:cs="Times New Roman"/>
          <w:color w:val="000000" w:themeColor="text1"/>
          <w:sz w:val="20"/>
          <w:szCs w:val="20"/>
          <w14:textFill>
            <w14:solidFill>
              <w14:schemeClr w14:val="tx1"/>
            </w14:solidFill>
          </w14:textFill>
        </w:rPr>
        <w:t>查询认购是否</w:t>
      </w:r>
      <w:r>
        <w:rPr>
          <w:rFonts w:hint="eastAsia" w:ascii="Times New Roman" w:hAnsi="Times New Roman" w:eastAsia="楷体_GB2312" w:cs="Times New Roman"/>
          <w:color w:val="000000" w:themeColor="text1"/>
          <w:sz w:val="20"/>
          <w:szCs w:val="20"/>
          <w14:textFill>
            <w14:solidFill>
              <w14:schemeClr w14:val="tx1"/>
            </w14:solidFill>
          </w14:textFill>
        </w:rPr>
        <w:t>成功</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管理人保留不接受认购申请的权利。</w:t>
      </w:r>
    </w:p>
    <w:p w14:paraId="787D599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p>
    <w:p w14:paraId="2142C2C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理财</w:t>
      </w:r>
      <w:r>
        <w:rPr>
          <w:rFonts w:ascii="黑体" w:hAnsi="Times New Roman" w:eastAsia="黑体" w:cs="黑体"/>
          <w:color w:val="000000" w:themeColor="text1"/>
          <w:sz w:val="20"/>
          <w:szCs w:val="20"/>
          <w14:textFill>
            <w14:solidFill>
              <w14:schemeClr w14:val="tx1"/>
            </w14:solidFill>
          </w14:textFill>
        </w:rPr>
        <w:t>产品的</w:t>
      </w:r>
      <w:r>
        <w:rPr>
          <w:rFonts w:hint="eastAsia" w:ascii="黑体" w:hAnsi="Times New Roman" w:eastAsia="黑体" w:cs="黑体"/>
          <w:color w:val="000000" w:themeColor="text1"/>
          <w:sz w:val="20"/>
          <w:szCs w:val="20"/>
          <w14:textFill>
            <w14:solidFill>
              <w14:schemeClr w14:val="tx1"/>
            </w14:solidFill>
          </w14:textFill>
        </w:rPr>
        <w:t>申购和</w:t>
      </w:r>
      <w:r>
        <w:rPr>
          <w:rFonts w:ascii="黑体" w:hAnsi="Times New Roman" w:eastAsia="黑体" w:cs="黑体"/>
          <w:color w:val="000000" w:themeColor="text1"/>
          <w:sz w:val="20"/>
          <w:szCs w:val="20"/>
          <w14:textFill>
            <w14:solidFill>
              <w14:schemeClr w14:val="tx1"/>
            </w14:solidFill>
          </w14:textFill>
        </w:rPr>
        <w:t>赎回</w:t>
      </w:r>
    </w:p>
    <w:p w14:paraId="0AC6A6FA">
      <w:pPr>
        <w:spacing w:line="300" w:lineRule="exact"/>
        <w:ind w:left="-2" w:leftChars="-1"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本产品不开放申购和赎回。</w:t>
      </w:r>
    </w:p>
    <w:p w14:paraId="453E6466">
      <w:pPr>
        <w:spacing w:line="300" w:lineRule="exact"/>
        <w:ind w:right="36" w:rightChars="15"/>
        <w:rPr>
          <w:rFonts w:ascii="楷体_GB2312" w:eastAsia="楷体_GB2312"/>
          <w:color w:val="000000" w:themeColor="text1"/>
          <w:sz w:val="20"/>
          <w:szCs w:val="20"/>
          <w14:textFill>
            <w14:solidFill>
              <w14:schemeClr w14:val="tx1"/>
            </w14:solidFill>
          </w14:textFill>
        </w:rPr>
      </w:pPr>
    </w:p>
    <w:p w14:paraId="6B9F2CF3">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773991C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14:paraId="547EB927">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p>
    <w:p w14:paraId="2F9BC8AD">
      <w:pPr>
        <w:pStyle w:val="19"/>
        <w:numPr>
          <w:ilvl w:val="0"/>
          <w:numId w:val="7"/>
        </w:numPr>
        <w:spacing w:line="300" w:lineRule="exact"/>
        <w:ind w:right="96" w:rightChars="4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理财资金分配</w:t>
      </w:r>
    </w:p>
    <w:p w14:paraId="44DD0FE2">
      <w:pPr>
        <w:pStyle w:val="19"/>
        <w:numPr>
          <w:ilvl w:val="0"/>
          <w:numId w:val="0"/>
        </w:numPr>
        <w:spacing w:line="300" w:lineRule="exact"/>
        <w:ind w:right="96" w:rightChars="40" w:firstLine="420" w:firstLineChars="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14:paraId="244E4B04">
      <w:pPr>
        <w:spacing w:line="300" w:lineRule="exact"/>
        <w:ind w:right="96" w:rightChars="40" w:firstLine="402" w:firstLineChars="20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无。</w:t>
      </w:r>
    </w:p>
    <w:p w14:paraId="2FCF4BB6">
      <w:pPr>
        <w:pStyle w:val="19"/>
        <w:numPr>
          <w:ilvl w:val="0"/>
          <w:numId w:val="0"/>
        </w:numPr>
        <w:spacing w:line="300" w:lineRule="exact"/>
        <w:ind w:right="96" w:rightChars="40" w:firstLine="420" w:firstLineChars="0"/>
        <w:rPr>
          <w:rFonts w:hint="eastAsia" w:ascii="黑体" w:eastAsia="黑体" w:cs="黑体"/>
          <w:color w:val="000000" w:themeColor="text1"/>
          <w:sz w:val="20"/>
          <w:szCs w:val="20"/>
          <w:lang w:eastAsia="zh-CN"/>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（二）终止分配</w:t>
      </w:r>
    </w:p>
    <w:p w14:paraId="09F990D0">
      <w:pPr>
        <w:spacing w:line="300" w:lineRule="exact"/>
        <w:ind w:firstLine="400" w:firstLineChars="200"/>
        <w:jc w:val="both"/>
        <w:rPr>
          <w:rFonts w:hint="eastAsia" w:ascii="楷体_GB2312" w:eastAsia="楷体_GB2312" w:cs="楷体_GB2312"/>
          <w:sz w:val="20"/>
          <w:szCs w:val="20"/>
          <w:highlight w:val="none"/>
        </w:rPr>
      </w:pPr>
      <w:r>
        <w:rPr>
          <w:rFonts w:ascii="楷体_GB2312" w:eastAsia="楷体_GB2312" w:cs="楷体_GB2312"/>
          <w:sz w:val="20"/>
          <w:szCs w:val="20"/>
          <w:highlight w:val="none"/>
        </w:rPr>
        <w:t>1.</w:t>
      </w:r>
      <w:r>
        <w:rPr>
          <w:rFonts w:hint="eastAsia"/>
          <w:highlight w:val="none"/>
        </w:rPr>
        <w:t xml:space="preserve"> </w:t>
      </w:r>
      <w:r>
        <w:rPr>
          <w:rFonts w:hint="eastAsia" w:ascii="楷体_GB2312" w:eastAsia="楷体_GB2312" w:cs="楷体_GB2312"/>
          <w:sz w:val="20"/>
          <w:szCs w:val="20"/>
          <w:highlight w:val="none"/>
        </w:rPr>
        <w:t>本人</w:t>
      </w:r>
      <w:r>
        <w:rPr>
          <w:rFonts w:ascii="楷体_GB2312" w:eastAsia="楷体_GB2312" w:cs="楷体_GB2312"/>
          <w:sz w:val="20"/>
          <w:szCs w:val="20"/>
          <w:highlight w:val="none"/>
        </w:rPr>
        <w:t>/本单位确认，自愿同意并授权管理人代本人/本单位按照理财产品说明书中的约定，</w:t>
      </w:r>
      <w:r>
        <w:rPr>
          <w:rFonts w:ascii="楷体_GB2312" w:eastAsia="楷体_GB2312" w:cs="楷体_GB2312"/>
          <w:b/>
          <w:color w:val="FF0000"/>
          <w:sz w:val="20"/>
          <w:szCs w:val="20"/>
          <w:highlight w:val="none"/>
        </w:rPr>
        <w:t>在本产品到期日或提前终止日时，按照产品年化收益超过业绩比较基准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w:t>
      </w:r>
      <w:r>
        <w:rPr>
          <w:rFonts w:ascii="楷体_GB2312" w:eastAsia="楷体_GB2312" w:cs="楷体_GB2312"/>
          <w:sz w:val="20"/>
          <w:szCs w:val="20"/>
          <w:highlight w:val="none"/>
        </w:rPr>
        <w:t>。在产品到期清算过程中，</w:t>
      </w:r>
      <w:r>
        <w:rPr>
          <w:rFonts w:ascii="楷体_GB2312" w:eastAsia="楷体_GB2312" w:cs="楷体_GB2312"/>
          <w:b/>
          <w:color w:val="FF0000"/>
          <w:sz w:val="20"/>
          <w:szCs w:val="20"/>
          <w:highlight w:val="none"/>
        </w:rPr>
        <w:t>如产品年化收益率超过业绩比较基准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，则按照超过业绩比较基准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0%】进行捐赠。管理人将代投资者直接将捐赠金额以投资者名义捐赠至【</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】（网址</w:t>
      </w:r>
      <w:r>
        <w:rPr>
          <w:rFonts w:hint="eastAsia" w:ascii="楷体_GB2312" w:eastAsia="楷体_GB2312" w:cs="楷体_GB2312"/>
          <w:b/>
          <w:color w:val="FF0000"/>
          <w:sz w:val="20"/>
          <w:szCs w:val="20"/>
          <w:highlight w:val="none"/>
          <w:lang w:val="en-US" w:eastAsia="zh-CN"/>
        </w:rPr>
        <w:t>https://www.zcf.org.cn</w:t>
      </w:r>
      <w:r>
        <w:rPr>
          <w:rFonts w:hint="eastAsia" w:ascii="楷体_GB2312" w:eastAsia="楷体_GB2312" w:cs="楷体_GB2312"/>
          <w:b/>
          <w:color w:val="FF0000"/>
          <w:sz w:val="20"/>
          <w:szCs w:val="20"/>
          <w:highlight w:val="none"/>
        </w:rPr>
        <w:t>，地方性公募基金会</w:t>
      </w:r>
      <w:r>
        <w:rPr>
          <w:rFonts w:ascii="楷体_GB2312" w:eastAsia="楷体_GB2312" w:cs="楷体_GB2312"/>
          <w:b/>
          <w:color w:val="FF0000"/>
          <w:sz w:val="20"/>
          <w:szCs w:val="20"/>
          <w:highlight w:val="none"/>
        </w:rPr>
        <w:t>）</w:t>
      </w:r>
      <w:r>
        <w:rPr>
          <w:rFonts w:ascii="楷体_GB2312" w:eastAsia="楷体_GB2312" w:cs="楷体_GB2312"/>
          <w:sz w:val="20"/>
          <w:szCs w:val="20"/>
          <w:highlight w:val="none"/>
        </w:rPr>
        <w:t>，产品到期后，投资者可通过产品销售机构或产品销售机构认可的其他方式申请办理相关捐赠证明，具体可详询【中信银行24小时</w:t>
      </w:r>
      <w:r>
        <w:rPr>
          <w:rFonts w:hint="eastAsia" w:ascii="楷体_GB2312" w:eastAsia="楷体_GB2312" w:cs="楷体_GB2312"/>
          <w:sz w:val="20"/>
          <w:szCs w:val="20"/>
          <w:highlight w:val="none"/>
        </w:rPr>
        <w:t>客户服务热线</w:t>
      </w:r>
      <w:r>
        <w:rPr>
          <w:rFonts w:ascii="楷体_GB2312" w:eastAsia="楷体_GB2312" w:cs="楷体_GB2312"/>
          <w:sz w:val="20"/>
          <w:szCs w:val="20"/>
          <w:highlight w:val="none"/>
        </w:rPr>
        <w:t>95558】【信银理财客户服务热线950950，工作时间为工作日8：30-20：30】。</w:t>
      </w:r>
      <w:r>
        <w:rPr>
          <w:rFonts w:ascii="楷体_GB2312" w:eastAsia="楷体_GB2312" w:cs="楷体_GB2312"/>
          <w:b/>
          <w:color w:val="FF0000"/>
          <w:sz w:val="20"/>
          <w:szCs w:val="20"/>
          <w:highlight w:val="none"/>
        </w:rPr>
        <w:t>投资者同意将捐赠金额的【</w:t>
      </w:r>
      <w:r>
        <w:rPr>
          <w:rFonts w:hint="eastAsia" w:ascii="楷体_GB2312" w:eastAsia="楷体_GB2312" w:cs="楷体_GB2312"/>
          <w:b/>
          <w:color w:val="FF0000"/>
          <w:sz w:val="20"/>
          <w:szCs w:val="20"/>
          <w:highlight w:val="none"/>
          <w:lang w:val="en-US" w:eastAsia="zh-CN"/>
        </w:rPr>
        <w:t>10</w:t>
      </w:r>
      <w:r>
        <w:rPr>
          <w:rFonts w:ascii="楷体_GB2312" w:eastAsia="楷体_GB2312" w:cs="楷体_GB2312"/>
          <w:b/>
          <w:color w:val="FF0000"/>
          <w:sz w:val="20"/>
          <w:szCs w:val="20"/>
          <w:highlight w:val="none"/>
        </w:rPr>
        <w:t>%】用于【</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】管理费用</w:t>
      </w:r>
      <w:r>
        <w:rPr>
          <w:rFonts w:ascii="楷体_GB2312" w:eastAsia="楷体_GB2312" w:cs="楷体_GB2312"/>
          <w:sz w:val="20"/>
          <w:szCs w:val="20"/>
          <w:highlight w:val="none"/>
        </w:rPr>
        <w:t>，【</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】有权按照相关法律法规的要求，合理使用捐赠款项，但不得擅自改变捐赠款项用途。投资者知晓并同意本次慈善捐赠为不可撤销的赠与，投资者无权要求信银理财或【</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】返还捐赠款项。投资者同意并授权信银理财向【</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】提供【投资者姓名、身份证号、持有的理财产品份额、手机号码、邮箱地址】等信息以用于开具捐赠证明或</w:t>
      </w:r>
      <w:r>
        <w:rPr>
          <w:rFonts w:hint="eastAsia" w:ascii="楷体_GB2312" w:eastAsia="楷体_GB2312" w:cs="楷体_GB2312"/>
          <w:sz w:val="20"/>
          <w:szCs w:val="20"/>
          <w:highlight w:val="none"/>
        </w:rPr>
        <w:t>捐赠票据。</w:t>
      </w:r>
    </w:p>
    <w:p w14:paraId="09440C52">
      <w:pPr>
        <w:spacing w:line="300" w:lineRule="exact"/>
        <w:ind w:right="36" w:rightChars="15" w:firstLine="402" w:firstLineChars="200"/>
        <w:rPr>
          <w:rFonts w:hint="eastAsia" w:ascii="楷体_GB2312" w:eastAsia="楷体_GB2312" w:cs="楷体_GB2312"/>
          <w:b/>
          <w:sz w:val="20"/>
          <w:szCs w:val="20"/>
          <w:highlight w:val="none"/>
        </w:rPr>
      </w:pP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33905AC5">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本产品在扣除信银理财</w:t>
      </w:r>
      <w:r>
        <w:rPr>
          <w:rFonts w:ascii="楷体_GB2312" w:eastAsia="楷体_GB2312" w:cs="楷体_GB2312"/>
          <w:color w:val="000000" w:themeColor="text1"/>
          <w:sz w:val="20"/>
          <w:szCs w:val="20"/>
          <w14:textFill>
            <w14:solidFill>
              <w14:schemeClr w14:val="tx1"/>
            </w14:solidFill>
          </w14:textFill>
        </w:rPr>
        <w:t>应收取费用</w:t>
      </w:r>
      <w:r>
        <w:rPr>
          <w:rFonts w:hint="eastAsia" w:ascii="楷体_GB2312" w:eastAsia="楷体_GB2312" w:cs="楷体_GB2312"/>
          <w:color w:val="000000" w:themeColor="text1"/>
          <w:sz w:val="20"/>
          <w:szCs w:val="20"/>
          <w14:textFill>
            <w14:solidFill>
              <w14:schemeClr w14:val="tx1"/>
            </w14:solidFill>
          </w14:textFill>
        </w:rPr>
        <w:t>及其他应由产品承担的税费后的投资损益全部归属投资者。</w:t>
      </w:r>
    </w:p>
    <w:p w14:paraId="71F2C505">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14:paraId="093A5882">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14:paraId="401EC0F6">
      <w:pPr>
        <w:spacing w:line="300" w:lineRule="exact"/>
        <w:jc w:val="both"/>
        <w:rPr>
          <w:rFonts w:ascii="楷体_GB2312" w:eastAsia="楷体_GB2312"/>
          <w:sz w:val="20"/>
          <w:szCs w:val="20"/>
          <w:highlight w:val="none"/>
        </w:rPr>
      </w:pPr>
      <w:r>
        <w:rPr>
          <w:rFonts w:hint="eastAsia" w:ascii="楷体_GB2312" w:eastAsia="楷体_GB2312" w:cs="楷体_GB2312"/>
          <w:sz w:val="20"/>
          <w:szCs w:val="20"/>
          <w:highlight w:val="none"/>
        </w:rPr>
        <w:t>投资者应得资金</w:t>
      </w:r>
      <w:r>
        <w:rPr>
          <w:rFonts w:ascii="楷体_GB2312" w:eastAsia="楷体_GB2312" w:cs="楷体_GB2312"/>
          <w:sz w:val="20"/>
          <w:szCs w:val="20"/>
          <w:highlight w:val="none"/>
        </w:rPr>
        <w:t>=</w:t>
      </w:r>
      <w:r>
        <w:rPr>
          <w:rFonts w:hint="eastAsia" w:ascii="楷体_GB2312" w:eastAsia="楷体_GB2312" w:cs="楷体_GB2312"/>
          <w:sz w:val="20"/>
          <w:szCs w:val="20"/>
          <w:highlight w:val="none"/>
        </w:rPr>
        <w:t>到期日产品可分配的总金额</w:t>
      </w:r>
      <w:r>
        <w:rPr>
          <w:rFonts w:ascii="楷体_GB2312" w:eastAsia="楷体_GB2312" w:cs="楷体_GB2312"/>
          <w:sz w:val="20"/>
          <w:szCs w:val="20"/>
          <w:highlight w:val="none"/>
        </w:rPr>
        <w:t>/产品的总份额*投资者的持有份额-投资者授权信银理财捐赠资金</w:t>
      </w:r>
      <w:r>
        <w:rPr>
          <w:rFonts w:hint="eastAsia" w:ascii="楷体_GB2312" w:eastAsia="楷体_GB2312" w:cs="楷体_GB2312"/>
          <w:sz w:val="20"/>
          <w:szCs w:val="20"/>
          <w:highlight w:val="none"/>
        </w:rPr>
        <w:t>（如有）</w:t>
      </w:r>
    </w:p>
    <w:p w14:paraId="38D9A039">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14:textFill>
            <w14:solidFill>
              <w14:schemeClr w14:val="tx1"/>
            </w14:solidFill>
          </w14:textFill>
        </w:rPr>
        <w:t>说明书</w:t>
      </w:r>
      <w:r>
        <w:rPr>
          <w:rFonts w:hint="eastAsia" w:ascii="楷体_GB2312" w:eastAsia="楷体_GB2312" w:cs="楷体_GB2312"/>
          <w:color w:val="000000" w:themeColor="text1"/>
          <w:sz w:val="20"/>
          <w:szCs w:val="20"/>
          <w14:textFill>
            <w14:solidFill>
              <w14:schemeClr w14:val="tx1"/>
            </w14:solidFill>
          </w14:textFill>
        </w:rPr>
        <w:t>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14:paraId="34A151F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3282966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p>
    <w:p w14:paraId="0B43CF77">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2.认购费</w:t>
      </w:r>
      <w:r>
        <w:rPr>
          <w:rFonts w:hint="eastAsia" w:ascii="楷体_GB2312" w:eastAsia="楷体_GB2312" w:cs="楷体_GB2312"/>
          <w:b/>
          <w:color w:val="000000"/>
          <w:sz w:val="20"/>
          <w:szCs w:val="20"/>
        </w:rPr>
        <w:t>：</w:t>
      </w:r>
      <w:r>
        <w:rPr>
          <w:rFonts w:ascii="楷体_GB2312" w:eastAsia="楷体_GB2312" w:cs="楷体_GB2312"/>
          <w:b/>
          <w:sz w:val="20"/>
          <w:szCs w:val="20"/>
        </w:rPr>
        <w:t>【B】类份额不收取认购费，【G】类份额不收取认购费，【M】类份额不收取认购费</w:t>
      </w:r>
      <w:r>
        <w:rPr>
          <w:rFonts w:hint="eastAsia" w:ascii="楷体_GB2312" w:eastAsia="楷体_GB2312" w:cs="楷体_GB2312"/>
          <w:b/>
          <w:sz w:val="20"/>
          <w:szCs w:val="20"/>
        </w:rPr>
        <w:t>。</w:t>
      </w:r>
    </w:p>
    <w:p w14:paraId="54618D6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3.销售服务费</w:t>
      </w:r>
    </w:p>
    <w:p w14:paraId="284BF5F7">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【B】类份额费率【0.15%】/年，【G】类份额费率【0.25%】/年，【M】类份额费率【0.05%】/年，计算方式为【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hint="eastAsia" w:ascii="楷体_GB2312" w:eastAsia="楷体_GB2312" w:cs="楷体_GB2312"/>
          <w:b/>
          <w:sz w:val="20"/>
          <w:szCs w:val="20"/>
        </w:rPr>
        <w:t>。</w:t>
      </w:r>
    </w:p>
    <w:p w14:paraId="55AFEBB0">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销售服务费每日计提，按【</w:t>
      </w:r>
      <w:r>
        <w:rPr>
          <w:rFonts w:hint="eastAsia" w:ascii="楷体_GB2312" w:eastAsia="楷体_GB2312" w:cs="楷体_GB2312"/>
          <w:b/>
          <w:sz w:val="20"/>
          <w:szCs w:val="20"/>
        </w:rPr>
        <w:t>季</w:t>
      </w:r>
      <w:r>
        <w:rPr>
          <w:rFonts w:ascii="楷体_GB2312" w:eastAsia="楷体_GB2312" w:cs="楷体_GB2312"/>
          <w:b/>
          <w:color w:val="000000"/>
          <w:sz w:val="20"/>
          <w:szCs w:val="20"/>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rPr>
        <w:t>销售</w:t>
      </w:r>
      <w:r>
        <w:rPr>
          <w:rFonts w:ascii="楷体_GB2312" w:eastAsia="楷体_GB2312" w:cs="楷体_GB2312"/>
          <w:b/>
          <w:color w:val="000000"/>
          <w:sz w:val="20"/>
          <w:szCs w:val="20"/>
        </w:rPr>
        <w:t>相关费用以代销机构规定为准。</w:t>
      </w:r>
    </w:p>
    <w:p w14:paraId="7D1AECCA">
      <w:pPr>
        <w:spacing w:line="300" w:lineRule="exact"/>
        <w:ind w:firstLine="402" w:firstLineChars="200"/>
        <w:rPr>
          <w:rFonts w:ascii="楷体_GB2312" w:eastAsia="楷体_GB2312" w:cs="楷体_GB2312"/>
          <w:b/>
          <w:color w:val="000000"/>
          <w:sz w:val="20"/>
          <w:szCs w:val="20"/>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4.托管费</w:t>
      </w:r>
    </w:p>
    <w:p w14:paraId="2C84DF00">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费率【0.0</w:t>
      </w:r>
      <w:r>
        <w:rPr>
          <w:rFonts w:hint="eastAsia" w:ascii="楷体_GB2312" w:eastAsia="楷体_GB2312" w:cs="楷体_GB2312"/>
          <w:b/>
          <w:sz w:val="20"/>
          <w:szCs w:val="20"/>
          <w:lang w:val="en-US" w:eastAsia="zh-CN"/>
        </w:rPr>
        <w:t>2</w:t>
      </w:r>
      <w:r>
        <w:rPr>
          <w:rFonts w:ascii="楷体_GB2312" w:eastAsia="楷体_GB2312" w:cs="楷体_GB2312"/>
          <w:b/>
          <w:sz w:val="20"/>
          <w:szCs w:val="20"/>
        </w:rPr>
        <w:t>%】/年，计算方式为【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hint="eastAsia" w:ascii="楷体_GB2312" w:eastAsia="楷体_GB2312" w:cs="楷体_GB2312"/>
          <w:b/>
          <w:sz w:val="20"/>
          <w:szCs w:val="20"/>
        </w:rPr>
        <w:t>。</w:t>
      </w:r>
    </w:p>
    <w:p w14:paraId="61F79A12">
      <w:pPr>
        <w:snapToGrid w:val="0"/>
        <w:spacing w:line="300" w:lineRule="exact"/>
        <w:ind w:firstLine="402" w:firstLineChars="200"/>
        <w:outlineLvl w:val="0"/>
        <w:rPr>
          <w:rFonts w:ascii="楷体_GB2312" w:eastAsia="楷体_GB2312"/>
          <w:b/>
          <w:color w:val="000000"/>
          <w:sz w:val="20"/>
          <w:szCs w:val="20"/>
        </w:rPr>
      </w:pPr>
      <w:r>
        <w:rPr>
          <w:rFonts w:ascii="楷体_GB2312" w:eastAsia="楷体_GB2312" w:cs="楷体_GB2312"/>
          <w:b/>
          <w:color w:val="000000"/>
          <w:sz w:val="20"/>
          <w:szCs w:val="20"/>
        </w:rPr>
        <w:t>托管费每日计提，按【</w:t>
      </w:r>
      <w:r>
        <w:rPr>
          <w:rFonts w:hint="eastAsia" w:ascii="楷体_GB2312" w:eastAsia="楷体_GB2312" w:cs="楷体_GB2312"/>
          <w:b/>
          <w:color w:val="000000"/>
          <w:sz w:val="20"/>
          <w:szCs w:val="20"/>
        </w:rPr>
        <w:t>年</w:t>
      </w:r>
      <w:r>
        <w:rPr>
          <w:rFonts w:ascii="楷体_GB2312" w:eastAsia="楷体_GB2312" w:cs="楷体_GB2312"/>
          <w:b/>
          <w:color w:val="000000"/>
          <w:sz w:val="20"/>
          <w:szCs w:val="20"/>
        </w:rPr>
        <w:t>】支付，由管理人向托管人发送指令，托管人复核后从资产中一次性支付。</w:t>
      </w:r>
    </w:p>
    <w:p w14:paraId="015FAA49">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5.固定管理费</w:t>
      </w:r>
    </w:p>
    <w:p w14:paraId="0B9B6D7F">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rPr>
        <w:t>费率【</w:t>
      </w:r>
      <w:r>
        <w:rPr>
          <w:rFonts w:ascii="楷体_GB2312" w:eastAsia="楷体_GB2312" w:cs="楷体_GB2312"/>
          <w:b/>
          <w:sz w:val="20"/>
          <w:szCs w:val="20"/>
        </w:rPr>
        <w:t>0.05%】/年，计算方式为【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hint="eastAsia" w:ascii="楷体_GB2312" w:eastAsia="楷体_GB2312" w:cs="楷体_GB2312"/>
          <w:b/>
          <w:sz w:val="20"/>
          <w:szCs w:val="20"/>
        </w:rPr>
        <w:t>。</w:t>
      </w:r>
    </w:p>
    <w:p w14:paraId="60C301C7">
      <w:pPr>
        <w:snapToGrid w:val="0"/>
        <w:spacing w:line="300" w:lineRule="exact"/>
        <w:ind w:left="-2" w:leftChars="-1" w:firstLine="402" w:firstLineChars="200"/>
        <w:outlineLvl w:val="0"/>
        <w:rPr>
          <w:rFonts w:ascii="楷体_GB2312" w:eastAsia="楷体_GB2312"/>
          <w:b/>
          <w:sz w:val="20"/>
          <w:szCs w:val="20"/>
        </w:rPr>
      </w:pPr>
      <w:r>
        <w:rPr>
          <w:rFonts w:hint="eastAsia" w:ascii="楷体_GB2312" w:eastAsia="楷体_GB2312" w:cs="楷体_GB2312"/>
          <w:b/>
          <w:sz w:val="20"/>
          <w:szCs w:val="20"/>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6.浮动管理费</w:t>
      </w:r>
    </w:p>
    <w:p w14:paraId="7A7D75F7">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97DF36E">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29F469F9">
      <w:pPr>
        <w:snapToGrid w:val="0"/>
        <w:spacing w:line="300" w:lineRule="exact"/>
        <w:ind w:right="96" w:rightChars="40" w:firstLine="402" w:firstLineChars="200"/>
        <w:outlineLvl w:val="0"/>
        <w:rPr>
          <w:rFonts w:ascii="楷体_GB2312" w:eastAsia="楷体_GB2312" w:cs="楷体_GB2312"/>
          <w:b/>
          <w:color w:val="000000"/>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5681179">
      <w:pPr>
        <w:snapToGrid w:val="0"/>
        <w:spacing w:line="300" w:lineRule="exact"/>
        <w:ind w:left="0" w:leftChars="0" w:right="0" w:rightChars="0" w:firstLine="402" w:firstLineChars="200"/>
        <w:jc w:val="left"/>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sz w:val="20"/>
          <w:szCs w:val="20"/>
        </w:rPr>
        <w:t>7.产品运作和清算中产生的其他资金汇划费、结算费、交易手续费、注册登记费、信息披露费、账户服务费、审计费、律师费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rPr>
        <w:t>、因投资资产而产生的资产推荐服务费等相关费用</w:t>
      </w:r>
      <w:r>
        <w:rPr>
          <w:rFonts w:ascii="楷体_GB2312" w:eastAsia="楷体_GB2312" w:cs="楷体_GB2312"/>
          <w:b/>
          <w:color w:val="000000"/>
          <w:sz w:val="20"/>
          <w:szCs w:val="20"/>
        </w:rPr>
        <w:t>及按照法律法规规章规定和理财产品销售文件约定应由产品承担的费用等，按照实际发生时从产品资产中列支。</w:t>
      </w:r>
    </w:p>
    <w:p w14:paraId="79F8174C">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九、资产估值</w:t>
      </w:r>
    </w:p>
    <w:p w14:paraId="1AB5D47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14:paraId="773AD8D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净值披露日和收益分配日</w:t>
      </w:r>
      <w:r>
        <w:rPr>
          <w:rFonts w:ascii="楷体_GB2312" w:eastAsia="楷体_GB2312" w:cs="楷体_GB2312"/>
          <w:color w:val="000000" w:themeColor="text1"/>
          <w:sz w:val="20"/>
          <w:szCs w:val="20"/>
          <w14:textFill>
            <w14:solidFill>
              <w14:schemeClr w14:val="tx1"/>
            </w14:solidFill>
          </w14:textFill>
        </w:rPr>
        <w:t>。</w:t>
      </w:r>
    </w:p>
    <w:p w14:paraId="57A19E3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14:paraId="6EB8E0C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14:paraId="3F0DE64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14:paraId="15E45F74">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 xml:space="preserve">5）非上市股权估值 </w:t>
      </w:r>
    </w:p>
    <w:p w14:paraId="59D6180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错误的处理</w:t>
      </w:r>
    </w:p>
    <w:p w14:paraId="6ECABD3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14:textFill>
            <w14:solidFill>
              <w14:schemeClr w14:val="tx1"/>
            </w14:solidFill>
          </w14:textFill>
        </w:rPr>
        <w:t>托管人</w:t>
      </w:r>
      <w:r>
        <w:rPr>
          <w:rFonts w:hint="eastAsia" w:ascii="楷体_GB2312" w:eastAsia="楷体_GB2312" w:cs="楷体_GB2312"/>
          <w:color w:val="000000" w:themeColor="text1"/>
          <w:sz w:val="20"/>
          <w:szCs w:val="20"/>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14:textFill>
            <w14:solidFill>
              <w14:schemeClr w14:val="tx1"/>
            </w14:solidFill>
          </w14:textFill>
        </w:rPr>
        <w:t>应当积极采取必要措施消除</w:t>
      </w:r>
      <w:r>
        <w:rPr>
          <w:rFonts w:hint="eastAsia" w:ascii="楷体_GB2312" w:eastAsia="楷体_GB2312"/>
          <w:color w:val="000000" w:themeColor="text1"/>
          <w:sz w:val="20"/>
          <w:szCs w:val="20"/>
          <w14:textFill>
            <w14:solidFill>
              <w14:schemeClr w14:val="tx1"/>
            </w14:solidFill>
          </w14:textFill>
        </w:rPr>
        <w:t>差错</w:t>
      </w:r>
      <w:r>
        <w:rPr>
          <w:rFonts w:ascii="楷体_GB2312" w:eastAsia="楷体_GB2312"/>
          <w:color w:val="000000" w:themeColor="text1"/>
          <w:sz w:val="20"/>
          <w:szCs w:val="20"/>
          <w14:textFill>
            <w14:solidFill>
              <w14:schemeClr w14:val="tx1"/>
            </w14:solidFill>
          </w14:textFill>
        </w:rPr>
        <w:t>带来的影响</w:t>
      </w:r>
      <w:r>
        <w:rPr>
          <w:rFonts w:hint="eastAsia" w:ascii="楷体_GB2312" w:eastAsia="楷体_GB2312"/>
          <w:color w:val="000000" w:themeColor="text1"/>
          <w:sz w:val="20"/>
          <w:szCs w:val="20"/>
          <w14:textFill>
            <w14:solidFill>
              <w14:schemeClr w14:val="tx1"/>
            </w14:solidFill>
          </w14:textFill>
        </w:rPr>
        <w:t>。</w:t>
      </w:r>
    </w:p>
    <w:p w14:paraId="548BA12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w:t>
      </w:r>
      <w:r>
        <w:rPr>
          <w:rFonts w:hint="eastAsia" w:ascii="楷体_GB2312" w:eastAsia="楷体_GB2312"/>
          <w:color w:val="000000" w:themeColor="text1"/>
          <w:sz w:val="20"/>
          <w:szCs w:val="20"/>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w:t>
      </w:r>
      <w:r>
        <w:rPr>
          <w:rFonts w:hint="eastAsia" w:ascii="楷体_GB2312" w:eastAsia="楷体_GB2312"/>
          <w:color w:val="000000" w:themeColor="text1"/>
          <w:sz w:val="20"/>
          <w:szCs w:val="20"/>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查明估值错误发生的原因，列明所有的管理人和托管人并根据估值错误发生的原因确定估值错误的责任方。</w:t>
      </w:r>
    </w:p>
    <w:p w14:paraId="47F684A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根据估值错误处理原则对因估值错误造成的损失进行评估。</w:t>
      </w:r>
    </w:p>
    <w:p w14:paraId="3C76DF0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．暂停</w:t>
      </w:r>
      <w:r>
        <w:rPr>
          <w:rFonts w:ascii="楷体_GB2312" w:eastAsia="楷体_GB2312" w:cs="楷体_GB2312"/>
          <w:color w:val="000000" w:themeColor="text1"/>
          <w:sz w:val="20"/>
          <w:szCs w:val="20"/>
          <w14:textFill>
            <w14:solidFill>
              <w14:schemeClr w14:val="tx1"/>
            </w14:solidFill>
          </w14:textFill>
        </w:rPr>
        <w:t>估值的情形</w:t>
      </w:r>
    </w:p>
    <w:p w14:paraId="3714930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14:paraId="4C1B57F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14:paraId="361976D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w:t>
      </w:r>
      <w:r>
        <w:rPr>
          <w:rFonts w:ascii="楷体_GB2312" w:eastAsia="楷体_GB2312" w:cs="楷体_GB2312"/>
          <w:color w:val="000000" w:themeColor="text1"/>
          <w:sz w:val="20"/>
          <w:szCs w:val="20"/>
          <w14:textFill>
            <w14:solidFill>
              <w14:schemeClr w14:val="tx1"/>
            </w14:solidFill>
          </w14:textFill>
        </w:rPr>
        <w:t>以上情形，</w:t>
      </w:r>
      <w:r>
        <w:rPr>
          <w:rFonts w:hint="eastAsia" w:ascii="楷体_GB2312" w:eastAsia="楷体_GB2312" w:cs="楷体_GB2312"/>
          <w:color w:val="000000" w:themeColor="text1"/>
          <w:sz w:val="20"/>
          <w:szCs w:val="20"/>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14:paraId="22FDF408">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十、产品不成立</w:t>
      </w:r>
    </w:p>
    <w:p w14:paraId="5A45DF60">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14:paraId="37899C85">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w:t>
      </w:r>
      <w:r>
        <w:rPr>
          <w:rFonts w:ascii="楷体_GB2312" w:eastAsia="楷体_GB2312" w:cs="楷体_GB2312"/>
          <w:color w:val="000000" w:themeColor="text1"/>
          <w:sz w:val="20"/>
          <w:szCs w:val="20"/>
          <w14:textFill>
            <w14:solidFill>
              <w14:schemeClr w14:val="tx1"/>
            </w14:solidFill>
          </w14:textFill>
        </w:rPr>
        <w:t>通过代销机构渠道购买</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产品的，</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本金</w:t>
      </w:r>
      <w:r>
        <w:rPr>
          <w:rFonts w:hint="eastAsia" w:ascii="楷体_GB2312" w:eastAsia="楷体_GB2312" w:cs="楷体_GB2312"/>
          <w:color w:val="000000" w:themeColor="text1"/>
          <w:sz w:val="20"/>
          <w:szCs w:val="20"/>
          <w14:textFill>
            <w14:solidFill>
              <w14:schemeClr w14:val="tx1"/>
            </w14:solidFill>
          </w14:textFill>
        </w:rPr>
        <w:t>划转至</w:t>
      </w:r>
      <w:r>
        <w:rPr>
          <w:rFonts w:ascii="楷体_GB2312" w:eastAsia="楷体_GB2312" w:cs="楷体_GB2312"/>
          <w:color w:val="000000" w:themeColor="text1"/>
          <w:sz w:val="20"/>
          <w:szCs w:val="20"/>
          <w14:textFill>
            <w14:solidFill>
              <w14:schemeClr w14:val="tx1"/>
            </w14:solidFill>
          </w14:textFill>
        </w:rPr>
        <w:t>投资者账户的时间以代销机构</w:t>
      </w:r>
      <w:r>
        <w:rPr>
          <w:rFonts w:hint="eastAsia" w:ascii="楷体_GB2312" w:eastAsia="楷体_GB2312" w:cs="楷体_GB2312"/>
          <w:color w:val="000000" w:themeColor="text1"/>
          <w:sz w:val="20"/>
          <w:szCs w:val="20"/>
          <w14:textFill>
            <w14:solidFill>
              <w14:schemeClr w14:val="tx1"/>
            </w14:solidFill>
          </w14:textFill>
        </w:rPr>
        <w:t>清算</w:t>
      </w:r>
      <w:r>
        <w:rPr>
          <w:rFonts w:ascii="楷体_GB2312" w:eastAsia="楷体_GB2312" w:cs="楷体_GB2312"/>
          <w:color w:val="000000" w:themeColor="text1"/>
          <w:sz w:val="20"/>
          <w:szCs w:val="20"/>
          <w14:textFill>
            <w14:solidFill>
              <w14:schemeClr w14:val="tx1"/>
            </w14:solidFill>
          </w14:textFill>
        </w:rPr>
        <w:t>时间为准。</w:t>
      </w:r>
    </w:p>
    <w:p w14:paraId="24DC171A">
      <w:pPr>
        <w:snapToGrid w:val="0"/>
        <w:ind w:left="-2" w:leftChars="-1" w:right="53" w:rightChars="22"/>
        <w:rPr>
          <w:color w:val="000000" w:themeColor="text1"/>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7582A71E">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十一、产品的提前终止</w:t>
      </w:r>
    </w:p>
    <w:p w14:paraId="40D67254">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1．</w:t>
      </w:r>
      <w:r>
        <w:rPr>
          <w:rFonts w:hint="eastAsia" w:ascii="楷体_GB2312" w:eastAsia="楷体_GB2312" w:cs="楷体_GB2312"/>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（1）遇不可</w:t>
      </w:r>
      <w:r>
        <w:rPr>
          <w:rFonts w:ascii="楷体_GB2312" w:eastAsia="楷体_GB2312" w:cs="楷体_GB2312"/>
          <w:color w:val="000000"/>
          <w:sz w:val="20"/>
          <w:szCs w:val="20"/>
        </w:rPr>
        <w:t>抗力事件</w:t>
      </w:r>
      <w:r>
        <w:rPr>
          <w:rFonts w:hint="eastAsia" w:ascii="楷体_GB2312" w:eastAsia="楷体_GB2312" w:cs="楷体_GB2312"/>
          <w:color w:val="000000"/>
          <w:sz w:val="20"/>
          <w:szCs w:val="20"/>
        </w:rPr>
        <w:t>、</w:t>
      </w:r>
      <w:r>
        <w:rPr>
          <w:rFonts w:ascii="楷体_GB2312" w:eastAsia="楷体_GB2312" w:cs="楷体_GB2312"/>
          <w:color w:val="000000"/>
          <w:sz w:val="20"/>
          <w:szCs w:val="20"/>
        </w:rPr>
        <w:t>法律法规</w:t>
      </w:r>
      <w:r>
        <w:rPr>
          <w:rFonts w:hint="eastAsia" w:ascii="楷体_GB2312" w:eastAsia="楷体_GB2312" w:cs="楷体_GB2312"/>
          <w:color w:val="000000"/>
          <w:sz w:val="20"/>
          <w:szCs w:val="20"/>
        </w:rPr>
        <w:t>规定、</w:t>
      </w:r>
      <w:r>
        <w:rPr>
          <w:rFonts w:ascii="楷体_GB2312" w:eastAsia="楷体_GB2312" w:cs="楷体_GB2312"/>
          <w:color w:val="000000"/>
          <w:sz w:val="20"/>
          <w:szCs w:val="20"/>
        </w:rPr>
        <w:t>国家有权机关强制要求等原因导致理财产品无法继续存续</w:t>
      </w:r>
      <w:r>
        <w:rPr>
          <w:rFonts w:hint="eastAsia" w:ascii="楷体_GB2312" w:eastAsia="楷体_GB2312" w:cs="楷体_GB2312"/>
          <w:color w:val="000000"/>
          <w:sz w:val="20"/>
          <w:szCs w:val="20"/>
        </w:rPr>
        <w:t>的；</w:t>
      </w:r>
    </w:p>
    <w:p w14:paraId="7011ECB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（2）遇国家金融政策出现重大调整，或本产品所投资资产市场价格大幅下滑，或信银理财认为将</w:t>
      </w:r>
      <w:r>
        <w:rPr>
          <w:rFonts w:ascii="楷体_GB2312" w:eastAsia="楷体_GB2312" w:cs="楷体_GB2312"/>
          <w:color w:val="000000"/>
          <w:sz w:val="20"/>
          <w:szCs w:val="20"/>
        </w:rPr>
        <w:t>影响理财产品正常运作</w:t>
      </w:r>
      <w:r>
        <w:rPr>
          <w:rFonts w:hint="eastAsia" w:ascii="楷体_GB2312" w:eastAsia="楷体_GB2312" w:cs="楷体_GB2312"/>
          <w:color w:val="000000"/>
          <w:sz w:val="20"/>
          <w:szCs w:val="20"/>
        </w:rPr>
        <w:t>、需要提前终止本产品的其他情形的；</w:t>
      </w:r>
    </w:p>
    <w:p w14:paraId="325B06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（3）本产品所投资资产的信用状况发生恶化，信银理财合理判断可能影响到期正常兑付时；</w:t>
      </w:r>
    </w:p>
    <w:p w14:paraId="2517BBD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（7）提前终止产品比维持产品运作更有利于保护产品持有人的权益；</w:t>
      </w:r>
    </w:p>
    <w:p w14:paraId="5FD66643">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（8）法律法规规定或监管部门认定的其他情形。</w:t>
      </w:r>
    </w:p>
    <w:p w14:paraId="23DB911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w:t>
      </w:r>
      <w:r>
        <w:rPr>
          <w:rFonts w:ascii="楷体_GB2312" w:eastAsia="楷体_GB2312" w:cs="楷体_GB2312"/>
          <w:color w:val="000000"/>
          <w:sz w:val="20"/>
          <w:szCs w:val="20"/>
        </w:rPr>
        <w:t>．</w:t>
      </w:r>
      <w:r>
        <w:rPr>
          <w:rFonts w:hint="eastAsia" w:ascii="楷体_GB2312" w:eastAsia="楷体_GB2312" w:cs="楷体_GB2312"/>
          <w:color w:val="000000"/>
          <w:sz w:val="20"/>
          <w:szCs w:val="20"/>
        </w:rPr>
        <w:t>如果信银理财提前终止本理财产品，信银理财将于提前终止日前【2】个工作日通知投资者，并在提前终止日后【5】个工作日内支付投资者应得</w:t>
      </w:r>
      <w:r>
        <w:rPr>
          <w:rFonts w:ascii="楷体_GB2312" w:eastAsia="楷体_GB2312" w:cs="楷体_GB2312"/>
          <w:color w:val="000000"/>
          <w:sz w:val="20"/>
          <w:szCs w:val="20"/>
        </w:rPr>
        <w:t>资金</w:t>
      </w:r>
      <w:r>
        <w:rPr>
          <w:rFonts w:hint="eastAsia" w:ascii="楷体_GB2312" w:eastAsia="楷体_GB2312" w:cs="楷体_GB2312"/>
          <w:color w:val="000000"/>
          <w:sz w:val="20"/>
          <w:szCs w:val="20"/>
        </w:rPr>
        <w:t>。投资者通过</w:t>
      </w:r>
      <w:r>
        <w:rPr>
          <w:rFonts w:ascii="楷体_GB2312" w:eastAsia="楷体_GB2312" w:cs="楷体_GB2312"/>
          <w:color w:val="000000"/>
          <w:sz w:val="20"/>
          <w:szCs w:val="20"/>
        </w:rPr>
        <w:t>代销机构购买本理财产品的</w:t>
      </w:r>
      <w:r>
        <w:rPr>
          <w:rFonts w:hint="eastAsia" w:ascii="楷体_GB2312" w:eastAsia="楷体_GB2312" w:cs="楷体_GB2312"/>
          <w:color w:val="000000"/>
          <w:sz w:val="20"/>
          <w:szCs w:val="20"/>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w:t>
      </w:r>
      <w:r>
        <w:rPr>
          <w:rFonts w:ascii="楷体_GB2312" w:eastAsia="楷体_GB2312" w:cs="楷体_GB2312"/>
          <w:color w:val="000000"/>
          <w:sz w:val="20"/>
          <w:szCs w:val="20"/>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eastAsia="楷体_GB2312" w:cs="楷体_GB2312"/>
          <w:color w:val="000000"/>
          <w:sz w:val="20"/>
          <w:szCs w:val="20"/>
        </w:rPr>
      </w:pPr>
    </w:p>
    <w:p w14:paraId="001E63B7">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十二、产品的延期清算</w:t>
      </w:r>
    </w:p>
    <w:p w14:paraId="6D0591B2">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hAnsi="Times New Roman" w:eastAsia="楷体_GB2312" w:cs="楷体_GB2312"/>
          <w:color w:val="000000" w:themeColor="text1"/>
          <w:sz w:val="20"/>
          <w:szCs w:val="20"/>
          <w14:textFill>
            <w14:solidFill>
              <w14:schemeClr w14:val="tx1"/>
            </w14:solidFill>
          </w14:textFill>
        </w:rPr>
      </w:pPr>
    </w:p>
    <w:p w14:paraId="0782545B">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十三、产品管理人与投资者权利义务</w:t>
      </w:r>
    </w:p>
    <w:p w14:paraId="45CF0B5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14:paraId="3351CF72">
      <w:pPr>
        <w:snapToGrid w:val="0"/>
        <w:ind w:right="53" w:rightChars="22" w:firstLine="428" w:firstLineChars="213"/>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14:paraId="19A18BD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14:paraId="7085C45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14:paraId="7A2827A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14:paraId="777AF03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14:paraId="1A9A2C09">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14:paraId="2793902D">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14:paraId="675D344A">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14:paraId="21D1EF66">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14:paraId="42C0B570">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32EA114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7F6A09A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14:paraId="1CFE977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14:paraId="1D3314DF">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left="402" w:right="29" w:rightChars="12" w:hanging="402" w:hangingChars="200"/>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2ACD857F">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十四、保密</w:t>
      </w:r>
      <w:r>
        <w:rPr>
          <w:rFonts w:ascii="黑体" w:eastAsia="黑体" w:cs="黑体"/>
          <w:b/>
          <w:color w:val="000000" w:themeColor="text1"/>
          <w:sz w:val="20"/>
          <w:szCs w:val="20"/>
          <w14:textFill>
            <w14:solidFill>
              <w14:schemeClr w14:val="tx1"/>
            </w14:solidFill>
          </w14:textFill>
        </w:rPr>
        <w:t>条款</w:t>
      </w:r>
    </w:p>
    <w:p w14:paraId="0263DDBD">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3．根据监管机构要求，管理人（特指除本理财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5867CDC8">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sz w:val="20"/>
          <w:szCs w:val="20"/>
          <w:highlight w:val="none"/>
        </w:rPr>
        <w:t>4.</w:t>
      </w:r>
      <w:r>
        <w:rPr>
          <w:highlight w:val="none"/>
        </w:rPr>
        <w:t xml:space="preserve"> </w:t>
      </w:r>
      <w:r>
        <w:rPr>
          <w:rFonts w:hint="eastAsia" w:ascii="Times New Roman" w:hAnsi="Times New Roman" w:eastAsia="楷体_GB2312" w:cs="楷体_GB2312"/>
          <w:b/>
          <w:sz w:val="20"/>
          <w:szCs w:val="20"/>
          <w:highlight w:val="none"/>
        </w:rPr>
        <w:t>投资者同意并授权信银理财向【</w:t>
      </w:r>
      <w:r>
        <w:rPr>
          <w:rFonts w:hint="eastAsia" w:ascii="Times New Roman" w:hAnsi="Times New Roman" w:eastAsia="楷体_GB2312" w:cs="楷体_GB2312"/>
          <w:b/>
          <w:sz w:val="20"/>
          <w:szCs w:val="20"/>
          <w:highlight w:val="none"/>
          <w:lang w:val="en-US" w:eastAsia="zh-CN"/>
        </w:rPr>
        <w:t>浙江省慈善联合总会</w:t>
      </w:r>
      <w:r>
        <w:rPr>
          <w:rFonts w:hint="eastAsia" w:ascii="Times New Roman" w:hAnsi="Times New Roman" w:eastAsia="楷体_GB2312" w:cs="楷体_GB2312"/>
          <w:b/>
          <w:sz w:val="20"/>
          <w:szCs w:val="20"/>
          <w:highlight w:val="none"/>
        </w:rPr>
        <w:t>】提供【投资者姓名、身份证号、持有的理财产品份额、手机号码、邮箱地址】等信息仅用于开具捐赠证明或捐赠票据。</w:t>
      </w:r>
    </w:p>
    <w:p w14:paraId="78906FC4">
      <w:pPr>
        <w:spacing w:line="300" w:lineRule="exact"/>
        <w:ind w:left="2" w:right="29" w:rightChars="12" w:firstLine="282" w:firstLineChars="141"/>
        <w:rPr>
          <w:rFonts w:ascii="Times New Roman" w:hAnsi="Times New Roman" w:eastAsia="楷体_GB2312" w:cs="楷体_GB2312"/>
          <w:color w:val="000000" w:themeColor="text1"/>
          <w:sz w:val="20"/>
          <w:szCs w:val="20"/>
          <w:highlight w:val="none"/>
          <w14:textFill>
            <w14:solidFill>
              <w14:schemeClr w14:val="tx1"/>
            </w14:solidFill>
          </w14:textFill>
        </w:rPr>
      </w:pPr>
    </w:p>
    <w:p w14:paraId="1F461DD7">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十五、特别提示</w:t>
      </w:r>
    </w:p>
    <w:p w14:paraId="0293E191">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3F3FBC90">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14:paraId="450D0CF7">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14:paraId="7618DAD9">
      <w:pPr>
        <w:spacing w:line="300" w:lineRule="exact"/>
        <w:ind w:left="-2" w:firstLine="402" w:firstLineChars="200"/>
        <w:jc w:val="both"/>
        <w:rPr>
          <w:rFonts w:ascii="楷体_GB2312" w:eastAsia="楷体_GB2312"/>
          <w:sz w:val="20"/>
          <w:szCs w:val="20"/>
          <w:highlight w:val="none"/>
        </w:rPr>
      </w:pPr>
      <w:r>
        <w:rPr>
          <w:rFonts w:ascii="楷体_GB2312" w:eastAsia="楷体_GB2312"/>
          <w:b/>
          <w:bCs/>
          <w:sz w:val="20"/>
          <w:szCs w:val="20"/>
          <w:highlight w:val="none"/>
        </w:rPr>
        <w:t>6.</w:t>
      </w:r>
      <w:r>
        <w:rPr>
          <w:b/>
          <w:bCs/>
          <w:highlight w:val="none"/>
        </w:rPr>
        <w:t xml:space="preserve"> </w:t>
      </w:r>
      <w:r>
        <w:rPr>
          <w:rFonts w:hint="eastAsia" w:ascii="楷体_GB2312" w:eastAsia="楷体_GB2312"/>
          <w:b/>
          <w:sz w:val="20"/>
          <w:szCs w:val="20"/>
          <w:highlight w:val="none"/>
        </w:rPr>
        <w:t>投资者同意并授权信银理财向【</w:t>
      </w:r>
      <w:r>
        <w:rPr>
          <w:rFonts w:hint="eastAsia" w:ascii="楷体_GB2312" w:eastAsia="楷体_GB2312"/>
          <w:b/>
          <w:sz w:val="20"/>
          <w:szCs w:val="20"/>
          <w:highlight w:val="none"/>
          <w:lang w:val="en-US" w:eastAsia="zh-CN"/>
        </w:rPr>
        <w:t>浙江省慈善联合总会</w:t>
      </w:r>
      <w:r>
        <w:rPr>
          <w:rFonts w:hint="eastAsia" w:ascii="楷体_GB2312" w:eastAsia="楷体_GB2312"/>
          <w:b/>
          <w:sz w:val="20"/>
          <w:szCs w:val="20"/>
          <w:highlight w:val="none"/>
        </w:rPr>
        <w:t>】提供【投资者姓名、身份证号、持有的理财产品份额、手机号码、邮箱地址】等信息仅用于开具捐赠证明或捐赠票据。投资者可通过本说明书约定的捐赠证明获取途径提交捐赠证明开立申请，请投资者及时关注</w:t>
      </w:r>
      <w:r>
        <w:rPr>
          <w:rFonts w:hint="eastAsia" w:ascii="楷体_GB2312" w:eastAsia="楷体_GB2312"/>
          <w:sz w:val="20"/>
          <w:szCs w:val="20"/>
          <w:highlight w:val="none"/>
        </w:rPr>
        <w:t>。</w:t>
      </w:r>
    </w:p>
    <w:p w14:paraId="19A07B4E">
      <w:pPr>
        <w:spacing w:line="300" w:lineRule="exact"/>
        <w:ind w:left="-2" w:firstLine="402" w:firstLineChars="200"/>
        <w:jc w:val="both"/>
        <w:rPr>
          <w:rFonts w:ascii="楷体_GB2312" w:eastAsia="楷体_GB2312"/>
          <w:sz w:val="20"/>
          <w:szCs w:val="20"/>
          <w:highlight w:val="none"/>
        </w:rPr>
      </w:pPr>
      <w:r>
        <w:rPr>
          <w:rFonts w:ascii="楷体_GB2312" w:eastAsia="楷体_GB2312"/>
          <w:b/>
          <w:color w:val="000000" w:themeColor="text1"/>
          <w:sz w:val="20"/>
          <w:szCs w:val="20"/>
          <w:highlight w:val="none"/>
          <w14:textFill>
            <w14:solidFill>
              <w14:schemeClr w14:val="tx1"/>
            </w14:solidFill>
          </w14:textFill>
        </w:rPr>
        <w:t xml:space="preserve">7.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06F94957">
      <w:pPr>
        <w:spacing w:line="300" w:lineRule="exact"/>
        <w:ind w:left="-2" w:firstLine="402" w:firstLineChars="200"/>
        <w:jc w:val="both"/>
        <w:rPr>
          <w:rFonts w:ascii="楷体_GB2312" w:eastAsia="楷体_GB2312"/>
          <w:sz w:val="20"/>
          <w:szCs w:val="20"/>
        </w:rPr>
      </w:pPr>
      <w:r>
        <w:rPr>
          <w:rFonts w:ascii="楷体_GB2312" w:eastAsia="楷体_GB2312"/>
          <w:b/>
          <w:bCs/>
          <w:sz w:val="20"/>
          <w:szCs w:val="20"/>
        </w:rPr>
        <w:t>8.信银理财有权依法对本产品说明书进行</w:t>
      </w:r>
      <w:r>
        <w:rPr>
          <w:rFonts w:hint="eastAsia" w:ascii="楷体_GB2312" w:eastAsia="楷体_GB2312"/>
          <w:b/>
          <w:bCs/>
          <w:sz w:val="20"/>
          <w:szCs w:val="20"/>
        </w:rPr>
        <w:t>解释</w:t>
      </w:r>
      <w:r>
        <w:rPr>
          <w:rFonts w:ascii="楷体_GB2312" w:eastAsia="楷体_GB2312"/>
          <w:b/>
          <w:bCs/>
          <w:sz w:val="20"/>
          <w:szCs w:val="20"/>
        </w:rPr>
        <w:t>。</w:t>
      </w:r>
    </w:p>
    <w:p w14:paraId="74B97BA4">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F9F4230">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十六、违约责任</w:t>
      </w:r>
    </w:p>
    <w:p w14:paraId="0FE10543">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14:paraId="515352ED">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7319308">
      <w:pPr>
        <w:spacing w:line="300" w:lineRule="exact"/>
        <w:ind w:left="402" w:right="29" w:rightChars="12" w:hanging="402" w:hangingChars="20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5E4B27E8">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十八、本说明书的生效与终止</w:t>
      </w:r>
    </w:p>
    <w:p w14:paraId="5F5DFE30">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w:t>
      </w:r>
      <w:r>
        <w:rPr>
          <w:rFonts w:hint="eastAsia" w:ascii="楷体_GB2312" w:eastAsia="楷体_GB2312"/>
          <w:color w:val="000000" w:themeColor="text1"/>
          <w:sz w:val="20"/>
          <w:szCs w:val="20"/>
          <w14:textFill>
            <w14:solidFill>
              <w14:schemeClr w14:val="tx1"/>
            </w14:solidFill>
          </w14:textFill>
        </w:rPr>
        <w:t>营业</w:t>
      </w:r>
      <w:r>
        <w:rPr>
          <w:rFonts w:ascii="楷体_GB2312" w:eastAsia="楷体_GB2312"/>
          <w:color w:val="000000" w:themeColor="text1"/>
          <w:sz w:val="20"/>
          <w:szCs w:val="20"/>
          <w14:textFill>
            <w14:solidFill>
              <w14:schemeClr w14:val="tx1"/>
            </w14:solidFill>
          </w14:textFill>
        </w:rPr>
        <w:t>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14:paraId="5377648D">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14:paraId="67BD9647">
      <w:pPr>
        <w:pStyle w:val="19"/>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14:paraId="0C94B904">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十九、争议解决</w:t>
      </w:r>
    </w:p>
    <w:p w14:paraId="53FC01F4">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7FFDA4E7">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p>
    <w:p w14:paraId="7F9BE105">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7438E816">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14:paraId="02C242E4">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p>
    <w:p w14:paraId="6A77407E">
      <w:pPr>
        <w:spacing w:before="100" w:beforeAutospacing="1" w:after="100" w:afterAutospacing="1"/>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u w:val="single"/>
          <w14:textFill>
            <w14:solidFill>
              <w14:schemeClr w14:val="tx1"/>
            </w14:solidFill>
          </w14:textFill>
        </w:rPr>
        <w:t>                                       </w:t>
      </w:r>
    </w:p>
    <w:p w14:paraId="59071E3C">
      <w:pPr>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14:paraId="1CBB1673">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36531B80">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14:paraId="12D9C461">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14:paraId="590A09A4">
      <w:pPr>
        <w:ind w:left="4440" w:right="440" w:hanging="4440" w:hangingChars="1850"/>
        <w:rPr>
          <w:rFonts w:ascii="Arial" w:hAnsi="Arial"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14:paraId="77FB3896">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DF61205">
      <w:pPr>
        <w:ind w:right="-902" w:rightChars="-376"/>
        <w:rPr>
          <w:rFonts w:ascii="黑体" w:hAnsi="Times New Roman" w:eastAsia="黑体"/>
          <w:color w:val="000000" w:themeColor="text1"/>
          <w14:textFill>
            <w14:solidFill>
              <w14:schemeClr w14:val="tx1"/>
            </w14:solidFill>
          </w14:textFill>
        </w:rPr>
      </w:pPr>
    </w:p>
    <w:p w14:paraId="268B66FA">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机构客户（公章）：</w:t>
      </w:r>
      <w:r>
        <w:rPr>
          <w:rFonts w:ascii="黑体" w:hAnsi="Times New Roman" w:eastAsia="黑体"/>
          <w:color w:val="000000" w:themeColor="text1"/>
          <w14:textFill>
            <w14:solidFill>
              <w14:schemeClr w14:val="tx1"/>
            </w14:solidFill>
          </w14:textFill>
        </w:rPr>
        <w:t xml:space="preserve">                    </w:t>
      </w:r>
    </w:p>
    <w:p w14:paraId="7BC033DC">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0771BA6F">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14:paraId="58BC0A8A">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CB3F808">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14:paraId="615BD310">
      <w:pPr>
        <w:snapToGrid w:val="0"/>
        <w:ind w:right="53" w:rightChars="22"/>
        <w:outlineLvl w:val="0"/>
      </w:pPr>
    </w:p>
    <w:p w14:paraId="453C017E">
      <w:pPr>
        <w:snapToGrid w:val="0"/>
        <w:ind w:right="53" w:rightChars="22"/>
        <w:outlineLvl w:val="0"/>
      </w:pPr>
    </w:p>
    <w:p w14:paraId="18F5FA32">
      <w:pPr>
        <w:snapToGrid w:val="0"/>
        <w:ind w:right="53" w:rightChars="22"/>
        <w:outlineLvl w:val="0"/>
      </w:pP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2">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41837C58"/>
    <w:multiLevelType w:val="multilevel"/>
    <w:tmpl w:val="41837C58"/>
    <w:lvl w:ilvl="0" w:tentative="0">
      <w:start w:val="7"/>
      <w:numFmt w:val="japaneseCounting"/>
      <w:lvlText w:val="%1、"/>
      <w:lvlJc w:val="left"/>
      <w:pPr>
        <w:ind w:left="390" w:hanging="390"/>
      </w:pPr>
      <w:rPr>
        <w:rFonts w:hint="default"/>
      </w:rPr>
    </w:lvl>
    <w:lvl w:ilvl="1" w:tentative="0">
      <w:start w:val="2"/>
      <w:numFmt w:val="japaneseCounting"/>
      <w:lvlText w:val="（%2）"/>
      <w:lvlJc w:val="left"/>
      <w:pPr>
        <w:ind w:left="1140" w:hanging="720"/>
      </w:pPr>
      <w:rPr>
        <w:rFonts w:hint="default" w:ascii="黑体" w:hAnsi="Times New Roman" w:eastAsia="黑体" w:cs="黑体"/>
        <w:sz w:val="2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3EE7760"/>
    <w:rsid w:val="240A6D6E"/>
    <w:rsid w:val="241271C7"/>
    <w:rsid w:val="242E740A"/>
    <w:rsid w:val="25C7594C"/>
    <w:rsid w:val="27DB7970"/>
    <w:rsid w:val="27EA4793"/>
    <w:rsid w:val="28BA18FC"/>
    <w:rsid w:val="2B8E7BE2"/>
    <w:rsid w:val="2C7FFEAE"/>
    <w:rsid w:val="2CA62F2E"/>
    <w:rsid w:val="2DB57BEF"/>
    <w:rsid w:val="2F9F3A70"/>
    <w:rsid w:val="31527EED"/>
    <w:rsid w:val="317C617F"/>
    <w:rsid w:val="3555547B"/>
    <w:rsid w:val="35814F3A"/>
    <w:rsid w:val="36200A61"/>
    <w:rsid w:val="36C344B8"/>
    <w:rsid w:val="37085D5E"/>
    <w:rsid w:val="375E0BAF"/>
    <w:rsid w:val="37BD6F93"/>
    <w:rsid w:val="38126ED3"/>
    <w:rsid w:val="38AA320E"/>
    <w:rsid w:val="3AD774B7"/>
    <w:rsid w:val="3B5A0EDF"/>
    <w:rsid w:val="3ED41958"/>
    <w:rsid w:val="43BF748C"/>
    <w:rsid w:val="44193E1A"/>
    <w:rsid w:val="44A01663"/>
    <w:rsid w:val="46896EAF"/>
    <w:rsid w:val="477E1AE8"/>
    <w:rsid w:val="4A097F8F"/>
    <w:rsid w:val="4A684CC3"/>
    <w:rsid w:val="4B7F0E9E"/>
    <w:rsid w:val="4DED180A"/>
    <w:rsid w:val="50A5550E"/>
    <w:rsid w:val="54AF1C27"/>
    <w:rsid w:val="54F974BE"/>
    <w:rsid w:val="566F721C"/>
    <w:rsid w:val="5744470A"/>
    <w:rsid w:val="57ED7804"/>
    <w:rsid w:val="57EFD92C"/>
    <w:rsid w:val="58671BA0"/>
    <w:rsid w:val="587641EB"/>
    <w:rsid w:val="598A78EB"/>
    <w:rsid w:val="5A032C9A"/>
    <w:rsid w:val="5A380F0B"/>
    <w:rsid w:val="5CED0575"/>
    <w:rsid w:val="5FE40CB2"/>
    <w:rsid w:val="5FF5EC4B"/>
    <w:rsid w:val="60884B3D"/>
    <w:rsid w:val="60977546"/>
    <w:rsid w:val="62DD554A"/>
    <w:rsid w:val="6499029E"/>
    <w:rsid w:val="650B63FE"/>
    <w:rsid w:val="65E43670"/>
    <w:rsid w:val="66AC290C"/>
    <w:rsid w:val="67A2A190"/>
    <w:rsid w:val="682B5744"/>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41</Pages>
  <Words>39832</Words>
  <Characters>47406</Characters>
  <Lines>201</Lines>
  <Paragraphs>56</Paragraphs>
  <TotalTime>83</TotalTime>
  <ScaleCrop>false</ScaleCrop>
  <LinksUpToDate>false</LinksUpToDate>
  <CharactersWithSpaces>47579</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2025-12-11T09:54:33Z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