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352FCF">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352FCF">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352FCF">
      <w:pPr>
        <w:spacing w:line="360" w:lineRule="auto"/>
        <w:rPr>
          <w:rFonts w:ascii="新宋体" w:eastAsia="新宋体" w:hAnsi="新宋体" w:cs="宋体" w:hint="eastAsia"/>
          <w:b/>
          <w:kern w:val="0"/>
          <w:szCs w:val="21"/>
        </w:rPr>
      </w:pPr>
    </w:p>
    <w:p w:rsidR="00352FCF">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352FCF">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352FCF">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352FCF">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352FCF">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352FCF">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352FCF">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352FCF">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352FCF">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352FCF">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352FCF">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352FCF">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352FCF">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352FCF">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352FCF">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352FCF">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352FCF">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352FCF">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352FCF">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352FCF">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783"/>
        <w:gridCol w:w="7523"/>
      </w:tblGrid>
      <w:tr>
        <w:tblPrEx>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306" w:type="dxa"/>
            <w:gridSpan w:val="2"/>
            <w:vAlign w:val="center"/>
          </w:tcPr>
          <w:p w:rsidR="00352FCF">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352FCF">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352FCF">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青银理财璀璨人生成就系列人民币理财计划2026年046期</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rPr>
              <w:t>青银理财成就系列（低波共享）2026年046期</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rPr>
              <w:t>CCCJGX26046</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352FCF">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352FCF">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352FCF">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352FCF">
            <w:pPr>
              <w:spacing w:line="360" w:lineRule="auto"/>
              <w:rPr>
                <w:rFonts w:ascii="新宋体" w:eastAsia="新宋体" w:hAnsi="新宋体"/>
              </w:rPr>
            </w:pPr>
            <w:r>
              <w:rPr>
                <w:rFonts w:ascii="新宋体" w:eastAsia="新宋体" w:hAnsi="新宋体" w:hint="eastAsia"/>
              </w:rPr>
              <w:t>A份额，销售代码【CCCJGX26046A】，销售名称：青银理财成就系列（低波共享）2026年046期A份额,销售对象【青岛银行及各销售服务渠道机构客户，具体客户类型以销售机构规定为准】</w:t>
              <w:br/>
              <w:t>B份额，销售代码【CCCJGX26046B】，销售名称：青银理财成就系列（低波共享）2026年046期B份额,销售对象【大连银行及各销售服务渠道机构客户，具体客户类型以销售机构规定为准】</w:t>
              <w:br/>
              <w:t>C份额，销售代码【CCCJGX26046C】，销售名称：青银理财成就系列（低波共享）2026年046期C份额,销售对象【蒙商银行及各销售服务渠道机构客户，具体客户类型以销售机构规定为准】</w:t>
            </w:r>
          </w:p>
          <w:p w:rsidR="00352FCF">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hint="eastAsia"/>
              </w:rPr>
              <w:t>Z7003526000064，可通过中国理财网（http://www.chinawealth.com.cn）查询</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hint="eastAsia"/>
              </w:rPr>
              <w:t>人民币</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hint="eastAsia"/>
              </w:rPr>
              <w:t>封闭式</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hint="eastAsia"/>
              </w:rPr>
              <w:t>公募发行</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352FCF">
            <w:pPr>
              <w:spacing w:line="360" w:lineRule="auto"/>
              <w:rPr>
                <w:rFonts w:ascii="新宋体" w:eastAsia="新宋体" w:hAnsi="新宋体"/>
              </w:rPr>
            </w:pPr>
            <w:r>
              <w:rPr>
                <w:rFonts w:ascii="新宋体" w:eastAsia="新宋体" w:hAnsi="新宋体"/>
              </w:rPr>
              <w:t>2026年02月05日</w:t>
            </w:r>
            <w:r>
              <w:rPr>
                <w:rFonts w:ascii="新宋体" w:eastAsia="新宋体" w:hAnsi="新宋体" w:hint="eastAsia"/>
              </w:rPr>
              <w:t xml:space="preserve"> 9:00至</w:t>
            </w:r>
            <w:r>
              <w:rPr>
                <w:rFonts w:ascii="新宋体" w:eastAsia="新宋体" w:hAnsi="新宋体"/>
              </w:rPr>
              <w:t>2026年02月11日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352FCF">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352FCF">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rPr>
              <w:t>2026年02月12日</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rPr>
              <w:t>2026年05月21日</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rPr>
              <w:t>98</w:t>
            </w:r>
            <w:r>
              <w:rPr>
                <w:rFonts w:ascii="新宋体" w:eastAsia="新宋体" w:hAnsi="新宋体" w:hint="eastAsia"/>
              </w:rPr>
              <w:t>天</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hint="eastAsia"/>
              </w:rPr>
              <w:t>A份额规模上限200000万，规模下限1万</w:t>
              <w:br/>
              <w:t>B份额规模上限200000万，规模下限1万</w:t>
              <w:br/>
              <w:t>C份额规模上限200000万，规模下限1万</w:t>
            </w:r>
          </w:p>
          <w:p w:rsidR="00352FCF">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352FCF">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352FCF">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352FCF">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352FCF">
            <w:pPr>
              <w:spacing w:line="360" w:lineRule="auto"/>
              <w:rPr>
                <w:rFonts w:ascii="新宋体" w:eastAsia="新宋体" w:hAnsi="新宋体"/>
              </w:rPr>
            </w:pPr>
            <w:r>
              <w:rPr>
                <w:rFonts w:ascii="新宋体" w:eastAsia="新宋体" w:hAnsi="新宋体" w:hint="eastAsia"/>
                <w:szCs w:val="21"/>
              </w:rPr>
              <w:t>A份额销售渠道为青岛银行及各销售服务渠道机构客户，具体客户类型以销售机构规定为准，B份额销售渠道为大连银行及各销售服务渠道机构客户，具体客户类型以销售机构规定为准，C份额销售渠道为蒙商银行及各销售服务渠道机构客户，具体客户类型以销售机构规定为准（</w:t>
            </w:r>
            <w:r>
              <w:rPr>
                <w:rFonts w:ascii="黑体" w:eastAsia="黑体" w:hAnsi="黑体" w:hint="eastAsia"/>
                <w:b/>
                <w:bCs/>
                <w:szCs w:val="21"/>
              </w:rPr>
              <w:t>可购投资者以销售机构认定为准</w:t>
            </w:r>
            <w:r>
              <w:rPr>
                <w:rFonts w:ascii="新宋体" w:eastAsia="新宋体" w:hAnsi="新宋体" w:hint="eastAsia"/>
                <w:szCs w:val="21"/>
              </w:rPr>
              <w:t>）</w:t>
            </w:r>
          </w:p>
          <w:p w:rsidR="00352FCF">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352FCF">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szCs w:val="21"/>
              </w:rPr>
            </w:pPr>
            <w:r>
              <w:rPr>
                <w:rFonts w:ascii="新宋体" w:eastAsia="新宋体" w:hAnsi="新宋体" w:hint="eastAsia"/>
                <w:szCs w:val="21"/>
              </w:rPr>
              <w:t>单一投资者</w:t>
            </w:r>
          </w:p>
          <w:p w:rsidR="00352FCF">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352FCF">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352FCF">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szCs w:val="21"/>
              </w:rPr>
            </w:pPr>
            <w:r>
              <w:rPr>
                <w:rFonts w:ascii="新宋体" w:eastAsia="新宋体" w:hAnsi="新宋体" w:hint="eastAsia"/>
                <w:szCs w:val="21"/>
              </w:rPr>
              <w:t>最大投资金额</w:t>
            </w:r>
          </w:p>
        </w:tc>
        <w:tc>
          <w:tcPr>
            <w:tcW w:w="7523" w:type="dxa"/>
            <w:vAlign w:val="center"/>
          </w:tcPr>
          <w:p w:rsidR="00352FCF">
            <w:pPr>
              <w:spacing w:line="360" w:lineRule="auto"/>
              <w:jc w:val="left"/>
              <w:rPr>
                <w:rFonts w:ascii="新宋体" w:eastAsia="新宋体" w:hAnsi="新宋体"/>
                <w:szCs w:val="21"/>
              </w:rPr>
            </w:pPr>
            <w:r>
              <w:rPr>
                <w:rFonts w:ascii="新宋体" w:eastAsia="新宋体" w:hAnsi="新宋体"/>
              </w:rPr>
              <w:t>各子份额均无上限</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352FCF">
            <w:pPr>
              <w:spacing w:line="360" w:lineRule="auto"/>
              <w:rPr>
                <w:rFonts w:ascii="新宋体" w:eastAsia="新宋体" w:hAnsi="新宋体" w:hint="eastAsia"/>
                <w:b/>
              </w:rPr>
            </w:pPr>
            <w:r>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352FCF">
            <w:pPr>
              <w:spacing w:line="360" w:lineRule="auto"/>
              <w:rPr>
                <w:rFonts w:ascii="新宋体" w:eastAsia="新宋体" w:hAnsi="新宋体" w:hint="eastAsia"/>
                <w:b/>
              </w:rPr>
            </w:pPr>
            <w:r>
              <w:rPr>
                <w:rFonts w:ascii="新宋体" w:eastAsia="新宋体" w:hAnsi="新宋体" w:hint="eastAsia"/>
                <w:b/>
              </w:rPr>
              <w:t>A份额业绩比较基准为1.80%（年化）</w:t>
              <w:br/>
              <w:t>B份额业绩比较基准为1.75%（年化）</w:t>
              <w:br/>
              <w:t>C份额业绩比较基准为1.85%（年化）</w:t>
            </w:r>
          </w:p>
          <w:p w:rsidR="00352FCF">
            <w:pPr>
              <w:spacing w:line="360" w:lineRule="auto"/>
              <w:rPr>
                <w:rFonts w:ascii="新宋体" w:eastAsia="新宋体" w:hAnsi="新宋体"/>
                <w:b/>
              </w:rPr>
            </w:pPr>
            <w:r>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业绩比较基准是产品管理人基于产品性质、投资策略、过往经验等因素对产品设定的投资目标，不代表产品的未来表现和实际收益，不构成对产品收益的承诺，投资须谨慎。</w:t>
            </w:r>
          </w:p>
          <w:p w:rsidR="00352FCF">
            <w:pPr>
              <w:spacing w:line="360" w:lineRule="auto"/>
              <w:rPr>
                <w:rFonts w:ascii="新宋体" w:eastAsia="新宋体" w:hAnsi="新宋体" w:hint="eastAsia"/>
                <w:b/>
              </w:rPr>
            </w:pPr>
            <w:r>
              <w:rPr>
                <w:b/>
              </w:rPr>
              <w:t>本产品为净值型产品，业绩表现将随市场情况波动，具有不确定性。当监管政策、市场环境、产品性质等因素发生变化，导致理财产品的业绩比较基准需要调整时，产品管理人将至少于调整日之前</w:t>
            </w:r>
            <w:r>
              <w:rPr>
                <w:rFonts w:hint="eastAsia"/>
                <w:b/>
              </w:rPr>
              <w:t>2</w:t>
            </w:r>
            <w:r>
              <w:rPr>
                <w:b/>
              </w:rPr>
              <w:t>个工作日通过机构官方渠道或与投资者约定的其他渠道公布调整情况和调整原因。</w:t>
            </w:r>
          </w:p>
          <w:p w:rsidR="00352FCF">
            <w:pPr>
              <w:spacing w:line="360" w:lineRule="auto"/>
              <w:rPr>
                <w:rFonts w:ascii="新宋体" w:eastAsia="新宋体" w:hAnsi="新宋体" w:hint="eastAsia"/>
              </w:rPr>
            </w:pPr>
            <w:r>
              <w:rPr>
                <w:rFonts w:ascii="新宋体" w:eastAsia="新宋体" w:hAnsi="新宋体" w:hint="eastAsia"/>
                <w:b/>
              </w:rPr>
              <w:t>如理财投资本金及收益未按时或足额收回，则本理财计划的到期收益可能降低，最不利情形损失部分或全部本金。对于超出</w:t>
            </w:r>
            <w:r>
              <w:rPr>
                <w:rFonts w:ascii="新宋体" w:eastAsia="新宋体" w:hAnsi="新宋体" w:hint="eastAsia"/>
                <w:b/>
              </w:rPr>
              <w:t>“</w:t>
            </w:r>
            <w:r>
              <w:rPr>
                <w:rFonts w:ascii="新宋体" w:eastAsia="新宋体" w:hAnsi="新宋体" w:hint="eastAsia"/>
                <w:b/>
              </w:rPr>
              <w:t>业绩基准</w:t>
            </w:r>
            <w:r>
              <w:rPr>
                <w:rFonts w:ascii="新宋体" w:eastAsia="新宋体" w:hAnsi="新宋体" w:hint="eastAsia"/>
                <w:b/>
              </w:rPr>
              <w:t>”</w:t>
            </w:r>
            <w:r>
              <w:rPr>
                <w:rFonts w:ascii="新宋体" w:eastAsia="新宋体" w:hAnsi="新宋体" w:hint="eastAsia"/>
                <w:b/>
              </w:rPr>
              <w:t>部分的投资收益，100%作为管理人业绩报酬。</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tblPrEx>
          <w:tblW w:w="0" w:type="auto"/>
          <w:tblInd w:w="108" w:type="dxa"/>
          <w:tblLayout w:type="fixed"/>
          <w:tblLook w:val="0000"/>
        </w:tblPrEx>
        <w:trPr>
          <w:trHeight w:val="208"/>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352FCF">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A份额固定管理费率（年化）为0.30%；B份额固定管理费率（年化）为0.35%；C份额固定管理费率（年化）为0.25%</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（A份额1.80%、B份额1.75%、C份额1.85%），则超出部分</w:t>
            </w:r>
            <w:r>
              <w:rPr>
                <w:rFonts w:ascii="新宋体" w:eastAsia="新宋体" w:hAnsi="新宋体" w:hint="eastAsia"/>
              </w:rPr>
              <w:t>100%作为管理人业绩报酬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时，管理人将有权放弃计提的固定管理费，最高为已计提的全部固定管理费。</w:t>
            </w:r>
          </w:p>
        </w:tc>
      </w:tr>
      <w:tr>
        <w:tblPrEx>
          <w:tblW w:w="0" w:type="auto"/>
          <w:tblInd w:w="108" w:type="dxa"/>
          <w:tblLayout w:type="fixed"/>
          <w:tblLook w:val="0000"/>
        </w:tblPrEx>
        <w:trPr>
          <w:trHeight w:val="208"/>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352FCF">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tblPrEx>
          <w:tblW w:w="0" w:type="auto"/>
          <w:tblInd w:w="108" w:type="dxa"/>
          <w:tblLayout w:type="fixed"/>
          <w:tblLook w:val="0000"/>
        </w:tblPrEx>
        <w:trPr>
          <w:trHeight w:val="208"/>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352FCF">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tblPrEx>
          <w:tblW w:w="0" w:type="auto"/>
          <w:tblInd w:w="108" w:type="dxa"/>
          <w:tblLayout w:type="fixed"/>
          <w:tblLook w:val="0000"/>
        </w:tblPrEx>
        <w:trPr>
          <w:trHeight w:val="195"/>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352FCF">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352FCF">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W w:w="0" w:type="auto"/>
          <w:tblInd w:w="108" w:type="dxa"/>
          <w:tblLayout w:type="fixed"/>
          <w:tblLook w:val="0000"/>
        </w:tblPrEx>
        <w:trPr>
          <w:trHeight w:val="168"/>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352FCF">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tblPrEx>
          <w:tblW w:w="0" w:type="auto"/>
          <w:tblInd w:w="108" w:type="dxa"/>
          <w:tblLayout w:type="fixed"/>
          <w:tblLook w:val="0000"/>
        </w:tblPrEx>
        <w:trPr>
          <w:trHeight w:val="143"/>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352FCF">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tblPrEx>
          <w:tblW w:w="0" w:type="auto"/>
          <w:tblInd w:w="108" w:type="dxa"/>
          <w:tblLayout w:type="fixed"/>
          <w:tblLook w:val="0000"/>
        </w:tblPrEx>
        <w:trPr>
          <w:trHeight w:val="143"/>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352FCF">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352FCF">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352FCF">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352FCF">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352FCF">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352FCF">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352FCF">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352FCF">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352FCF">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352FCF">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352FCF">
            <w:pPr>
              <w:spacing w:line="360" w:lineRule="auto"/>
              <w:jc w:val="center"/>
              <w:rPr>
                <w:rFonts w:ascii="新宋体" w:eastAsia="新宋体" w:hAnsi="新宋体"/>
                <w:szCs w:val="21"/>
              </w:rPr>
            </w:pPr>
            <w:r>
              <w:rPr>
                <w:rFonts w:ascii="新宋体" w:eastAsia="新宋体" w:hAnsi="新宋体" w:hint="eastAsia"/>
                <w:szCs w:val="21"/>
              </w:rPr>
              <w:t>0-20%</w:t>
            </w:r>
          </w:p>
        </w:tc>
      </w:tr>
    </w:tbl>
    <w:p w:rsidR="00352FCF">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352FCF">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352FCF">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352FCF">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352FCF">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352FCF">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352FCF">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352FCF">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352FCF">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352FCF">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352FCF">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352FCF">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352FCF">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352FCF">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352FCF">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352FCF">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352FCF">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352FCF">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352FCF">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352FCF">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352FCF">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352FCF">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352FCF">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352FCF">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352FCF">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352FCF">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352FCF">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352FCF">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352FCF">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352FCF">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352FCF">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A份额年化费率为0.30%，B份额年化费率为0.35%，C份额年化费率为0.25%</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A份额【0.30】%，B份额【0.35】%，C份额【0.25】%</w:t>
      </w:r>
      <w:r>
        <w:rPr>
          <w:rFonts w:ascii="新宋体" w:eastAsia="新宋体" w:hAnsi="新宋体" w:cs="新宋体" w:hint="eastAsia"/>
          <w:sz w:val="21"/>
          <w:szCs w:val="21"/>
        </w:rPr>
        <w:t>年费率计提，由理财管理人收取。以A份额为例，计算方法如下：</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0.30%</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352FCF">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Pr>
          <w:rFonts w:ascii="新宋体" w:eastAsia="新宋体" w:hAnsi="新宋体" w:cs="新宋体" w:hint="eastAsia"/>
          <w:sz w:val="21"/>
          <w:szCs w:val="21"/>
        </w:rPr>
        <w:t>时，管理人将有权放弃计提的固定管理费，最高为已计提的全部固定管理费。</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本理财计划项下资产组合收益超出本理财计划业绩基准（A份额1.80%、B份额1.75%、C份额1.85%）的部分，</w:t>
      </w:r>
      <w:r>
        <w:rPr>
          <w:rFonts w:ascii="新宋体" w:eastAsia="新宋体" w:hAnsi="新宋体" w:cs="新宋体"/>
          <w:b/>
          <w:sz w:val="21"/>
          <w:szCs w:val="21"/>
        </w:rPr>
        <w:t>100%作为管理人业绩报酬</w:t>
      </w:r>
      <w:r>
        <w:rPr>
          <w:rFonts w:ascii="新宋体" w:eastAsia="新宋体" w:hAnsi="新宋体" w:cs="新宋体" w:hint="eastAsia"/>
          <w:b/>
          <w:sz w:val="21"/>
          <w:szCs w:val="21"/>
        </w:rPr>
        <w:t>。业绩基准并不代表产品实际投资收益。</w:t>
      </w:r>
    </w:p>
    <w:p w:rsidR="00352FCF">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352FCF">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352FCF">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352FCF">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352FCF">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352FCF">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352FCF">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352FCF">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352FCF">
      <w:pPr>
        <w:snapToGrid w:val="0"/>
        <w:spacing w:line="360" w:lineRule="auto"/>
        <w:ind w:firstLine="420" w:firstLineChars="200"/>
        <w:jc w:val="left"/>
        <w:rPr>
          <w:b/>
        </w:rPr>
      </w:pPr>
      <w:r>
        <w:rPr>
          <w:rFonts w:hint="eastAsia"/>
          <w:b/>
        </w:rPr>
        <w:t>（6）</w:t>
      </w:r>
      <w:r>
        <w:rPr>
          <w:b/>
        </w:rPr>
        <w:t>重大事项公告</w:t>
      </w:r>
      <w:r>
        <w:rPr>
          <w:rFonts w:hint="eastAsia"/>
          <w:b/>
        </w:rPr>
        <w:t>。</w:t>
      </w:r>
    </w:p>
    <w:p w:rsidR="00352FCF">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352FCF">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352FCF">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352FCF">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FCF">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352FC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FCF">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D87C4A">
      <w:rPr>
        <w:rStyle w:val="PageNumber"/>
        <w:noProof/>
      </w:rPr>
      <w:t>1</w:t>
    </w:r>
    <w:r>
      <w:fldChar w:fldCharType="end"/>
    </w:r>
  </w:p>
  <w:p w:rsidR="00352FCF">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stylePaneFormatFilter w:val="3F01"/>
  <w:defaultTabStop w:val="420"/>
  <w:drawingGridVerticalSpacing w:val="156"/>
  <w:noPunctuationKerning/>
  <w:characterSpacingControl w:val="compressPunctuation"/>
  <w:noLineBreaksAfter w:lang="en-US" w:val="([{·‘“〈《「『【〔〖（．［｛￡￥"/>
  <w:noLineBreaksBefore w:lang="en-US" w:val="!),.:;?]}¨·ˇˉ―‖’”…∶、。〃々〉》」』】〕〗！＂＇），．：；？］｀｜｝～￠"/>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2FCF"/>
    <w:rsid w:val="00353B39"/>
    <w:rsid w:val="003544BB"/>
    <w:rsid w:val="0035462C"/>
    <w:rsid w:val="00355154"/>
    <w:rsid w:val="00355A42"/>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47B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43"/>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87C4A"/>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1</TotalTime>
  <Pages>14</Pages>
  <Words>1942</Words>
  <Characters>11072</Characters>
  <Application>Microsoft Office Word</Application>
  <DocSecurity>0</DocSecurity>
  <Lines>92</Lines>
  <Paragraphs>25</Paragraphs>
  <ScaleCrop>false</ScaleCrop>
  <Company>WwW.YlmF.CoM</Company>
  <LinksUpToDate>false</LinksUpToDate>
  <CharactersWithSpaces>12989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3</cp:revision>
  <cp:lastPrinted>2011-09-18T02:03:00Z</cp:lastPrinted>
  <dcterms:created xsi:type="dcterms:W3CDTF">2023-07-25T08:36:00Z</dcterms:created>
  <dcterms:modified xsi:type="dcterms:W3CDTF">2025-12-24T03:07:00Z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2052-12.1.0.15358</vt:lpwstr>
  </property>
</Properties>
</file>