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苏银理财恒源封闭债权274期优选2年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恒源封闭债权274期优选2年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苏银理财恒源封闭债权274期优选2年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Z7003125000338，</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A份额：苏银理财恒源封闭债权274期优选2年A/J13890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B份额：苏银理财恒源封闭债权274期优选2年B/J13891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C份额：苏银理财恒源封闭债权274期优选2年C/J13892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D份额：苏银理财恒源封闭债权274期优选2年D/J13893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E份额：苏银理财恒源封闭债权274期优选2年E/J13894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F份额：苏银理财恒源封闭债权274期优选2年F/J13895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G份额：苏银理财恒源封闭债权274期优选2年G/J13896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H份额：苏银理财恒源封闭债权274期优选2年H/J13897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I份额：苏银理财恒源封闭债权274期优选2年I/J13898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J份额：苏银理财恒源封闭债权274期优选2年J/J13899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K份额：苏银理财恒源封闭债权274期优选2年K/J13900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L份额：苏银理财恒源封闭债权274期优选2年L/J13901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N份额：苏银理财恒源封闭债权274期优选2年N/J13902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O份额：苏银理财恒源封闭债权274期优选2年O（兰州银行开门红专属）/J13903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P份额：苏银理财恒源封闭债权274期优选2年P/J13904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S份额：苏银理财恒源封闭债权274期优选2年S/J13905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Z份额：苏银理财恒源封闭债权274期优选2年Z/J13906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JS份额：苏银理财恒源封闭债权274期优选2年JS鑫福款/J13907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芙蓉锦程·优选份额：苏银理财恒源封闭债权274期优选2年（芙蓉锦程·优选）/J13908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A/B/D/F/G/J/K/L/N/O/P/S/Z/JS/芙蓉锦程·优选份额：1元/1元的整数倍；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5</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11</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2026年2月12日，如管理人调整募集期，则产品成立日/份额登记日将相应调整，以管理人公告为准。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N份额：2.60%-3.00%；O份额：2.55%-2.95%；P份额：2.45%-2.85%；S份额：2.60%-3.00%；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P份额：山西银行股份有限公司/广州农村商业银行股份有限公司/北京农村商业银行股份有限公司/秦皇岛银行股份有限公司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S份额：郑州银行股份有限公司/齐鲁银行股份有限公司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Z份额：青岛银行股份有限公司/莱商银行股份有限公司/嘉兴银行股份有限公司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0F6B47"/>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92E08"/>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57FF2"/>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BF6020"/>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185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9A7B40"/>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2026-01-30T01:04:52Z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