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6D54B">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兴银理财【稳利安盈封闭式】</w:t>
      </w:r>
      <w:r>
        <w:rPr>
          <w:rFonts w:ascii="黑体" w:hAnsi="黑体" w:eastAsia="黑体"/>
          <w:b/>
          <w:bCs/>
          <w:sz w:val="28"/>
          <w:szCs w:val="28"/>
        </w:rPr>
        <w:t>理财产品</w:t>
      </w:r>
      <w:permEnd w:id="0"/>
    </w:p>
    <w:p w14:paraId="6E1EB197">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14:paraId="24D08E54">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14:paraId="52B95841">
      <w:pPr>
        <w:rPr>
          <w:rFonts w:ascii="宋体" w:hAnsi="宋体" w:cs="仿宋_GB2312"/>
          <w:b/>
          <w:kern w:val="0"/>
          <w:sz w:val="18"/>
          <w:szCs w:val="18"/>
        </w:rPr>
      </w:pPr>
      <w:r>
        <w:rPr>
          <w:rFonts w:hint="eastAsia" w:ascii="宋体" w:hAnsi="宋体" w:cs="仿宋_GB2312"/>
          <w:b/>
          <w:kern w:val="0"/>
          <w:sz w:val="18"/>
          <w:szCs w:val="18"/>
        </w:rPr>
        <w:t>尊敬的投资者：</w:t>
      </w:r>
    </w:p>
    <w:p w14:paraId="29293118">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14:paraId="7EEBA46D">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78A1E5A0">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14:paraId="218F78DA">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14:paraId="2356EBD3">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【兴银理财稳利安盈封闭式2026年405期固收类理财产品</w:t>
      </w:r>
      <w:r>
        <w:rPr>
          <w:rFonts w:hint="eastAsia" w:asciiTheme="majorEastAsia" w:hAnsiTheme="majorEastAsia" w:eastAsiaTheme="majorEastAsia"/>
          <w:bCs/>
          <w:kern w:val="0"/>
          <w:sz w:val="18"/>
          <w:szCs w:val="18"/>
        </w:rPr>
        <w:t>】</w:t>
      </w:r>
      <w:permEnd w:id="1"/>
    </w:p>
    <w:p w14:paraId="2A5070CF">
      <w:pPr>
        <w:ind w:firstLine="448" w:firstLineChars="249"/>
        <w:rPr>
          <w:rFonts w:ascii="宋体" w:hAnsi="宋体" w:cs="仿宋_GB2312"/>
          <w:kern w:val="0"/>
          <w:sz w:val="18"/>
          <w:szCs w:val="18"/>
        </w:rPr>
      </w:pPr>
      <w:permStart w:id="2" w:edGrp="everyone"/>
      <w:permEnd w:id="2"/>
      <w:r>
        <w:rPr>
          <w:rFonts w:ascii="宋体" w:hAnsi="宋体" w:cs="宋体" w:eastAsia="宋体"/>
          <w:sz w:val="18"/>
        </w:rPr>
        <w:t>销售名称：【稳利安盈2026年405期（迎春款）A】 (适用【A】类份额)</w:t>
        <w:br/>
      </w:r>
      <w:r>
        <w:rPr>
          <w:rFonts w:ascii="宋体" w:hAnsi="宋体" w:cs="宋体" w:eastAsia="宋体"/>
          <w:sz w:val="18"/>
        </w:rPr>
        <w:t xml:space="preserve">     【稳利安盈2026年405期（迎春款）C】 (适用【C】类份额)</w:t>
        <w:br/>
      </w:r>
      <w:r>
        <w:rPr>
          <w:rFonts w:ascii="宋体" w:hAnsi="宋体" w:cs="宋体" w:eastAsia="宋体"/>
          <w:sz w:val="18"/>
        </w:rPr>
        <w:t xml:space="preserve">     【稳利安盈2026年405期（迎春款）D】 (适用【D】类份额)</w:t>
        <w:br/>
      </w:r>
      <w:r>
        <w:rPr>
          <w:rFonts w:ascii="宋体" w:hAnsi="宋体" w:cs="宋体" w:eastAsia="宋体"/>
          <w:sz w:val="18"/>
        </w:rPr>
        <w:t xml:space="preserve">     【稳利安盈2026年405期（迎春款）E】 (适用【E】类份额)</w:t>
        <w:br/>
      </w:r>
      <w:r>
        <w:rPr>
          <w:rFonts w:ascii="宋体" w:hAnsi="宋体" w:cs="宋体" w:eastAsia="宋体"/>
          <w:sz w:val="18"/>
        </w:rPr>
        <w:t xml:space="preserve">     【稳利安盈2026年405期（迎春款）F】 (适用【F】类份额)</w:t>
      </w:r>
    </w:p>
    <w:p w14:paraId="5E7DBE98">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Z7002025001998</w:t>
      </w:r>
      <w:r>
        <w:rPr>
          <w:rFonts w:ascii="宋体" w:hAnsi="宋体" w:cs="仿宋_GB2312"/>
          <w:kern w:val="0"/>
          <w:sz w:val="18"/>
          <w:szCs w:val="18"/>
        </w:rPr>
        <w:t>】</w:t>
      </w:r>
      <w:permEnd w:id="3"/>
    </w:p>
    <w:p w14:paraId="765D132F">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14:paraId="670EE0E1">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14:paraId="18EF247F">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14:paraId="5E720FAE">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【■有固定期限:【426天】</w:t>
      </w:r>
    </w:p>
    <w:p w14:paraId="26E1CC58">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14:paraId="1F724C36">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14:paraId="33B608D7">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14:paraId="7A070766">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14:paraId="69227A9B">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14:paraId="4B522133">
      <w:pPr>
        <w:ind w:firstLine="448" w:firstLineChars="249"/>
        <w:rPr>
          <w:rFonts w:ascii="宋体" w:hAnsi="宋体" w:cs="仿宋_GB2312"/>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6A31D597">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14:paraId="77B4F9C4">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14:paraId="3D67ECB5">
      <w:pPr>
        <w:ind w:firstLine="360" w:firstLineChars="200"/>
        <w:rPr>
          <w:rFonts w:hint="eastAsia"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 C6】</w:t>
      </w:r>
    </w:p>
    <w:p w14:paraId="4C5EDC41">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 C1、■ C2、■ C3、■ C4、■ C5】</w:t>
      </w:r>
      <w:bookmarkStart w:id="0" w:name="_GoBack"/>
      <w:bookmarkEnd w:id="0"/>
    </w:p>
    <w:permEnd w:id="9"/>
    <w:p w14:paraId="70D3C5D6">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14:paraId="58B5C869">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14:paraId="72397DC3">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14:paraId="1869D3D9">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1C4B942E">
      <w:pPr>
        <w:ind w:firstLine="360" w:firstLineChars="200"/>
        <w:rPr>
          <w:rFonts w:hint="eastAsia" w:ascii="宋体" w:hAnsi="宋体"/>
          <w:sz w:val="18"/>
          <w:szCs w:val="18"/>
        </w:rPr>
      </w:pPr>
      <w:permStart w:id="10" w:edGrp="everyone"/>
      <w:r>
        <w:rPr>
          <w:rFonts w:hint="eastAsia" w:ascii="宋体" w:hAnsi="宋体"/>
          <w:sz w:val="18"/>
          <w:szCs w:val="18"/>
        </w:rPr>
        <w:t>【1.拟投资市场和资产的风险：</w:t>
      </w:r>
    </w:p>
    <w:p w14:paraId="1D3C85F2">
      <w:pPr>
        <w:ind w:firstLine="360" w:firstLineChars="200"/>
        <w:rPr>
          <w:rFonts w:hint="eastAsia" w:ascii="宋体" w:hAnsi="宋体"/>
          <w:sz w:val="18"/>
          <w:szCs w:val="18"/>
        </w:rPr>
      </w:pPr>
      <w:r>
        <w:rPr>
          <w:rFonts w:hint="eastAsia" w:ascii="宋体" w:hAnsi="宋体"/>
          <w:sz w:val="18"/>
          <w:szCs w:val="18"/>
        </w:rPr>
        <w:t>（1）投资债权类资产的风险</w:t>
      </w:r>
    </w:p>
    <w:p w14:paraId="77C2A54F">
      <w:pPr>
        <w:ind w:firstLine="360" w:firstLineChars="200"/>
        <w:rPr>
          <w:rFonts w:hint="eastAsia" w:ascii="宋体" w:hAnsi="宋体"/>
          <w:sz w:val="18"/>
          <w:szCs w:val="18"/>
        </w:rPr>
      </w:pPr>
      <w:r>
        <w:rPr>
          <w:rFonts w:hint="eastAsia" w:ascii="宋体" w:hAnsi="宋体"/>
          <w:sz w:val="18"/>
          <w:szCs w:val="18"/>
        </w:rPr>
        <w:t>1）投资标准化债权类资产的风险</w:t>
      </w:r>
    </w:p>
    <w:p w14:paraId="5D2067F5">
      <w:pPr>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14B412A1">
      <w:pPr>
        <w:ind w:firstLine="360" w:firstLineChars="200"/>
        <w:rPr>
          <w:rFonts w:hint="eastAsia" w:ascii="宋体" w:hAnsi="宋体"/>
          <w:sz w:val="18"/>
          <w:szCs w:val="18"/>
        </w:rPr>
      </w:pPr>
      <w:r>
        <w:rPr>
          <w:rFonts w:hint="eastAsia" w:ascii="宋体" w:hAnsi="宋体"/>
          <w:sz w:val="18"/>
          <w:szCs w:val="18"/>
        </w:rPr>
        <w:t>2）投资非标准化债权类资产的风险</w:t>
      </w:r>
    </w:p>
    <w:p w14:paraId="7CFF16ED">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r>
        <w:rPr>
          <w:rFonts w:hint="eastAsia" w:ascii="宋体" w:hAnsi="宋体"/>
          <w:sz w:val="18"/>
          <w:szCs w:val="18"/>
          <w:lang w:eastAsia="zh-CN"/>
        </w:rPr>
        <w:t>。</w:t>
      </w:r>
      <w:r>
        <w:rPr>
          <w:rFonts w:hint="eastAsia" w:ascii="宋体" w:hAnsi="宋体"/>
          <w:sz w:val="18"/>
          <w:szCs w:val="18"/>
        </w:rPr>
        <w:t>】</w:t>
      </w:r>
    </w:p>
    <w:permEnd w:id="10"/>
    <w:p w14:paraId="1DCC8C2D">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209FB330">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6CAE57A1">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14:paraId="13DE4527">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335B2A76">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14:paraId="20F1A628">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1DB689B2">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14:paraId="13C4E73E">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3EB9ABF">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14:paraId="3B5A4DCF">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30E1B77D">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14:paraId="0F608DE3">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14:paraId="79364226">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14:paraId="19F56A68">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14:paraId="61D145CE">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14:paraId="6BBA511D">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AFECF4F">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14:paraId="701E8D19">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289660AF">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14:paraId="5C0EF9A0">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14:paraId="1605AB05">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14:paraId="4BAB2C24">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14:paraId="2C990E9E">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14:paraId="61AE97B2">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14:paraId="43FD8D73">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14:paraId="338F699F">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14:paraId="3D4AA062">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14:paraId="42DA243D">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14:paraId="596BB050">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14:paraId="5F5EB647">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14:paraId="7623391E">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14:paraId="6CC8E6B0">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053248FA">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14:paraId="77864BF1">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14:paraId="2A1BA4BF">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14:paraId="61A98DBC">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53686A6E">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2569A882">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五、【非机构投资者适用】</w:t>
      </w:r>
      <w:r>
        <w:rPr>
          <w:rFonts w:hint="eastAsia" w:ascii="黑体" w:hAnsi="黑体" w:eastAsia="黑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14:paraId="17AC1DAF">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14:paraId="360D8973">
      <w:pPr>
        <w:ind w:left="540"/>
        <w:jc w:val="right"/>
        <w:rPr>
          <w:rFonts w:ascii="宋体" w:hAnsi="宋体"/>
          <w:sz w:val="18"/>
          <w:szCs w:val="18"/>
        </w:rPr>
      </w:pPr>
    </w:p>
    <w:p w14:paraId="6F6EEFCA">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14:paraId="5C9D420E">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14:paraId="47545B92">
      <w:pPr>
        <w:widowControl/>
        <w:jc w:val="left"/>
        <w:rPr>
          <w:rFonts w:ascii="宋体" w:hAnsi="宋体"/>
          <w:sz w:val="18"/>
          <w:szCs w:val="18"/>
        </w:rPr>
      </w:pPr>
      <w:r>
        <w:rPr>
          <w:rFonts w:ascii="宋体" w:hAnsi="宋体"/>
          <w:sz w:val="18"/>
          <w:szCs w:val="18"/>
        </w:rPr>
        <w:br w:type="page"/>
      </w:r>
    </w:p>
    <w:p w14:paraId="182BC2D9">
      <w:pPr>
        <w:ind w:left="540"/>
        <w:jc w:val="right"/>
        <w:rPr>
          <w:rFonts w:ascii="宋体" w:hAnsi="宋体"/>
          <w:sz w:val="18"/>
          <w:szCs w:val="18"/>
        </w:rPr>
      </w:pPr>
    </w:p>
    <w:p w14:paraId="1A5E3CCF">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14:paraId="5A87175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14:paraId="01C9D90A">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330E36A1">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14:paraId="6913185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14:paraId="383E5879">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14:paraId="052BC871">
            <w:pPr>
              <w:spacing w:line="280" w:lineRule="atLeast"/>
              <w:jc w:val="left"/>
              <w:rPr>
                <w:rFonts w:ascii="宋体" w:hAnsi="宋体" w:cs="Arial"/>
                <w:sz w:val="18"/>
                <w:szCs w:val="18"/>
              </w:rPr>
            </w:pPr>
          </w:p>
          <w:p w14:paraId="69A21DEF">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26EA0308">
            <w:pPr>
              <w:spacing w:line="280" w:lineRule="atLeast"/>
              <w:jc w:val="left"/>
              <w:rPr>
                <w:rFonts w:ascii="宋体" w:hAnsi="宋体" w:cs="Arial"/>
                <w:kern w:val="0"/>
                <w:sz w:val="18"/>
                <w:szCs w:val="18"/>
              </w:rPr>
            </w:pPr>
          </w:p>
          <w:p w14:paraId="7798F784">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14:paraId="0C0A18D8">
            <w:pPr>
              <w:spacing w:line="280" w:lineRule="atLeast"/>
              <w:jc w:val="left"/>
              <w:rPr>
                <w:rFonts w:ascii="宋体" w:hAnsi="宋体" w:cs="Arial"/>
                <w:kern w:val="0"/>
                <w:sz w:val="18"/>
                <w:szCs w:val="18"/>
              </w:rPr>
            </w:pPr>
          </w:p>
          <w:p w14:paraId="4BFDE612">
            <w:pPr>
              <w:spacing w:line="280" w:lineRule="atLeast"/>
              <w:jc w:val="left"/>
              <w:rPr>
                <w:kern w:val="0"/>
                <w:sz w:val="18"/>
                <w:szCs w:val="18"/>
                <w:u w:val="single"/>
              </w:rPr>
            </w:pPr>
            <w:r>
              <w:rPr>
                <w:rFonts w:hint="eastAsia" w:ascii="宋体" w:hAnsi="宋体" w:cs="Arial"/>
                <w:kern w:val="0"/>
                <w:sz w:val="18"/>
                <w:szCs w:val="18"/>
              </w:rPr>
              <w:t>请投资者在此抄录：</w:t>
            </w:r>
          </w:p>
          <w:p w14:paraId="5FBBC458">
            <w:pPr>
              <w:spacing w:line="280" w:lineRule="atLeast"/>
              <w:jc w:val="left"/>
              <w:rPr>
                <w:kern w:val="0"/>
                <w:sz w:val="18"/>
                <w:szCs w:val="18"/>
                <w:u w:val="single"/>
              </w:rPr>
            </w:pPr>
          </w:p>
          <w:p w14:paraId="55EDE0AF">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14:paraId="1FC44043">
            <w:pPr>
              <w:spacing w:line="280" w:lineRule="atLeast"/>
              <w:ind w:left="4200" w:firstLine="1080" w:firstLineChars="600"/>
              <w:jc w:val="left"/>
              <w:rPr>
                <w:rFonts w:ascii="宋体" w:hAnsi="宋体" w:cs="Arial"/>
                <w:kern w:val="0"/>
                <w:sz w:val="18"/>
                <w:szCs w:val="18"/>
              </w:rPr>
            </w:pPr>
          </w:p>
          <w:p w14:paraId="72783286">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0B638966">
            <w:pPr>
              <w:spacing w:line="280" w:lineRule="atLeast"/>
              <w:ind w:left="4200" w:firstLine="1080" w:firstLineChars="600"/>
              <w:jc w:val="left"/>
              <w:rPr>
                <w:rFonts w:ascii="宋体" w:hAnsi="宋体" w:cs="Arial"/>
                <w:kern w:val="0"/>
                <w:sz w:val="18"/>
                <w:szCs w:val="18"/>
              </w:rPr>
            </w:pPr>
          </w:p>
          <w:p w14:paraId="1B134549">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14:paraId="7B30AB9B">
            <w:pPr>
              <w:spacing w:line="280" w:lineRule="atLeast"/>
              <w:jc w:val="right"/>
              <w:rPr>
                <w:rFonts w:ascii="宋体" w:hAnsi="宋体"/>
                <w:kern w:val="0"/>
                <w:sz w:val="18"/>
                <w:szCs w:val="18"/>
              </w:rPr>
            </w:pPr>
          </w:p>
        </w:tc>
      </w:tr>
    </w:tbl>
    <w:p w14:paraId="217AF825">
      <w:pPr>
        <w:autoSpaceDE w:val="0"/>
        <w:autoSpaceDN w:val="0"/>
        <w:adjustRightInd w:val="0"/>
        <w:spacing w:line="360" w:lineRule="auto"/>
        <w:ind w:firstLine="420"/>
        <w:jc w:val="left"/>
        <w:rPr>
          <w:rFonts w:ascii="宋体" w:hAnsi="宋体"/>
          <w:sz w:val="24"/>
        </w:rPr>
      </w:pPr>
    </w:p>
    <w:p w14:paraId="78433D42">
      <w:pPr>
        <w:rPr>
          <w:rFonts w:ascii="宋体" w:hAnsi="宋体" w:cs="Arial"/>
          <w:sz w:val="24"/>
        </w:rPr>
      </w:pPr>
    </w:p>
    <w:p w14:paraId="42128691">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14:paraId="66F9971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14:paraId="2FFA7A2D">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1BF1CDB4">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14:paraId="403D5FD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14:paraId="72F18E38">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14:paraId="5C014CDE">
            <w:pPr>
              <w:spacing w:line="280" w:lineRule="atLeast"/>
              <w:ind w:firstLine="360" w:firstLineChars="200"/>
              <w:jc w:val="left"/>
              <w:rPr>
                <w:rFonts w:ascii="宋体" w:hAnsi="宋体" w:cs="Arial"/>
                <w:kern w:val="0"/>
                <w:sz w:val="18"/>
                <w:szCs w:val="18"/>
              </w:rPr>
            </w:pPr>
          </w:p>
          <w:p w14:paraId="26AD0104">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7C4FD8CC">
            <w:pPr>
              <w:spacing w:line="280" w:lineRule="atLeast"/>
              <w:ind w:firstLine="360" w:firstLineChars="200"/>
              <w:jc w:val="left"/>
              <w:rPr>
                <w:rFonts w:ascii="宋体" w:hAnsi="宋体" w:cs="Arial"/>
                <w:kern w:val="0"/>
                <w:sz w:val="18"/>
                <w:szCs w:val="18"/>
              </w:rPr>
            </w:pPr>
          </w:p>
          <w:p w14:paraId="5BC755C0">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14:paraId="4EB3059F">
            <w:pPr>
              <w:spacing w:line="280" w:lineRule="atLeast"/>
              <w:jc w:val="left"/>
              <w:rPr>
                <w:rFonts w:ascii="宋体" w:hAnsi="宋体" w:cs="Arial"/>
                <w:kern w:val="0"/>
                <w:sz w:val="18"/>
                <w:szCs w:val="18"/>
              </w:rPr>
            </w:pPr>
          </w:p>
          <w:p w14:paraId="7C313766">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14:paraId="7C06E1CB">
            <w:pPr>
              <w:spacing w:line="280" w:lineRule="atLeast"/>
              <w:jc w:val="left"/>
              <w:rPr>
                <w:rFonts w:ascii="宋体" w:hAnsi="宋体" w:cs="Arial"/>
                <w:kern w:val="0"/>
                <w:sz w:val="18"/>
                <w:szCs w:val="18"/>
              </w:rPr>
            </w:pPr>
          </w:p>
          <w:p w14:paraId="0D56B28B">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14:paraId="215BB22D">
            <w:pPr>
              <w:spacing w:line="280" w:lineRule="atLeast"/>
              <w:jc w:val="left"/>
              <w:rPr>
                <w:rFonts w:ascii="宋体" w:hAnsi="宋体" w:cs="Arial"/>
                <w:kern w:val="0"/>
                <w:sz w:val="18"/>
                <w:szCs w:val="18"/>
              </w:rPr>
            </w:pPr>
          </w:p>
          <w:p w14:paraId="2B654DF7">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14:paraId="6F931581">
            <w:pPr>
              <w:spacing w:line="280" w:lineRule="atLeast"/>
              <w:ind w:left="4200" w:firstLine="1080" w:firstLineChars="600"/>
              <w:jc w:val="left"/>
              <w:rPr>
                <w:rFonts w:ascii="宋体" w:hAnsi="宋体" w:cs="Arial"/>
                <w:kern w:val="0"/>
                <w:sz w:val="18"/>
                <w:szCs w:val="18"/>
              </w:rPr>
            </w:pPr>
          </w:p>
          <w:p w14:paraId="512A5333">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374C59C0">
            <w:pPr>
              <w:spacing w:line="280" w:lineRule="atLeast"/>
              <w:rPr>
                <w:kern w:val="0"/>
                <w:sz w:val="20"/>
                <w:szCs w:val="20"/>
              </w:rPr>
            </w:pPr>
          </w:p>
          <w:p w14:paraId="6FE13F3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3313E2B7">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14:paraId="5ED1D656">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CBB6A">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14:paraId="62DA2EE3">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dit="readOnly" w:enforcement="1" w:cryptProviderType="rsaFull" w:cryptAlgorithmClass="hash" w:cryptAlgorithmType="typeAny" w:cryptAlgorithmSid="4" w:cryptSpinCount="0" w:hash="+NeOoWC5gcH00iVyyNslTCYcV8E=" w:salt="5uTF6fmKm0esbgEVBoKJw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2CE6113"/>
    <w:rsid w:val="047012BB"/>
    <w:rsid w:val="04DC5D07"/>
    <w:rsid w:val="0647378D"/>
    <w:rsid w:val="093C4710"/>
    <w:rsid w:val="096C69E8"/>
    <w:rsid w:val="09E6166C"/>
    <w:rsid w:val="0B7600D9"/>
    <w:rsid w:val="123D1F82"/>
    <w:rsid w:val="14A5642A"/>
    <w:rsid w:val="15842DD8"/>
    <w:rsid w:val="23024B39"/>
    <w:rsid w:val="249562A2"/>
    <w:rsid w:val="32ED1692"/>
    <w:rsid w:val="39AE284F"/>
    <w:rsid w:val="411C73D3"/>
    <w:rsid w:val="4EEE53D9"/>
    <w:rsid w:val="4F1A670E"/>
    <w:rsid w:val="51F466A1"/>
    <w:rsid w:val="574F6249"/>
    <w:rsid w:val="5BB12F7A"/>
    <w:rsid w:val="5C93136F"/>
    <w:rsid w:val="601969DF"/>
    <w:rsid w:val="659C2FA3"/>
    <w:rsid w:val="662F5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2024-03-04T01:44:00Z</dcterms:created>
  <dc:creator>胡骁潇</dc:creator>
  <cp:lastModifiedBy>cib</cp:lastModifiedBy>
  <dcterms:modified xsi:type="dcterms:W3CDTF">2025-12-10T08:22:08Z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6B1DF0A3E21247E9904C2C6702B4AB3E</vt:lpwstr>
  </property>
</Properties>
</file>