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41FDF">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4E8776E3">
      <w:pPr>
        <w:adjustRightInd w:val="0"/>
        <w:spacing w:line="360" w:lineRule="auto"/>
        <w:jc w:val="center"/>
        <w:rPr>
          <w:rStyle w:val="27"/>
          <w:rFonts w:ascii="宋体" w:hAnsi="宋体"/>
          <w:sz w:val="32"/>
          <w:szCs w:val="32"/>
        </w:rPr>
      </w:pPr>
    </w:p>
    <w:p w14:paraId="41F6DF5A">
      <w:pPr>
        <w:adjustRightInd w:val="0"/>
        <w:spacing w:line="360" w:lineRule="auto"/>
        <w:jc w:val="center"/>
        <w:rPr>
          <w:rStyle w:val="27"/>
          <w:rFonts w:ascii="宋体" w:hAnsi="宋体"/>
          <w:sz w:val="32"/>
          <w:szCs w:val="32"/>
        </w:rPr>
      </w:pPr>
    </w:p>
    <w:p w14:paraId="6D3105F2">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41DFC896">
      <w:pPr>
        <w:adjustRightInd w:val="0"/>
        <w:spacing w:line="360" w:lineRule="auto"/>
        <w:jc w:val="center"/>
        <w:rPr>
          <w:rStyle w:val="27"/>
          <w:rFonts w:ascii="宋体" w:hAnsi="宋体"/>
          <w:sz w:val="32"/>
          <w:szCs w:val="32"/>
        </w:rPr>
      </w:pPr>
    </w:p>
    <w:p w14:paraId="517EC3F0">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rPr>
        <w:t>兴银理财【</w:t>
      </w:r>
      <w:r>
        <w:rPr>
          <w:rStyle w:val="27"/>
          <w:rFonts w:hint="eastAsia" w:ascii="黑体" w:hAnsi="黑体" w:eastAsia="黑体"/>
          <w:sz w:val="44"/>
          <w:szCs w:val="44"/>
          <w:lang w:val="en-US" w:eastAsia="zh-CN"/>
        </w:rPr>
        <w:t>稳利安盈封闭式</w:t>
      </w:r>
      <w:r>
        <w:rPr>
          <w:rStyle w:val="27"/>
          <w:rFonts w:hint="eastAsia" w:ascii="黑体" w:hAnsi="黑体" w:eastAsia="黑体"/>
          <w:sz w:val="44"/>
          <w:szCs w:val="44"/>
        </w:rPr>
        <w:t>】理财产品</w:t>
      </w:r>
      <w:permEnd w:id="0"/>
    </w:p>
    <w:p w14:paraId="375A3E8A">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14:paraId="73FFEB3F">
      <w:pPr>
        <w:adjustRightInd w:val="0"/>
        <w:spacing w:line="360" w:lineRule="auto"/>
        <w:jc w:val="center"/>
        <w:rPr>
          <w:rStyle w:val="27"/>
          <w:rFonts w:ascii="宋体" w:hAnsi="宋体"/>
          <w:sz w:val="32"/>
          <w:szCs w:val="32"/>
        </w:rPr>
      </w:pPr>
    </w:p>
    <w:p w14:paraId="064285F1">
      <w:pPr>
        <w:adjustRightInd w:val="0"/>
        <w:spacing w:line="360" w:lineRule="auto"/>
        <w:jc w:val="center"/>
        <w:rPr>
          <w:rStyle w:val="27"/>
          <w:rFonts w:ascii="黑体" w:hAnsi="黑体" w:eastAsia="黑体"/>
          <w:bCs w:val="0"/>
          <w:sz w:val="28"/>
          <w:szCs w:val="28"/>
        </w:rPr>
      </w:pPr>
    </w:p>
    <w:p w14:paraId="041F61C3">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14:paraId="5D07A6EF">
      <w:pPr>
        <w:adjustRightInd w:val="0"/>
        <w:spacing w:line="360" w:lineRule="auto"/>
        <w:jc w:val="center"/>
        <w:rPr>
          <w:rStyle w:val="27"/>
          <w:rFonts w:ascii="宋体" w:hAnsi="宋体"/>
          <w:sz w:val="32"/>
          <w:szCs w:val="32"/>
        </w:rPr>
      </w:pPr>
    </w:p>
    <w:p w14:paraId="21B893CE">
      <w:pPr>
        <w:adjustRightInd w:val="0"/>
        <w:spacing w:line="360" w:lineRule="auto"/>
        <w:jc w:val="center"/>
        <w:rPr>
          <w:rStyle w:val="27"/>
          <w:rFonts w:ascii="宋体" w:hAnsi="宋体"/>
          <w:sz w:val="32"/>
          <w:szCs w:val="32"/>
        </w:rPr>
      </w:pPr>
    </w:p>
    <w:p w14:paraId="03215E82">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【2026】年【2】月</w:t>
      </w:r>
      <w:permEnd w:id="1"/>
    </w:p>
    <w:p w14:paraId="2B2F7C5B">
      <w:pPr>
        <w:adjustRightInd w:val="0"/>
        <w:spacing w:line="360" w:lineRule="auto"/>
        <w:jc w:val="center"/>
        <w:rPr>
          <w:rStyle w:val="27"/>
          <w:rFonts w:ascii="宋体" w:hAnsi="宋体"/>
          <w:sz w:val="32"/>
          <w:szCs w:val="32"/>
        </w:rPr>
      </w:pPr>
    </w:p>
    <w:p w14:paraId="084A2679">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14:paraId="3AE5342A">
          <w:pPr>
            <w:pStyle w:val="48"/>
            <w:spacing w:line="360" w:lineRule="auto"/>
            <w:jc w:val="center"/>
          </w:pPr>
          <w:permStart w:id="2" w:edGrp="everyone"/>
          <w:bookmarkStart w:id="0" w:name="_Toc78276587"/>
          <w:r>
            <w:rPr>
              <w:lang w:val="zh-CN"/>
            </w:rPr>
            <w:t>目录</w:t>
          </w:r>
        </w:p>
        <w:p w14:paraId="34340864">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14:paraId="3AEEBCB1">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14:paraId="432A09EE">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14:paraId="598FB05B">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14:paraId="57AC3ADC">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14:paraId="5C96BC34">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14:paraId="24573925">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14:paraId="3DBEBF79">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14:paraId="542ABB4E">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14:paraId="55DC496E">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14:paraId="29D9C5D9">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14:paraId="773073FD">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14:paraId="72EF2E0D">
          <w:pPr>
            <w:spacing w:line="360" w:lineRule="auto"/>
          </w:pPr>
          <w:r>
            <w:fldChar w:fldCharType="end"/>
          </w:r>
        </w:p>
      </w:sdtContent>
    </w:sdt>
    <w:permEnd w:id="2"/>
    <w:p w14:paraId="02C7055B">
      <w:pPr>
        <w:rPr>
          <w:rFonts w:ascii="Times New Roman"/>
          <w:sz w:val="30"/>
        </w:rPr>
      </w:pPr>
      <w:r>
        <w:rPr>
          <w:rFonts w:ascii="Times New Roman"/>
          <w:sz w:val="30"/>
        </w:rPr>
        <w:br w:type="page"/>
      </w:r>
    </w:p>
    <w:p w14:paraId="6F307ADA">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14:paraId="4BA8B0E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14:paraId="4B4A257F">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14:paraId="3AAFC3E4">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14:paraId="14A6C90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兴业银行”）。兴业银行成立于1988年，于2005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14:paraId="2ECD091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14:paraId="686A249E">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14:paraId="75F42B7B">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14:paraId="74EAC9C9">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14:paraId="68F56CFF">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14:paraId="74D7CD1B">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14:paraId="31CF0516">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14:paraId="1FD0EAC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14:paraId="2C635C6E">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14:paraId="44729732">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14:paraId="1F5D5875">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5"/>
      <w:r>
        <w:rPr>
          <w:rFonts w:hint="eastAsia" w:asciiTheme="majorEastAsia" w:hAnsiTheme="majorEastAsia" w:eastAsiaTheme="majorEastAsia"/>
          <w:bCs/>
          <w:sz w:val="18"/>
          <w:szCs w:val="18"/>
        </w:rPr>
        <w:t>投资协议书》，以及对该文件的有效修改或补充。</w:t>
      </w:r>
    </w:p>
    <w:p w14:paraId="1E284438">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6"/>
      <w:r>
        <w:rPr>
          <w:rFonts w:hint="eastAsia" w:asciiTheme="majorEastAsia" w:hAnsiTheme="majorEastAsia" w:eastAsiaTheme="majorEastAsia"/>
          <w:bCs/>
          <w:sz w:val="18"/>
          <w:szCs w:val="18"/>
        </w:rPr>
        <w:t>产品说明书》，以及对该文件的有效修改或补充。</w:t>
      </w:r>
    </w:p>
    <w:p w14:paraId="6D1B4B8D">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14:paraId="0DA3ED89">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14:paraId="268E23FF">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14:paraId="4ACA2B17">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14:paraId="418D2FA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14:paraId="7AD3B5B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14:paraId="3944331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14:paraId="20A19E7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5BB8504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14:paraId="3DE149F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14:paraId="17B09B1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14:paraId="0748159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14:paraId="0BB1E6E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14:paraId="0A9611C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14:paraId="18FBD53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14:paraId="32CED4B0">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14:paraId="3F35C51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14:paraId="77388044">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14:paraId="213CFDC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14:paraId="1B38B7D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14:paraId="7879761A">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14:paraId="46912E49">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14:paraId="009867C4">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14:paraId="31C4887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14:paraId="0C3C56C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14:paraId="2E73875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14:paraId="2C8E22E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14:paraId="5FF709A6">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14:paraId="1EC383D3">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14:paraId="58CC0A98">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14:paraId="1BD4C1B8">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14:paraId="5F971830">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14:paraId="7385BAC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14:paraId="2D47A43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14:paraId="1A10351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14:paraId="517CACD8">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14:paraId="5D9D71D1">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14:paraId="44624F95">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14:paraId="37CD0B39">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14:paraId="1D9B7AB2">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14:paraId="2491147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14:paraId="04E1086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14:paraId="43C0081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14:paraId="3FCBD6D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14:paraId="41709E2D">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14:paraId="12E64EA5">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14:paraId="53B4C6DA">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14:paraId="2FDF9D86">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14:paraId="79578BE0">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14:paraId="5524CDCC">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14:paraId="3960B1A0">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14:paraId="0C643464">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14:paraId="7288BFDC">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14:paraId="5FE8862A">
      <w:pPr>
        <w:pStyle w:val="2"/>
        <w:spacing w:before="0" w:after="0" w:line="360" w:lineRule="auto"/>
        <w:jc w:val="center"/>
        <w:rPr>
          <w:rFonts w:hAnsi="宋体"/>
          <w:sz w:val="28"/>
          <w:szCs w:val="28"/>
        </w:rPr>
      </w:pPr>
      <w:bookmarkStart w:id="2" w:name="_Toc79154665"/>
      <w:bookmarkStart w:id="3" w:name="_Toc176189754"/>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14:paraId="1FF16E8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14:paraId="23DB28B9">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vAlign w:val="top"/>
          </w:tcPr>
          <w:p w14:paraId="0DB22F70">
            <w:pPr>
              <w:keepNext w:val="0"/>
              <w:keepLines w:val="0"/>
              <w:widowControl w:val="0"/>
              <w:suppressLineNumbers w:val="0"/>
              <w:spacing w:before="0" w:beforeAutospacing="0" w:after="0" w:afterAutospacing="0" w:line="360" w:lineRule="auto"/>
              <w:ind w:left="0" w:leftChars="0" w:right="0" w:rightChars="0"/>
              <w:jc w:val="left"/>
              <w:rPr>
                <w:rFonts w:hint="default" w:ascii="宋体" w:hAnsi="宋体"/>
                <w:bCs/>
                <w:sz w:val="18"/>
                <w:szCs w:val="18"/>
              </w:rPr>
            </w:pPr>
            <w:r>
              <w:rPr>
                <w:rFonts w:hint="eastAsia" w:ascii="宋体" w:hAnsi="宋体" w:eastAsia="宋体" w:cs="宋体"/>
                <w:bCs/>
                <w:kern w:val="0"/>
                <w:sz w:val="18"/>
                <w:szCs w:val="18"/>
                <w:lang w:val="en-US" w:eastAsia="zh-CN" w:bidi="ar"/>
              </w:rPr>
              <w:t>【兴银理财稳利安盈封闭式2026年457期固收类理财产品】</w:t>
            </w:r>
          </w:p>
        </w:tc>
      </w:tr>
      <w:tr w14:paraId="0F97395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14:paraId="5D4D9D02">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vAlign w:val="top"/>
          </w:tcPr>
          <w:p w14:paraId="59E2FADC">
            <w:pPr>
              <w:keepNext w:val="0"/>
              <w:keepLines w:val="0"/>
              <w:widowControl/>
              <w:suppressLineNumbers w:val="0"/>
              <w:spacing w:before="0" w:beforeAutospacing="0" w:after="0" w:afterAutospacing="0" w:line="360" w:lineRule="auto"/>
              <w:ind w:left="0" w:leftChars="0" w:right="0" w:rightChars="0"/>
              <w:jc w:val="left"/>
              <w:rPr>
                <w:rFonts w:hint="default" w:ascii="宋体" w:hAnsi="宋体"/>
                <w:kern w:val="0"/>
                <w:sz w:val="22"/>
              </w:rPr>
            </w:pPr>
            <w:r>
              <w:rPr>
                <w:rFonts w:hint="default" w:ascii="宋体" w:hAnsi="宋体" w:eastAsia="宋体" w:cs="宋体"/>
                <w:sz w:val="18"/>
              </w:rPr>
              <w:t>【稳利安盈2026年457期（迎春款）A】 (适用【A】类份额)</w:t>
            </w:r>
            <w:r>
              <w:rPr>
                <w:rFonts w:hint="default" w:ascii="宋体" w:hAnsi="宋体" w:eastAsia="宋体" w:cs="宋体"/>
                <w:sz w:val="18"/>
              </w:rPr>
              <w:br w:type="textWrapping"/>
            </w:r>
            <w:r>
              <w:rPr>
                <w:rFonts w:hint="default" w:ascii="宋体" w:hAnsi="宋体" w:eastAsia="宋体" w:cs="宋体"/>
                <w:sz w:val="18"/>
              </w:rPr>
              <w:t>【稳利安盈2026年457期（迎春款）B】 (适用【B】类份额)</w:t>
            </w:r>
            <w:r>
              <w:rPr>
                <w:rFonts w:hint="default" w:ascii="宋体" w:hAnsi="宋体" w:eastAsia="宋体" w:cs="宋体"/>
                <w:sz w:val="18"/>
              </w:rPr>
              <w:br w:type="textWrapping"/>
            </w:r>
            <w:r>
              <w:rPr>
                <w:rFonts w:hint="default" w:ascii="宋体" w:hAnsi="宋体" w:eastAsia="宋体" w:cs="宋体"/>
                <w:sz w:val="18"/>
              </w:rPr>
              <w:t>【稳利安盈2026年457期（迎春款）E】 (适用【E】类份额)</w:t>
            </w:r>
            <w:r>
              <w:rPr>
                <w:rFonts w:hint="default" w:ascii="宋体" w:hAnsi="宋体" w:eastAsia="宋体" w:cs="宋体"/>
                <w:sz w:val="18"/>
              </w:rPr>
              <w:br w:type="textWrapping"/>
            </w:r>
            <w:r>
              <w:rPr>
                <w:rFonts w:hint="default" w:ascii="宋体" w:hAnsi="宋体" w:eastAsia="宋体" w:cs="宋体"/>
                <w:sz w:val="18"/>
              </w:rPr>
              <w:t>【稳利安盈2026年457期（迎春款）F】 (适用【F】类份额)</w:t>
            </w:r>
            <w:r>
              <w:rPr>
                <w:rFonts w:hint="default" w:ascii="宋体" w:hAnsi="宋体" w:eastAsia="宋体" w:cs="宋体"/>
                <w:sz w:val="18"/>
              </w:rPr>
              <w:br w:type="textWrapping"/>
            </w:r>
            <w:r>
              <w:rPr>
                <w:rFonts w:hint="default" w:ascii="宋体" w:hAnsi="宋体" w:eastAsia="宋体" w:cs="宋体"/>
                <w:sz w:val="18"/>
              </w:rPr>
              <w:t>【稳利安盈2026年457期（迎春款）G】 (适用【G】类份额)</w:t>
            </w:r>
          </w:p>
        </w:tc>
      </w:tr>
      <w:tr w14:paraId="73062E4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14:paraId="2B18B222">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14:paraId="02ED0C33">
            <w:pPr>
              <w:keepNext w:val="0"/>
              <w:keepLines w:val="0"/>
              <w:suppressLineNumbers w:val="0"/>
              <w:spacing w:before="0" w:beforeAutospacing="0" w:after="0" w:afterAutospacing="0" w:line="360" w:lineRule="auto"/>
              <w:ind w:left="0" w:right="0"/>
              <w:jc w:val="left"/>
              <w:rPr>
                <w:rFonts w:hint="default" w:ascii="宋体" w:hAnsi="宋体"/>
                <w:b/>
                <w:sz w:val="18"/>
                <w:szCs w:val="18"/>
              </w:rPr>
            </w:pPr>
            <w:r>
              <w:rPr>
                <w:rFonts w:hint="eastAsia" w:asciiTheme="minorEastAsia" w:hAnsiTheme="minorEastAsia"/>
                <w:sz w:val="18"/>
                <w:szCs w:val="18"/>
              </w:rPr>
              <w:t>【</w:t>
            </w:r>
            <w:r>
              <w:rPr>
                <w:rFonts w:hint="eastAsia" w:asciiTheme="minorEastAsia" w:hAnsiTheme="minorEastAsia"/>
                <w:sz w:val="18"/>
                <w:szCs w:val="18"/>
                <w:lang w:val="en-US" w:eastAsia="zh-CN"/>
              </w:rPr>
              <w:t>Z7002025002014</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hint="default" w:asciiTheme="majorEastAsia" w:hAnsiTheme="majorEastAsia" w:eastAsiaTheme="majorEastAsia"/>
                <w:sz w:val="18"/>
                <w:szCs w:val="18"/>
              </w:rPr>
              <w:t>(</w:t>
            </w:r>
            <w:r>
              <w:rPr>
                <w:rFonts w:hint="default"/>
              </w:rPr>
              <w:fldChar w:fldCharType="begin"/>
            </w:r>
            <w:r>
              <w:rPr>
                <w:rFonts w:hint="default"/>
              </w:rPr>
              <w:instrText xml:space="preserve"> HYPERLINK "http://www.chinawealth.com.cn" </w:instrText>
            </w:r>
            <w:r>
              <w:rPr>
                <w:rFonts w:hint="default"/>
              </w:rPr>
              <w:fldChar w:fldCharType="separate"/>
            </w:r>
            <w:r>
              <w:rPr>
                <w:rFonts w:hint="default" w:asciiTheme="majorEastAsia" w:hAnsiTheme="majorEastAsia" w:eastAsiaTheme="majorEastAsia"/>
                <w:sz w:val="18"/>
                <w:szCs w:val="18"/>
              </w:rPr>
              <w:t>www.chinawealth.com.cn</w:t>
            </w:r>
            <w:r>
              <w:rPr>
                <w:rFonts w:hint="default" w:asciiTheme="majorEastAsia" w:hAnsiTheme="majorEastAsia" w:eastAsiaTheme="majorEastAsia"/>
                <w:sz w:val="18"/>
                <w:szCs w:val="18"/>
              </w:rPr>
              <w:fldChar w:fldCharType="end"/>
            </w:r>
            <w:r>
              <w:rPr>
                <w:rFonts w:hint="default"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14:paraId="5BAB88A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14:paraId="51E9AD5C">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14:paraId="0C4B7B18">
            <w:pPr>
              <w:keepNext w:val="0"/>
              <w:keepLines w:val="0"/>
              <w:widowControl w:val="0"/>
              <w:suppressLineNumbers w:val="0"/>
              <w:spacing w:before="0" w:beforeAutospacing="0" w:after="0" w:afterAutospacing="0" w:line="360" w:lineRule="auto"/>
              <w:ind w:left="0" w:leftChars="0" w:right="0" w:rightChars="0"/>
              <w:jc w:val="left"/>
              <w:rPr>
                <w:rFonts w:hint="default" w:ascii="宋体" w:hAnsi="宋体"/>
                <w:bCs/>
                <w:sz w:val="18"/>
                <w:szCs w:val="18"/>
              </w:rPr>
            </w:pPr>
            <w:r>
              <w:rPr>
                <w:rFonts w:hint="eastAsia" w:ascii="宋体" w:hAnsi="宋体" w:eastAsia="宋体" w:cs="宋体"/>
                <w:bCs/>
                <w:color w:val="000000"/>
                <w:kern w:val="2"/>
                <w:sz w:val="18"/>
                <w:szCs w:val="18"/>
                <w:lang w:val="en-US" w:eastAsia="zh-CN" w:bidi="ar"/>
              </w:rPr>
              <w:t>【9A264570】</w:t>
            </w:r>
          </w:p>
        </w:tc>
      </w:tr>
      <w:tr w14:paraId="59CDBBD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14:paraId="3DA0DD03">
            <w:pPr>
              <w:keepNext w:val="0"/>
              <w:keepLines w:val="0"/>
              <w:suppressLineNumbers w:val="0"/>
              <w:spacing w:before="0" w:beforeAutospacing="0" w:after="0" w:afterAutospacing="0" w:line="360" w:lineRule="auto"/>
              <w:ind w:left="0" w:right="0"/>
              <w:jc w:val="left"/>
              <w:rPr>
                <w:rFonts w:hint="default" w:hAnsi="宋体"/>
                <w:b/>
                <w:sz w:val="18"/>
                <w:szCs w:val="18"/>
              </w:rPr>
            </w:pPr>
            <w:r>
              <w:rPr>
                <w:rFonts w:hint="eastAsia" w:hAnsi="宋体"/>
                <w:b/>
                <w:sz w:val="18"/>
                <w:szCs w:val="18"/>
              </w:rPr>
              <w:t>★销售代码</w:t>
            </w:r>
          </w:p>
        </w:tc>
        <w:tc>
          <w:tcPr>
            <w:tcW w:w="7674" w:type="dxa"/>
            <w:shd w:val="solid" w:color="FFFFFF" w:fill="FFFFFF"/>
            <w:vAlign w:val="top"/>
          </w:tcPr>
          <w:p w14:paraId="3EFB4CEA">
            <w:pPr>
              <w:keepNext w:val="0"/>
              <w:keepLines w:val="0"/>
              <w:widowControl w:val="0"/>
              <w:suppressLineNumbers w:val="0"/>
              <w:spacing w:before="0" w:beforeAutospacing="0" w:after="0" w:afterAutospacing="0" w:line="360" w:lineRule="auto"/>
              <w:ind w:left="0" w:leftChars="0" w:right="0" w:rightChars="0"/>
              <w:jc w:val="left"/>
              <w:rPr>
                <w:rFonts w:hint="default" w:hAnsi="宋体"/>
                <w:sz w:val="18"/>
                <w:szCs w:val="18"/>
              </w:rPr>
            </w:pPr>
            <w:r>
              <w:rPr>
                <w:rFonts w:hint="default" w:ascii="宋体" w:hAnsi="宋体" w:eastAsia="宋体" w:cs="宋体"/>
                <w:sz w:val="18"/>
              </w:rPr>
              <w:t>【9A26457A】 (适用【A】类份额)</w:t>
            </w:r>
            <w:r>
              <w:rPr>
                <w:rFonts w:hint="default" w:ascii="宋体" w:hAnsi="宋体" w:eastAsia="宋体" w:cs="宋体"/>
                <w:sz w:val="18"/>
              </w:rPr>
              <w:br w:type="textWrapping"/>
            </w:r>
            <w:r>
              <w:rPr>
                <w:rFonts w:hint="default" w:ascii="宋体" w:hAnsi="宋体" w:eastAsia="宋体" w:cs="宋体"/>
                <w:sz w:val="18"/>
              </w:rPr>
              <w:t>【9A26457B】 (适用【B】类份额)</w:t>
            </w:r>
            <w:r>
              <w:rPr>
                <w:rFonts w:hint="default" w:ascii="宋体" w:hAnsi="宋体" w:eastAsia="宋体" w:cs="宋体"/>
                <w:sz w:val="18"/>
              </w:rPr>
              <w:br w:type="textWrapping"/>
            </w:r>
            <w:r>
              <w:rPr>
                <w:rFonts w:hint="default" w:ascii="宋体" w:hAnsi="宋体" w:eastAsia="宋体" w:cs="宋体"/>
                <w:sz w:val="18"/>
              </w:rPr>
              <w:t>【9A26457E】 (适用【E】类份额)</w:t>
            </w:r>
            <w:r>
              <w:rPr>
                <w:rFonts w:hint="default" w:ascii="宋体" w:hAnsi="宋体" w:eastAsia="宋体" w:cs="宋体"/>
                <w:sz w:val="18"/>
              </w:rPr>
              <w:br w:type="textWrapping"/>
            </w:r>
            <w:r>
              <w:rPr>
                <w:rFonts w:hint="default" w:ascii="宋体" w:hAnsi="宋体" w:eastAsia="宋体" w:cs="宋体"/>
                <w:sz w:val="18"/>
              </w:rPr>
              <w:t>【9A26457F】 (适用【F】类份额)</w:t>
            </w:r>
            <w:r>
              <w:rPr>
                <w:rFonts w:hint="default" w:ascii="宋体" w:hAnsi="宋体" w:eastAsia="宋体" w:cs="宋体"/>
                <w:sz w:val="18"/>
              </w:rPr>
              <w:br w:type="textWrapping"/>
            </w:r>
            <w:r>
              <w:rPr>
                <w:rFonts w:hint="default" w:ascii="宋体" w:hAnsi="宋体" w:eastAsia="宋体" w:cs="宋体"/>
                <w:sz w:val="18"/>
              </w:rPr>
              <w:t>【9A26457G】 (适用【G】类份额)</w:t>
            </w:r>
          </w:p>
        </w:tc>
      </w:tr>
      <w:tr w14:paraId="7A7AF29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14:paraId="612826A6">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hAnsi="宋体"/>
                <w:b/>
                <w:sz w:val="18"/>
                <w:szCs w:val="18"/>
              </w:rPr>
              <w:t>产品</w:t>
            </w:r>
            <w:r>
              <w:rPr>
                <w:rFonts w:hint="default" w:hAnsi="宋体"/>
                <w:b/>
                <w:sz w:val="18"/>
                <w:szCs w:val="18"/>
              </w:rPr>
              <w:t>份额类别</w:t>
            </w:r>
          </w:p>
        </w:tc>
        <w:tc>
          <w:tcPr>
            <w:tcW w:w="7674" w:type="dxa"/>
            <w:shd w:val="solid" w:color="FFFFFF" w:fill="FFFFFF"/>
            <w:vAlign w:val="center"/>
          </w:tcPr>
          <w:p w14:paraId="1BF48C3F">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1</w:t>
            </w:r>
            <w:r>
              <w:rPr>
                <w:rFonts w:hint="eastAsia" w:ascii="宋体" w:hAnsi="宋体"/>
                <w:bCs/>
                <w:sz w:val="18"/>
                <w:szCs w:val="18"/>
              </w:rPr>
              <w:t>.本产品根据投资者购买理财产品的金额、</w:t>
            </w:r>
            <w:r>
              <w:rPr>
                <w:rFonts w:hint="default" w:ascii="宋体" w:hAnsi="宋体"/>
                <w:bCs/>
                <w:sz w:val="18"/>
                <w:szCs w:val="18"/>
              </w:rPr>
              <w:t>投资者</w:t>
            </w:r>
            <w:r>
              <w:rPr>
                <w:rFonts w:hint="eastAsia" w:ascii="宋体" w:hAnsi="宋体"/>
                <w:bCs/>
                <w:sz w:val="18"/>
                <w:szCs w:val="18"/>
              </w:rPr>
              <w:t>类型、</w:t>
            </w:r>
            <w:r>
              <w:rPr>
                <w:rFonts w:hint="default" w:ascii="宋体" w:hAnsi="宋体"/>
                <w:bCs/>
                <w:sz w:val="18"/>
                <w:szCs w:val="18"/>
              </w:rPr>
              <w:t>销售渠道</w:t>
            </w:r>
            <w:r>
              <w:rPr>
                <w:rFonts w:hint="eastAsia" w:ascii="宋体" w:hAnsi="宋体"/>
                <w:bCs/>
                <w:sz w:val="18"/>
                <w:szCs w:val="18"/>
              </w:rPr>
              <w:t>等因素，对投资者所持有的理财产品份额设置不同的理财产品份额类别。</w:t>
            </w:r>
          </w:p>
          <w:p w14:paraId="51994F03">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2</w:t>
            </w:r>
            <w:r>
              <w:rPr>
                <w:rFonts w:hint="eastAsia" w:ascii="宋体" w:hAnsi="宋体"/>
                <w:bCs/>
                <w:sz w:val="18"/>
                <w:szCs w:val="18"/>
              </w:rPr>
              <w:t>.本产品设置不同的理财产品份额，每类理财产品份额以下内容</w:t>
            </w:r>
            <w:r>
              <w:rPr>
                <w:rFonts w:hint="default" w:ascii="宋体" w:hAnsi="宋体"/>
                <w:bCs/>
                <w:sz w:val="18"/>
                <w:szCs w:val="18"/>
              </w:rPr>
              <w:t>可能</w:t>
            </w:r>
            <w:r>
              <w:rPr>
                <w:rFonts w:hint="eastAsia" w:ascii="宋体" w:hAnsi="宋体"/>
                <w:bCs/>
                <w:sz w:val="18"/>
                <w:szCs w:val="18"/>
              </w:rPr>
              <w:t>单独设置：</w:t>
            </w:r>
          </w:p>
          <w:p w14:paraId="255C3146">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（1）销售名称</w:t>
            </w:r>
          </w:p>
          <w:p w14:paraId="7131C717">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（2）收费方式</w:t>
            </w:r>
          </w:p>
          <w:p w14:paraId="52093E4F">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（3）销售服务费</w:t>
            </w:r>
          </w:p>
          <w:p w14:paraId="6291EBD4">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（4）销售代码</w:t>
            </w:r>
          </w:p>
          <w:p w14:paraId="692E6A9A">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（5）销售对象</w:t>
            </w:r>
          </w:p>
          <w:p w14:paraId="4FF4B5CB">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（6）销售起点金额（认购、申购的起点金额）</w:t>
            </w:r>
          </w:p>
          <w:p w14:paraId="540452F2">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（7）投资者认购、申购和赎回的数量限制</w:t>
            </w:r>
          </w:p>
          <w:p w14:paraId="721B4BE9">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14:paraId="4625C01B">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（9）分别计算和公告产品份额净值</w:t>
            </w:r>
          </w:p>
          <w:p w14:paraId="055D63CA">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3</w:t>
            </w:r>
            <w:r>
              <w:rPr>
                <w:rFonts w:hint="eastAsia" w:ascii="宋体" w:hAnsi="宋体"/>
                <w:bCs/>
                <w:sz w:val="18"/>
                <w:szCs w:val="18"/>
              </w:rPr>
              <w:t>.投资者可根据实际情况自行选择认购的产品份额类别。</w:t>
            </w:r>
          </w:p>
          <w:p w14:paraId="5191471D">
            <w:pPr>
              <w:keepNext w:val="0"/>
              <w:keepLines w:val="0"/>
              <w:suppressLineNumbers w:val="0"/>
              <w:spacing w:before="0" w:beforeAutospacing="0" w:after="0" w:afterAutospacing="0" w:line="360" w:lineRule="auto"/>
              <w:ind w:left="0" w:right="0"/>
              <w:rPr>
                <w:rFonts w:hint="default"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14:paraId="434162B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E924F41">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14:paraId="534945A3">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14:paraId="4B825C6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7D5C5E4D">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14:paraId="610D921C">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Theme="majorEastAsia" w:hAnsiTheme="majorEastAsia" w:eastAsiaTheme="majorEastAsia"/>
                <w:sz w:val="18"/>
                <w:szCs w:val="18"/>
              </w:rPr>
              <w:t>公募</w:t>
            </w:r>
          </w:p>
        </w:tc>
      </w:tr>
      <w:tr w14:paraId="660BAE6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7DA88BEA">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14:paraId="70D6F49E">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封闭式</w:t>
            </w:r>
          </w:p>
        </w:tc>
      </w:tr>
      <w:tr w14:paraId="0636E97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2817C6B">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14:paraId="0130357E">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14:paraId="224638F9">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bCs/>
                <w:sz w:val="18"/>
                <w:szCs w:val="18"/>
              </w:rPr>
            </w:pPr>
            <w:r>
              <w:rPr>
                <w:rFonts w:hint="eastAsia" w:ascii="黑体" w:hAnsi="黑体" w:eastAsia="黑体"/>
                <w:sz w:val="18"/>
                <w:szCs w:val="18"/>
              </w:rPr>
              <w:t>固定</w:t>
            </w:r>
            <w:r>
              <w:rPr>
                <w:rFonts w:hint="default" w:ascii="黑体" w:hAnsi="黑体" w:eastAsia="黑体"/>
                <w:sz w:val="18"/>
                <w:szCs w:val="18"/>
              </w:rPr>
              <w:t>收益</w:t>
            </w:r>
            <w:r>
              <w:rPr>
                <w:rFonts w:hint="eastAsia" w:ascii="黑体" w:hAnsi="黑体" w:eastAsia="黑体"/>
                <w:sz w:val="18"/>
                <w:szCs w:val="18"/>
              </w:rPr>
              <w:t>类</w:t>
            </w:r>
            <w:r>
              <w:rPr>
                <w:rFonts w:hint="default" w:ascii="黑体" w:hAnsi="黑体" w:eastAsia="黑体"/>
                <w:sz w:val="18"/>
                <w:szCs w:val="18"/>
              </w:rPr>
              <w:t>产品是指根据监管</w:t>
            </w:r>
            <w:r>
              <w:rPr>
                <w:rFonts w:hint="eastAsia" w:ascii="黑体" w:hAnsi="黑体" w:eastAsia="黑体"/>
                <w:sz w:val="18"/>
                <w:szCs w:val="18"/>
              </w:rPr>
              <w:t>相关规定</w:t>
            </w:r>
            <w:r>
              <w:rPr>
                <w:rFonts w:hint="default" w:ascii="黑体" w:hAnsi="黑体" w:eastAsia="黑体"/>
                <w:sz w:val="18"/>
                <w:szCs w:val="18"/>
              </w:rPr>
              <w:t>，投资于债权类资产的</w:t>
            </w:r>
            <w:r>
              <w:rPr>
                <w:rFonts w:hint="eastAsia" w:ascii="黑体" w:hAnsi="黑体" w:eastAsia="黑体"/>
                <w:sz w:val="18"/>
                <w:szCs w:val="18"/>
              </w:rPr>
              <w:t>比例</w:t>
            </w:r>
            <w:r>
              <w:rPr>
                <w:rFonts w:hint="default" w:ascii="黑体" w:hAnsi="黑体" w:eastAsia="黑体"/>
                <w:sz w:val="18"/>
                <w:szCs w:val="18"/>
              </w:rPr>
              <w:t>不低于80%的产品</w:t>
            </w:r>
            <w:r>
              <w:rPr>
                <w:rFonts w:hint="eastAsia" w:ascii="黑体" w:hAnsi="黑体" w:eastAsia="黑体"/>
                <w:bCs/>
                <w:sz w:val="18"/>
                <w:szCs w:val="18"/>
              </w:rPr>
              <w:t>。</w:t>
            </w:r>
          </w:p>
        </w:tc>
      </w:tr>
      <w:tr w14:paraId="2D98A2D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4984D4D">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hint="default" w:asciiTheme="majorEastAsia" w:hAnsiTheme="majorEastAsia" w:eastAsiaTheme="majorEastAsia"/>
                <w:b/>
                <w:sz w:val="18"/>
                <w:szCs w:val="18"/>
              </w:rPr>
              <w:t>收益特征</w:t>
            </w:r>
          </w:p>
        </w:tc>
        <w:tc>
          <w:tcPr>
            <w:tcW w:w="7674" w:type="dxa"/>
            <w:shd w:val="solid" w:color="FFFFFF" w:fill="FFFFFF"/>
            <w:vAlign w:val="center"/>
          </w:tcPr>
          <w:p w14:paraId="1D26E7BA">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非保本浮动收益</w:t>
            </w:r>
          </w:p>
          <w:p w14:paraId="27D9DF42">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14:paraId="5E8F01DA">
            <w:pPr>
              <w:keepNext w:val="0"/>
              <w:keepLines w:val="0"/>
              <w:suppressLineNumbers w:val="0"/>
              <w:adjustRightInd w:val="0"/>
              <w:snapToGrid w:val="0"/>
              <w:spacing w:before="0" w:beforeAutospacing="0" w:after="0" w:afterAutospacing="0" w:line="360" w:lineRule="auto"/>
              <w:ind w:left="0" w:right="0"/>
              <w:rPr>
                <w:rFonts w:hint="default"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14:paraId="2E68A10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5EFDF17">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14:paraId="234A8702">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Theme="majorEastAsia" w:hAnsiTheme="majorEastAsia" w:eastAsiaTheme="majorEastAsia"/>
                <w:sz w:val="18"/>
                <w:szCs w:val="18"/>
              </w:rPr>
              <w:t>人民币</w:t>
            </w:r>
          </w:p>
        </w:tc>
      </w:tr>
      <w:tr w14:paraId="6A2439B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BC0E115">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14:paraId="69C4569C">
            <w:pPr>
              <w:keepNext w:val="0"/>
              <w:keepLines w:val="0"/>
              <w:suppressLineNumbers w:val="0"/>
              <w:spacing w:before="0" w:beforeAutospacing="0" w:after="0" w:afterAutospacing="0" w:line="360" w:lineRule="auto"/>
              <w:ind w:left="0" w:right="0"/>
              <w:rPr>
                <w:rFonts w:hint="eastAsia" w:ascii="黑体" w:hAnsi="黑体" w:eastAsia="黑体" w:cs="黑体"/>
                <w:bCs/>
                <w:sz w:val="18"/>
                <w:szCs w:val="18"/>
              </w:rPr>
            </w:pPr>
            <w:r>
              <w:rPr>
                <w:rFonts w:hint="eastAsia" w:ascii="黑体" w:hAnsi="黑体" w:eastAsia="黑体" w:cs="黑体"/>
                <w:bCs/>
                <w:sz w:val="18"/>
                <w:szCs w:val="18"/>
              </w:rPr>
              <w:t>本产品属于【</w:t>
            </w:r>
            <w:r>
              <w:rPr>
                <w:rFonts w:hint="eastAsia" w:ascii="黑体" w:hAnsi="黑体" w:eastAsia="黑体" w:cs="黑体"/>
                <w:bCs/>
                <w:sz w:val="18"/>
                <w:szCs w:val="18"/>
                <w:lang w:val="en-US" w:eastAsia="zh-CN"/>
              </w:rPr>
              <w:t>■ R1、□ R2、□ R3、□ R4、□ R5</w:t>
            </w:r>
            <w:r>
              <w:rPr>
                <w:rFonts w:hint="eastAsia" w:ascii="黑体" w:hAnsi="黑体" w:eastAsia="黑体" w:cs="黑体"/>
                <w:bCs/>
                <w:sz w:val="18"/>
                <w:szCs w:val="18"/>
              </w:rPr>
              <w:t>】理财产品。</w:t>
            </w:r>
          </w:p>
          <w:p w14:paraId="02E2BD7F">
            <w:pPr>
              <w:keepNext w:val="0"/>
              <w:keepLines w:val="0"/>
              <w:suppressLineNumbers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本评级为理财产品管理人内部评级，仅供参考。</w:t>
            </w:r>
          </w:p>
          <w:p w14:paraId="0C56CC1E">
            <w:pPr>
              <w:keepNext w:val="0"/>
              <w:keepLines w:val="0"/>
              <w:suppressLineNumbers w:val="0"/>
              <w:spacing w:before="0" w:beforeAutospacing="0" w:after="0" w:afterAutospacing="0" w:line="360" w:lineRule="auto"/>
              <w:ind w:left="0" w:right="0"/>
              <w:rPr>
                <w:rFonts w:hint="default" w:ascii="宋体" w:hAnsi="宋体"/>
                <w:b/>
                <w:bCs/>
                <w:sz w:val="18"/>
                <w:szCs w:val="18"/>
              </w:rPr>
            </w:pPr>
            <w:r>
              <w:rPr>
                <w:rFonts w:hint="eastAsia" w:ascii="黑体" w:hAnsi="黑体" w:eastAsia="黑体"/>
                <w:bCs/>
                <w:sz w:val="18"/>
                <w:szCs w:val="18"/>
              </w:rPr>
              <w:t>注</w:t>
            </w:r>
            <w:r>
              <w:rPr>
                <w:rFonts w:hint="default" w:ascii="黑体" w:hAnsi="黑体" w:eastAsia="黑体"/>
                <w:bCs/>
                <w:sz w:val="18"/>
                <w:szCs w:val="18"/>
              </w:rPr>
              <w:t>：</w:t>
            </w:r>
            <w:r>
              <w:rPr>
                <w:rFonts w:hint="eastAsia" w:ascii="黑体" w:hAnsi="黑体" w:eastAsia="黑体"/>
                <w:bCs/>
                <w:sz w:val="18"/>
                <w:szCs w:val="18"/>
              </w:rPr>
              <w:t>若本</w:t>
            </w:r>
            <w:r>
              <w:rPr>
                <w:rFonts w:hint="default" w:ascii="黑体" w:hAnsi="黑体" w:eastAsia="黑体"/>
                <w:bCs/>
                <w:sz w:val="18"/>
                <w:szCs w:val="18"/>
              </w:rPr>
              <w:t>产品通过代理销售机构销售的，</w:t>
            </w:r>
            <w:r>
              <w:rPr>
                <w:rFonts w:hint="eastAsia" w:ascii="黑体" w:hAnsi="黑体" w:eastAsia="黑体"/>
                <w:bCs/>
                <w:sz w:val="18"/>
                <w:szCs w:val="18"/>
              </w:rPr>
              <w:t>理财产品</w:t>
            </w:r>
            <w:r>
              <w:rPr>
                <w:rFonts w:hint="default" w:ascii="黑体" w:hAnsi="黑体" w:eastAsia="黑体"/>
                <w:bCs/>
                <w:sz w:val="18"/>
                <w:szCs w:val="18"/>
              </w:rPr>
              <w:t>评级</w:t>
            </w:r>
            <w:r>
              <w:rPr>
                <w:rFonts w:hint="eastAsia" w:ascii="黑体" w:hAnsi="黑体" w:eastAsia="黑体"/>
                <w:bCs/>
                <w:sz w:val="18"/>
                <w:szCs w:val="18"/>
              </w:rPr>
              <w:t>以</w:t>
            </w:r>
            <w:r>
              <w:rPr>
                <w:rFonts w:hint="default" w:ascii="黑体" w:hAnsi="黑体" w:eastAsia="黑体"/>
                <w:bCs/>
                <w:sz w:val="18"/>
                <w:szCs w:val="18"/>
              </w:rPr>
              <w:t>代理销售机构最终披露的评级结果为准。</w:t>
            </w:r>
          </w:p>
        </w:tc>
      </w:tr>
      <w:tr w14:paraId="5B1AFC7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36FFEC5">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14:paraId="4CDC9A09">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color w:val="000000" w:themeColor="text1"/>
                <w:sz w:val="18"/>
                <w:szCs w:val="18"/>
                <w14:textFill>
                  <w14:solidFill>
                    <w14:schemeClr w14:val="tx1"/>
                  </w14:solidFill>
                </w14:textFill>
              </w:rPr>
            </w:pPr>
            <w:r>
              <w:rPr>
                <w:rFonts w:hint="default" w:asciiTheme="majorEastAsia" w:hAnsiTheme="majorEastAsia" w:eastAsiaTheme="majorEastAsia"/>
                <w:bCs/>
                <w:color w:val="000000" w:themeColor="text1"/>
                <w:sz w:val="18"/>
                <w:szCs w:val="18"/>
                <w14:textFill>
                  <w14:solidFill>
                    <w14:schemeClr w14:val="tx1"/>
                  </w14:solidFill>
                </w14:textFill>
              </w:rPr>
              <w:t>本产品适合以下类型投资者：(适用【A</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/B/E/F/G</w:t>
            </w:r>
            <w:bookmarkStart w:id="156" w:name="_GoBack"/>
            <w:bookmarkEnd w:id="156"/>
            <w:r>
              <w:rPr>
                <w:rFonts w:hint="default" w:asciiTheme="majorEastAsia" w:hAnsiTheme="majorEastAsia" w:eastAsiaTheme="majorEastAsia"/>
                <w:bCs/>
                <w:color w:val="000000" w:themeColor="text1"/>
                <w:sz w:val="18"/>
                <w:szCs w:val="18"/>
                <w14:textFill>
                  <w14:solidFill>
                    <w14:schemeClr w14:val="tx1"/>
                  </w14:solidFill>
                </w14:textFill>
              </w:rPr>
              <w:t>】类份额)</w:t>
            </w:r>
          </w:p>
          <w:p w14:paraId="51D199E2">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■个人投资者</w:t>
            </w:r>
          </w:p>
          <w:p w14:paraId="1B140EBD">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■机构投资者</w:t>
            </w:r>
          </w:p>
        </w:tc>
      </w:tr>
      <w:tr w14:paraId="0BB98BB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D98F2E2">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14:paraId="7A47E3CC">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14:paraId="743162C0">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14:paraId="24568F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FBBE55A">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14:paraId="6D062D4F">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 直销适用</w:t>
            </w:r>
          </w:p>
          <w:p w14:paraId="0A5AB584">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本产品由产品管理人销售。</w:t>
            </w:r>
          </w:p>
          <w:p w14:paraId="382B1CBF">
            <w:pPr>
              <w:keepNext w:val="0"/>
              <w:keepLines w:val="0"/>
              <w:suppressLineNumbers w:val="0"/>
              <w:spacing w:before="0" w:beforeAutospacing="0" w:after="0" w:afterAutospacing="0" w:line="360" w:lineRule="auto"/>
              <w:ind w:left="0" w:right="0"/>
              <w:jc w:val="left"/>
              <w:rPr>
                <w:rFonts w:hint="eastAsia" w:ascii="宋体" w:hAnsi="宋体"/>
                <w:sz w:val="18"/>
                <w:szCs w:val="18"/>
              </w:rPr>
            </w:pPr>
            <w:r>
              <w:rPr>
                <w:rFonts w:hint="eastAsia" w:ascii="宋体" w:hAnsi="宋体"/>
                <w:sz w:val="18"/>
                <w:szCs w:val="18"/>
              </w:rPr>
              <w:t>■</w:t>
            </w:r>
            <w:r>
              <w:rPr>
                <w:rFonts w:hint="eastAsia" w:ascii="宋体" w:hAnsi="宋体"/>
                <w:sz w:val="18"/>
                <w:szCs w:val="18"/>
                <w:lang w:val="en-US" w:eastAsia="zh-CN"/>
              </w:rPr>
              <w:t xml:space="preserve"> </w:t>
            </w:r>
            <w:r>
              <w:rPr>
                <w:rFonts w:hint="eastAsia" w:ascii="宋体" w:hAnsi="宋体"/>
                <w:sz w:val="18"/>
                <w:szCs w:val="18"/>
              </w:rPr>
              <w:t>代销适用</w:t>
            </w:r>
          </w:p>
          <w:p w14:paraId="073DD9C4">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本产品由代理销售机构</w:t>
            </w:r>
            <w:r>
              <w:rPr>
                <w:rFonts w:hint="default" w:ascii="宋体" w:hAnsi="宋体"/>
                <w:sz w:val="18"/>
                <w:szCs w:val="18"/>
              </w:rPr>
              <w:t>销售</w:t>
            </w:r>
            <w:r>
              <w:rPr>
                <w:rFonts w:hint="eastAsia" w:ascii="宋体" w:hAnsi="宋体"/>
                <w:sz w:val="18"/>
                <w:szCs w:val="18"/>
              </w:rPr>
              <w:t>。</w:t>
            </w:r>
          </w:p>
          <w:p w14:paraId="1A1C5DE8">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宋体" w:hAnsi="宋体"/>
                <w:sz w:val="18"/>
                <w:szCs w:val="18"/>
              </w:rPr>
              <w:t>代理销售</w:t>
            </w:r>
            <w:r>
              <w:rPr>
                <w:rFonts w:hint="default" w:ascii="宋体" w:hAnsi="宋体"/>
                <w:sz w:val="18"/>
                <w:szCs w:val="18"/>
              </w:rPr>
              <w:t>机构</w:t>
            </w:r>
            <w:r>
              <w:rPr>
                <w:rFonts w:hint="eastAsia" w:ascii="宋体" w:hAnsi="宋体"/>
                <w:sz w:val="18"/>
                <w:szCs w:val="18"/>
              </w:rPr>
              <w:t>合作业务</w:t>
            </w:r>
            <w:r>
              <w:rPr>
                <w:rFonts w:hint="default" w:ascii="宋体" w:hAnsi="宋体"/>
                <w:sz w:val="18"/>
                <w:szCs w:val="18"/>
              </w:rPr>
              <w:t>情况</w:t>
            </w:r>
            <w:r>
              <w:rPr>
                <w:rFonts w:hint="eastAsia" w:ascii="宋体" w:hAnsi="宋体"/>
                <w:sz w:val="18"/>
                <w:szCs w:val="18"/>
              </w:rPr>
              <w:t>以</w:t>
            </w:r>
            <w:r>
              <w:rPr>
                <w:rFonts w:hint="default" w:ascii="宋体" w:hAnsi="宋体"/>
                <w:sz w:val="18"/>
                <w:szCs w:val="18"/>
              </w:rPr>
              <w:t>产品管理人</w:t>
            </w:r>
            <w:r>
              <w:rPr>
                <w:rFonts w:hint="eastAsia" w:ascii="宋体" w:hAnsi="宋体"/>
                <w:sz w:val="18"/>
                <w:szCs w:val="18"/>
              </w:rPr>
              <w:t>公告为准，</w:t>
            </w:r>
            <w:r>
              <w:rPr>
                <w:rFonts w:hint="default" w:ascii="宋体" w:hAnsi="宋体"/>
                <w:sz w:val="18"/>
                <w:szCs w:val="18"/>
              </w:rPr>
              <w:t>具体代理</w:t>
            </w:r>
            <w:r>
              <w:rPr>
                <w:rFonts w:hint="eastAsia" w:ascii="宋体" w:hAnsi="宋体"/>
                <w:sz w:val="18"/>
                <w:szCs w:val="18"/>
              </w:rPr>
              <w:t>销售机构</w:t>
            </w:r>
            <w:r>
              <w:rPr>
                <w:rFonts w:hint="default" w:ascii="宋体" w:hAnsi="宋体"/>
                <w:sz w:val="18"/>
                <w:szCs w:val="18"/>
              </w:rPr>
              <w:t>以《</w:t>
            </w:r>
            <w:r>
              <w:rPr>
                <w:rFonts w:hint="eastAsia" w:ascii="宋体" w:hAnsi="宋体"/>
                <w:sz w:val="18"/>
                <w:szCs w:val="18"/>
              </w:rPr>
              <w:t>（代理）</w:t>
            </w:r>
            <w:r>
              <w:rPr>
                <w:rFonts w:hint="default" w:ascii="宋体" w:hAnsi="宋体"/>
                <w:sz w:val="18"/>
                <w:szCs w:val="18"/>
              </w:rPr>
              <w:t>销售协议书》</w:t>
            </w:r>
            <w:r>
              <w:rPr>
                <w:rFonts w:hint="eastAsia" w:ascii="宋体" w:hAnsi="宋体"/>
                <w:sz w:val="18"/>
                <w:szCs w:val="18"/>
              </w:rPr>
              <w:t>为准</w:t>
            </w:r>
            <w:r>
              <w:rPr>
                <w:rFonts w:hint="default" w:ascii="宋体" w:hAnsi="宋体"/>
                <w:sz w:val="18"/>
                <w:szCs w:val="18"/>
              </w:rPr>
              <w:t>。</w:t>
            </w:r>
          </w:p>
        </w:tc>
      </w:tr>
      <w:tr w14:paraId="6923B70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60389E8">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bCs/>
                <w:sz w:val="18"/>
                <w:szCs w:val="18"/>
              </w:rPr>
              <w:t>理财产品</w:t>
            </w:r>
            <w:r>
              <w:rPr>
                <w:rFonts w:hint="default" w:asciiTheme="majorEastAsia" w:hAnsiTheme="majorEastAsia" w:eastAsiaTheme="majorEastAsia"/>
                <w:b/>
                <w:bCs/>
                <w:sz w:val="18"/>
                <w:szCs w:val="18"/>
              </w:rPr>
              <w:t>管理人</w:t>
            </w:r>
          </w:p>
        </w:tc>
        <w:tc>
          <w:tcPr>
            <w:tcW w:w="7674" w:type="dxa"/>
            <w:shd w:val="solid" w:color="FFFFFF" w:fill="FFFFFF"/>
            <w:vAlign w:val="center"/>
          </w:tcPr>
          <w:p w14:paraId="3B0DAD91">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14:paraId="65C94F2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7EA537B">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14:paraId="650A1279">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14:paraId="02C6C7A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A51EFD1">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14:paraId="467BA65C">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1.本产品计划初始募集规模为【</w:t>
            </w:r>
            <w:r>
              <w:rPr>
                <w:rFonts w:hint="eastAsia" w:asciiTheme="majorEastAsia" w:hAnsiTheme="majorEastAsia" w:eastAsiaTheme="majorEastAsia"/>
                <w:bCs/>
                <w:sz w:val="18"/>
                <w:szCs w:val="18"/>
                <w:lang w:val="en-US" w:eastAsia="zh-CN"/>
              </w:rPr>
              <w:t>8</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14:paraId="3D8EEDC2">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hint="default"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hint="default"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hint="default" w:asciiTheme="majorEastAsia" w:hAnsiTheme="majorEastAsia" w:eastAsiaTheme="majorEastAsia"/>
                <w:bCs/>
                <w:sz w:val="18"/>
                <w:szCs w:val="18"/>
              </w:rPr>
              <w:t>额为准。</w:t>
            </w:r>
          </w:p>
        </w:tc>
      </w:tr>
      <w:tr w14:paraId="3E31359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1619FED">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14:paraId="20B57F17">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sz w:val="18"/>
                <w:szCs w:val="18"/>
                <w:lang w:val="en-US" w:eastAsia="zh-CN"/>
              </w:rPr>
            </w:pPr>
            <w:r>
              <w:rPr>
                <w:rFonts w:hint="eastAsia" w:asciiTheme="majorEastAsia" w:hAnsiTheme="majorEastAsia" w:eastAsiaTheme="majorEastAsia"/>
                <w:bCs/>
                <w:sz w:val="18"/>
                <w:szCs w:val="18"/>
                <w:lang w:val="en-US" w:eastAsia="zh-CN"/>
              </w:rPr>
              <w:t>■有固定期限:【90天】</w:t>
            </w:r>
          </w:p>
          <w:p w14:paraId="1E9EB043">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sz w:val="18"/>
                <w:szCs w:val="18"/>
                <w:lang w:val="en-US" w:eastAsia="zh-CN"/>
              </w:rPr>
            </w:pPr>
            <w:r>
              <w:rPr>
                <w:rFonts w:hint="eastAsia" w:asciiTheme="majorEastAsia" w:hAnsiTheme="majorEastAsia" w:eastAsiaTheme="majorEastAsia"/>
                <w:bCs/>
                <w:sz w:val="18"/>
                <w:szCs w:val="18"/>
                <w:lang w:val="en-US" w:eastAsia="zh-CN"/>
              </w:rPr>
              <w:t>□无固定期限</w:t>
            </w:r>
          </w:p>
          <w:p w14:paraId="007F1834">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14:paraId="7FAD4F0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B245813">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14:paraId="71BEEB21">
            <w:pPr>
              <w:keepNext w:val="0"/>
              <w:keepLines w:val="0"/>
              <w:suppressLineNumbers w:val="0"/>
              <w:spacing w:before="0" w:beforeAutospacing="0" w:after="0" w:afterAutospacing="0" w:line="360" w:lineRule="auto"/>
              <w:ind w:left="0" w:right="0"/>
              <w:rPr>
                <w:rFonts w:hint="eastAsia" w:cs="Times New Roman" w:asciiTheme="minorEastAsia" w:hAnsiTheme="minorEastAsia"/>
                <w:sz w:val="18"/>
                <w:szCs w:val="18"/>
                <w:lang w:val="en-US" w:eastAsia="zh-CN"/>
              </w:rPr>
            </w:pPr>
            <w:r>
              <w:rPr>
                <w:rFonts w:hint="default" w:asciiTheme="minorEastAsia" w:hAnsiTheme="minorEastAsia"/>
                <w:bCs/>
                <w:sz w:val="18"/>
                <w:szCs w:val="18"/>
              </w:rPr>
              <w:t>1</w:t>
            </w:r>
            <w:r>
              <w:rPr>
                <w:rFonts w:hint="eastAsia" w:asciiTheme="minorEastAsia" w:hAnsiTheme="minorEastAsia"/>
                <w:bCs/>
                <w:sz w:val="18"/>
                <w:szCs w:val="18"/>
              </w:rPr>
              <w:t>.</w:t>
            </w:r>
            <w:r>
              <w:rPr>
                <w:rFonts w:hint="default"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lang w:val="en-US" w:eastAsia="zh-CN"/>
              </w:rPr>
              <w:t>【2026年02月11日】【09:00】至【2026年02月26日】【17:00】。</w:t>
            </w:r>
          </w:p>
          <w:p w14:paraId="3CE5C0E3">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14:paraId="3E27AE89">
            <w:pPr>
              <w:keepNext w:val="0"/>
              <w:keepLines w:val="0"/>
              <w:suppressLineNumbers w:val="0"/>
              <w:spacing w:before="0" w:beforeAutospacing="0" w:after="0" w:afterAutospacing="0" w:line="360" w:lineRule="auto"/>
              <w:ind w:left="0" w:right="0"/>
              <w:rPr>
                <w:rFonts w:hint="default" w:ascii="宋体" w:hAnsi="宋体"/>
                <w:sz w:val="18"/>
              </w:rPr>
            </w:pPr>
            <w:r>
              <w:rPr>
                <w:rFonts w:hint="default"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认购期/募集期内资金产生的利息（如有）不计入本金份额</w:t>
            </w:r>
            <w:r>
              <w:rPr>
                <w:rFonts w:hint="eastAsia" w:ascii="宋体" w:hAnsi="宋体"/>
                <w:sz w:val="18"/>
              </w:rPr>
              <w:t>。</w:t>
            </w:r>
          </w:p>
          <w:p w14:paraId="1D83AD1E">
            <w:pPr>
              <w:keepNext w:val="0"/>
              <w:keepLines w:val="0"/>
              <w:suppressLineNumbers w:val="0"/>
              <w:spacing w:before="0" w:beforeAutospacing="0" w:after="0" w:afterAutospacing="0" w:line="360" w:lineRule="auto"/>
              <w:ind w:left="0" w:right="0"/>
              <w:rPr>
                <w:rFonts w:hint="default"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14:paraId="7F2C9FA2">
            <w:pPr>
              <w:keepNext w:val="0"/>
              <w:keepLines w:val="0"/>
              <w:suppressLineNumbers w:val="0"/>
              <w:spacing w:before="0" w:beforeAutospacing="0" w:after="0" w:afterAutospacing="0" w:line="360" w:lineRule="auto"/>
              <w:ind w:left="0" w:right="0"/>
              <w:rPr>
                <w:rFonts w:hint="default"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14:paraId="3114FC04">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14:paraId="7B23904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D8F12BA">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14:paraId="3BBEFC00">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14:paraId="0C787CC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B19A81B">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14:paraId="46F9CDF1">
            <w:pPr>
              <w:keepNext w:val="0"/>
              <w:keepLines w:val="0"/>
              <w:suppressLineNumbers w:val="0"/>
              <w:spacing w:before="0" w:beforeAutospacing="0" w:after="0" w:afterAutospacing="0" w:line="360" w:lineRule="auto"/>
              <w:ind w:left="0" w:right="0"/>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.本产品的计划成立日为</w:t>
            </w:r>
            <w:r>
              <w:rPr>
                <w:rFonts w:hint="default" w:asciiTheme="minorEastAsia" w:hAnsiTheme="minorEastAsia"/>
                <w:bCs/>
                <w:sz w:val="18"/>
                <w:szCs w:val="18"/>
              </w:rPr>
              <w:t>：</w:t>
            </w:r>
            <w:r>
              <w:rPr>
                <w:rFonts w:hint="eastAsia" w:cs="Times New Roman" w:asciiTheme="minorEastAsia" w:hAnsiTheme="minorEastAsia"/>
                <w:sz w:val="18"/>
                <w:szCs w:val="18"/>
                <w:lang w:val="en-US" w:eastAsia="zh-CN"/>
              </w:rPr>
              <w:t>【2026年02月27日】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14:paraId="678CE8A9">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default" w:asciiTheme="minorEastAsia" w:hAnsiTheme="minorEastAsia"/>
                <w:bCs/>
                <w:sz w:val="18"/>
                <w:szCs w:val="18"/>
              </w:rPr>
              <w:t>2</w:t>
            </w:r>
            <w:r>
              <w:rPr>
                <w:rFonts w:hint="eastAsia" w:asciiTheme="minorEastAsia" w:hAnsiTheme="minorEastAsia"/>
                <w:bCs/>
                <w:sz w:val="18"/>
                <w:szCs w:val="18"/>
              </w:rPr>
              <w:t>.</w:t>
            </w:r>
            <w:r>
              <w:rPr>
                <w:rFonts w:hint="default"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hint="default" w:asciiTheme="minorEastAsia" w:hAnsiTheme="minorEastAsia"/>
                <w:bCs/>
                <w:sz w:val="18"/>
                <w:szCs w:val="18"/>
              </w:rPr>
              <w:t>将依约</w:t>
            </w:r>
            <w:r>
              <w:rPr>
                <w:rFonts w:hint="eastAsia" w:asciiTheme="minorEastAsia" w:hAnsiTheme="minorEastAsia"/>
                <w:bCs/>
                <w:sz w:val="18"/>
                <w:szCs w:val="18"/>
              </w:rPr>
              <w:t>定进行公告。</w:t>
            </w:r>
          </w:p>
        </w:tc>
      </w:tr>
      <w:tr w14:paraId="1ACE2EA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7E01653E">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14:paraId="72BFF344">
            <w:pPr>
              <w:keepNext w:val="0"/>
              <w:keepLines w:val="0"/>
              <w:suppressLineNumbers w:val="0"/>
              <w:spacing w:before="0" w:beforeAutospacing="0" w:after="0" w:afterAutospacing="0" w:line="360" w:lineRule="auto"/>
              <w:ind w:left="0" w:right="0"/>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.本产品的计划终止日为</w:t>
            </w:r>
            <w:r>
              <w:rPr>
                <w:rFonts w:hint="default" w:asciiTheme="minorEastAsia" w:hAnsiTheme="minorEastAsia"/>
                <w:bCs/>
                <w:sz w:val="18"/>
                <w:szCs w:val="18"/>
              </w:rPr>
              <w:t>：</w:t>
            </w:r>
            <w:r>
              <w:rPr>
                <w:rFonts w:hint="eastAsia" w:cs="Times New Roman" w:asciiTheme="minorEastAsia" w:hAnsiTheme="minorEastAsia"/>
                <w:sz w:val="18"/>
                <w:szCs w:val="18"/>
                <w:lang w:val="en-US" w:eastAsia="zh-CN"/>
              </w:rPr>
              <w:t>【2026年05月28日】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14:paraId="3FC5EAD4">
            <w:pPr>
              <w:keepNext w:val="0"/>
              <w:keepLines w:val="0"/>
              <w:suppressLineNumbers w:val="0"/>
              <w:spacing w:before="0" w:beforeAutospacing="0" w:after="0" w:afterAutospacing="0" w:line="360" w:lineRule="auto"/>
              <w:ind w:left="0" w:right="0"/>
              <w:rPr>
                <w:rFonts w:hint="default"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14:paraId="2C26A90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A46A06C">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hint="default" w:asciiTheme="majorEastAsia" w:hAnsiTheme="majorEastAsia" w:eastAsiaTheme="majorEastAsia"/>
                <w:b/>
                <w:bCs/>
                <w:sz w:val="18"/>
                <w:szCs w:val="18"/>
              </w:rPr>
              <w:t>递增金额</w:t>
            </w:r>
          </w:p>
        </w:tc>
        <w:tc>
          <w:tcPr>
            <w:tcW w:w="7674" w:type="dxa"/>
            <w:shd w:val="solid" w:color="FFFFFF" w:fill="FFFFFF"/>
            <w:vAlign w:val="center"/>
          </w:tcPr>
          <w:p w14:paraId="0D56300D">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sz w:val="18"/>
                <w:szCs w:val="18"/>
              </w:rPr>
            </w:pPr>
            <w:r>
              <w:rPr>
                <w:rFonts w:hint="default" w:ascii="宋体" w:hAnsi="宋体" w:eastAsia="宋体" w:cs="宋体"/>
                <w:sz w:val="18"/>
              </w:rPr>
              <w:t>每笔购买起点金额为【1】元; 超出起点金额的部分以【0.01】元的整数倍递增。（适用【A】类份额)</w:t>
            </w:r>
            <w:r>
              <w:rPr>
                <w:rFonts w:hint="default" w:ascii="宋体" w:hAnsi="宋体" w:eastAsia="宋体" w:cs="宋体"/>
                <w:sz w:val="18"/>
              </w:rPr>
              <w:br w:type="textWrapping"/>
            </w:r>
            <w:r>
              <w:rPr>
                <w:rFonts w:hint="default" w:ascii="宋体" w:hAnsi="宋体" w:eastAsia="宋体" w:cs="宋体"/>
                <w:sz w:val="18"/>
              </w:rPr>
              <w:t>每笔购买起点金额为【1】元; 超出起点金额的部分以【0.01】元的整数倍递增。（适用【B】类份额)</w:t>
            </w:r>
            <w:r>
              <w:rPr>
                <w:rFonts w:hint="default" w:ascii="宋体" w:hAnsi="宋体" w:eastAsia="宋体" w:cs="宋体"/>
                <w:sz w:val="18"/>
              </w:rPr>
              <w:br w:type="textWrapping"/>
            </w:r>
            <w:r>
              <w:rPr>
                <w:rFonts w:hint="default" w:ascii="宋体" w:hAnsi="宋体" w:eastAsia="宋体" w:cs="宋体"/>
                <w:sz w:val="18"/>
              </w:rPr>
              <w:t>每笔购买起点金额为【1】元; 超出起点金额的部分以【0.01】元的整数倍递增。（适用【E】类份额)</w:t>
            </w:r>
            <w:r>
              <w:rPr>
                <w:rFonts w:hint="default" w:ascii="宋体" w:hAnsi="宋体" w:eastAsia="宋体" w:cs="宋体"/>
                <w:sz w:val="18"/>
              </w:rPr>
              <w:br w:type="textWrapping"/>
            </w:r>
            <w:r>
              <w:rPr>
                <w:rFonts w:hint="default" w:ascii="宋体" w:hAnsi="宋体" w:eastAsia="宋体" w:cs="宋体"/>
                <w:sz w:val="18"/>
              </w:rPr>
              <w:t>每笔购买起点金额为【1】元; 超出起点金额的部分以【0.01】元的整数倍递增。（适用【F】类份额)</w:t>
            </w:r>
            <w:r>
              <w:rPr>
                <w:rFonts w:hint="default" w:ascii="宋体" w:hAnsi="宋体" w:eastAsia="宋体" w:cs="宋体"/>
                <w:sz w:val="18"/>
              </w:rPr>
              <w:br w:type="textWrapping"/>
            </w:r>
            <w:r>
              <w:rPr>
                <w:rFonts w:hint="default" w:ascii="宋体" w:hAnsi="宋体" w:eastAsia="宋体" w:cs="宋体"/>
                <w:sz w:val="18"/>
              </w:rPr>
              <w:t>每笔购买起点金额为【1】元; 超出起点金额的部分以【0.01】元的整数倍递增。（适用【G】类份额)</w:t>
            </w:r>
          </w:p>
          <w:p w14:paraId="65B00AAF">
            <w:pPr>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hint="default"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hint="default"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14:paraId="798AC140">
            <w:pPr>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hint="default"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hint="default"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14:paraId="10CD1966">
            <w:pPr>
              <w:keepNext w:val="0"/>
              <w:keepLines w:val="0"/>
              <w:suppressLineNumbers w:val="0"/>
              <w:spacing w:before="0" w:beforeAutospacing="0" w:after="0" w:afterAutospacing="0" w:line="360" w:lineRule="auto"/>
              <w:ind w:left="0" w:right="0"/>
              <w:jc w:val="left"/>
              <w:rPr>
                <w:rFonts w:hint="default"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hint="default"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hint="default"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hint="default"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14:paraId="011C2C7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F78E071">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b/>
                <w:sz w:val="18"/>
                <w:szCs w:val="18"/>
              </w:rPr>
              <w:t>★认购的数量限制</w:t>
            </w:r>
          </w:p>
        </w:tc>
        <w:tc>
          <w:tcPr>
            <w:tcW w:w="7674" w:type="dxa"/>
            <w:shd w:val="solid" w:color="FFFFFF" w:fill="FFFFFF"/>
            <w:vAlign w:val="center"/>
          </w:tcPr>
          <w:p w14:paraId="1E0CC657">
            <w:pPr>
              <w:pStyle w:val="34"/>
              <w:keepNext w:val="0"/>
              <w:keepLines w:val="0"/>
              <w:suppressLineNumbers w:val="0"/>
              <w:spacing w:before="0" w:beforeAutospacing="0" w:after="0" w:afterAutospacing="0" w:line="360" w:lineRule="auto"/>
              <w:ind w:left="0" w:right="0"/>
              <w:rPr>
                <w:rFonts w:hint="eastAsia" w:hAnsi="宋体"/>
                <w:bCs/>
                <w:sz w:val="18"/>
                <w:szCs w:val="18"/>
                <w:lang w:val="en-US" w:eastAsia="zh-CN"/>
              </w:rPr>
            </w:pPr>
            <w:r>
              <w:rPr>
                <w:rFonts w:hint="default" w:ascii="宋体" w:hAnsi="宋体" w:eastAsia="宋体" w:cs="宋体"/>
                <w:sz w:val="18"/>
              </w:rPr>
              <w:t>认购的数量限制</w:t>
            </w:r>
            <w:r>
              <w:rPr>
                <w:rFonts w:hint="default" w:ascii="宋体" w:hAnsi="宋体" w:eastAsia="宋体" w:cs="宋体"/>
                <w:sz w:val="18"/>
              </w:rPr>
              <w:br w:type="textWrapping"/>
            </w:r>
            <w:r>
              <w:rPr>
                <w:rFonts w:hint="default" w:ascii="宋体" w:hAnsi="宋体" w:eastAsia="宋体" w:cs="宋体"/>
                <w:sz w:val="18"/>
              </w:rPr>
              <w:t>（1）单一投资者认购上限为【/】元。（适用【A】类份额)</w:t>
            </w:r>
            <w:r>
              <w:rPr>
                <w:rFonts w:hint="default" w:ascii="宋体" w:hAnsi="宋体" w:eastAsia="宋体" w:cs="宋体"/>
                <w:sz w:val="18"/>
              </w:rPr>
              <w:br w:type="textWrapping"/>
            </w:r>
            <w:r>
              <w:rPr>
                <w:rFonts w:hint="default" w:ascii="宋体" w:hAnsi="宋体" w:eastAsia="宋体" w:cs="宋体"/>
                <w:sz w:val="18"/>
              </w:rPr>
              <w:t xml:space="preserve">     单一投资者认购上限为【/】元。（适用【B】类份额)</w:t>
            </w:r>
            <w:r>
              <w:rPr>
                <w:rFonts w:hint="default" w:ascii="宋体" w:hAnsi="宋体" w:eastAsia="宋体" w:cs="宋体"/>
                <w:sz w:val="18"/>
              </w:rPr>
              <w:br w:type="textWrapping"/>
            </w:r>
            <w:r>
              <w:rPr>
                <w:rFonts w:hint="default" w:ascii="宋体" w:hAnsi="宋体" w:eastAsia="宋体" w:cs="宋体"/>
                <w:sz w:val="18"/>
              </w:rPr>
              <w:t xml:space="preserve">     单一投资者认购上限为【/】元。（适用【E】类份额)</w:t>
            </w:r>
            <w:r>
              <w:rPr>
                <w:rFonts w:hint="default" w:ascii="宋体" w:hAnsi="宋体" w:eastAsia="宋体" w:cs="宋体"/>
                <w:sz w:val="18"/>
              </w:rPr>
              <w:br w:type="textWrapping"/>
            </w:r>
            <w:r>
              <w:rPr>
                <w:rFonts w:hint="default" w:ascii="宋体" w:hAnsi="宋体" w:eastAsia="宋体" w:cs="宋体"/>
                <w:sz w:val="18"/>
              </w:rPr>
              <w:t xml:space="preserve">     单一投资者认购上限为【/】元。（适用【F】类份额)</w:t>
            </w:r>
            <w:r>
              <w:rPr>
                <w:rFonts w:hint="default" w:ascii="宋体" w:hAnsi="宋体" w:eastAsia="宋体" w:cs="宋体"/>
                <w:sz w:val="18"/>
              </w:rPr>
              <w:br w:type="textWrapping"/>
            </w:r>
            <w:r>
              <w:rPr>
                <w:rFonts w:hint="default" w:ascii="宋体" w:hAnsi="宋体" w:eastAsia="宋体" w:cs="宋体"/>
                <w:sz w:val="18"/>
              </w:rPr>
              <w:t xml:space="preserve">     单一投资者认购上限为【/】元。（适用【G】类份额)</w:t>
            </w:r>
            <w:r>
              <w:rPr>
                <w:rFonts w:hint="default" w:ascii="宋体" w:hAnsi="宋体" w:eastAsia="宋体" w:cs="宋体"/>
                <w:sz w:val="18"/>
              </w:rPr>
              <w:br w:type="textWrapping"/>
            </w:r>
            <w:r>
              <w:rPr>
                <w:rFonts w:hint="default" w:ascii="宋体" w:hAnsi="宋体" w:eastAsia="宋体" w:cs="宋体"/>
                <w:sz w:val="18"/>
              </w:rPr>
              <w:t>（2）产品存续期间，单一投资者最高持有份额上限为【/】份，符合产品管理人流动性管理的稳定资金除外。（适用【A】类份额)</w:t>
            </w:r>
            <w:r>
              <w:rPr>
                <w:rFonts w:hint="default" w:ascii="宋体" w:hAnsi="宋体" w:eastAsia="宋体" w:cs="宋体"/>
                <w:sz w:val="18"/>
              </w:rPr>
              <w:br w:type="textWrapping"/>
            </w:r>
            <w:r>
              <w:rPr>
                <w:rFonts w:hint="default" w:ascii="宋体" w:hAnsi="宋体" w:eastAsia="宋体" w:cs="宋体"/>
                <w:sz w:val="18"/>
              </w:rPr>
              <w:t xml:space="preserve">     产品存续期间，单一投资者最高持有份额上限为【/】份，符合产品管理人流动性管理的稳定资金除外。（适用【B】类份额)</w:t>
            </w:r>
            <w:r>
              <w:rPr>
                <w:rFonts w:hint="default" w:ascii="宋体" w:hAnsi="宋体" w:eastAsia="宋体" w:cs="宋体"/>
                <w:sz w:val="18"/>
              </w:rPr>
              <w:br w:type="textWrapping"/>
            </w:r>
            <w:r>
              <w:rPr>
                <w:rFonts w:hint="default" w:ascii="宋体" w:hAnsi="宋体" w:eastAsia="宋体" w:cs="宋体"/>
                <w:sz w:val="18"/>
              </w:rPr>
              <w:t xml:space="preserve">     产品存续期间，单一投资者最高持有份额上限为【/】份，符合产品管理人流动性管理的稳定资金除外。（适用【E】类份额)</w:t>
            </w:r>
            <w:r>
              <w:rPr>
                <w:rFonts w:hint="default" w:ascii="宋体" w:hAnsi="宋体" w:eastAsia="宋体" w:cs="宋体"/>
                <w:sz w:val="18"/>
              </w:rPr>
              <w:br w:type="textWrapping"/>
            </w:r>
            <w:r>
              <w:rPr>
                <w:rFonts w:hint="default" w:ascii="宋体" w:hAnsi="宋体" w:eastAsia="宋体" w:cs="宋体"/>
                <w:sz w:val="18"/>
              </w:rPr>
              <w:t xml:space="preserve">     产品存续期间，单一投资者最高持有份额上限为【/】份，符合产品管理人流动性管理的稳定资金除外。（适用【F】类份额)</w:t>
            </w:r>
            <w:r>
              <w:rPr>
                <w:rFonts w:hint="default" w:ascii="宋体" w:hAnsi="宋体" w:eastAsia="宋体" w:cs="宋体"/>
                <w:sz w:val="18"/>
              </w:rPr>
              <w:br w:type="textWrapping"/>
            </w:r>
            <w:r>
              <w:rPr>
                <w:rFonts w:hint="default" w:ascii="宋体" w:hAnsi="宋体" w:eastAsia="宋体" w:cs="宋体"/>
                <w:sz w:val="18"/>
              </w:rPr>
              <w:t xml:space="preserve">     产品存续期间，单一投资者最高持有份额上限为【/】份，符合产品管理人流动性管理的稳定资金除外。（适用【G】类份额)</w:t>
            </w:r>
          </w:p>
          <w:p w14:paraId="44CD8BD2">
            <w:pPr>
              <w:pStyle w:val="34"/>
              <w:keepNext w:val="0"/>
              <w:keepLines w:val="0"/>
              <w:suppressLineNumbers w:val="0"/>
              <w:spacing w:before="0" w:beforeAutospacing="0" w:after="0" w:afterAutospacing="0" w:line="360" w:lineRule="auto"/>
              <w:ind w:left="0" w:right="0"/>
              <w:rPr>
                <w:rFonts w:hint="eastAsia" w:hAnsi="宋体"/>
                <w:bCs/>
                <w:sz w:val="18"/>
                <w:szCs w:val="18"/>
                <w:lang w:val="en-US" w:eastAsia="zh-CN"/>
              </w:rPr>
            </w:pPr>
            <w:r>
              <w:rPr>
                <w:rFonts w:hint="eastAsia" w:hAnsi="宋体"/>
                <w:bCs/>
                <w:sz w:val="18"/>
                <w:szCs w:val="18"/>
                <w:lang w:val="en-US" w:eastAsia="zh-CN"/>
              </w:rPr>
              <w:t xml:space="preserve">如需突破上限，请与产品管理人或销售机构客户经理联系。 </w:t>
            </w:r>
          </w:p>
          <w:p w14:paraId="5087CD19">
            <w:pPr>
              <w:pStyle w:val="34"/>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hint="default"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hint="default" w:ascii="黑体" w:hAnsi="黑体" w:eastAsia="黑体"/>
                <w:color w:val="000000" w:themeColor="text1"/>
                <w:sz w:val="18"/>
                <w:szCs w:val="18"/>
                <w14:textFill>
                  <w14:solidFill>
                    <w14:schemeClr w14:val="tx1"/>
                  </w14:solidFill>
                </w14:textFill>
              </w:rPr>
              <w:t>50%。</w:t>
            </w:r>
          </w:p>
          <w:p w14:paraId="6DCC3510">
            <w:pPr>
              <w:pStyle w:val="34"/>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hint="default"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14:paraId="75EF6CA2">
            <w:pPr>
              <w:keepNext w:val="0"/>
              <w:keepLines w:val="0"/>
              <w:suppressLineNumbers w:val="0"/>
              <w:spacing w:before="0" w:beforeAutospacing="0" w:after="0" w:afterAutospacing="0" w:line="360" w:lineRule="auto"/>
              <w:ind w:left="0" w:right="0"/>
              <w:rPr>
                <w:rFonts w:hint="default" w:asciiTheme="minorEastAsia" w:hAnsiTheme="minorEastAsia" w:eastAsiaTheme="minorEastAsia"/>
                <w:sz w:val="18"/>
                <w:szCs w:val="18"/>
              </w:rPr>
            </w:pPr>
            <w:r>
              <w:rPr>
                <w:rFonts w:hint="eastAsia" w:ascii="黑体" w:hAnsi="黑体" w:eastAsia="黑体"/>
                <w:color w:val="000000" w:themeColor="text1"/>
                <w:sz w:val="18"/>
                <w:szCs w:val="18"/>
                <w14:textFill>
                  <w14:solidFill>
                    <w14:schemeClr w14:val="tx1"/>
                  </w14:solidFill>
                </w14:textFill>
              </w:rPr>
              <w:t>（</w:t>
            </w:r>
            <w:r>
              <w:rPr>
                <w:rFonts w:hint="default"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14:paraId="236DE07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78A736C">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bCs/>
                <w:sz w:val="18"/>
                <w:szCs w:val="18"/>
              </w:rPr>
              <w:t>理财产品</w:t>
            </w:r>
            <w:r>
              <w:rPr>
                <w:rFonts w:hint="default" w:asciiTheme="majorEastAsia" w:hAnsiTheme="majorEastAsia" w:eastAsiaTheme="majorEastAsia"/>
                <w:b/>
                <w:bCs/>
                <w:sz w:val="18"/>
                <w:szCs w:val="18"/>
              </w:rPr>
              <w:t>份额发售面值</w:t>
            </w:r>
          </w:p>
        </w:tc>
        <w:tc>
          <w:tcPr>
            <w:tcW w:w="7674" w:type="dxa"/>
            <w:shd w:val="solid" w:color="FFFFFF" w:fill="FFFFFF"/>
            <w:vAlign w:val="center"/>
          </w:tcPr>
          <w:p w14:paraId="71482F63">
            <w:pPr>
              <w:keepNext w:val="0"/>
              <w:keepLines w:val="0"/>
              <w:suppressLineNumbers w:val="0"/>
              <w:spacing w:before="0" w:beforeAutospacing="0" w:after="0" w:afterAutospacing="0" w:line="360" w:lineRule="auto"/>
              <w:ind w:left="0" w:right="0"/>
              <w:rPr>
                <w:rFonts w:hint="default" w:asciiTheme="majorEastAsia" w:hAnsiTheme="majorEastAsia" w:eastAsiaTheme="majorEastAsia"/>
                <w:sz w:val="18"/>
                <w:szCs w:val="18"/>
              </w:rPr>
            </w:pPr>
            <w:r>
              <w:rPr>
                <w:rFonts w:hint="default"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14:paraId="3B7D142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27C457B">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14:paraId="28D5A0F9">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hint="default" w:asciiTheme="majorEastAsia" w:hAnsiTheme="majorEastAsia" w:eastAsiaTheme="majorEastAsia"/>
                <w:color w:val="000000" w:themeColor="text1"/>
                <w:sz w:val="18"/>
                <w:szCs w:val="18"/>
                <w14:textFill>
                  <w14:solidFill>
                    <w14:schemeClr w14:val="tx1"/>
                  </w14:solidFill>
                </w14:textFill>
              </w:rPr>
              <w:t>.</w:t>
            </w:r>
            <w:r>
              <w:rPr>
                <w:rFonts w:hint="default"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hint="default"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hint="default"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hint="default" w:asciiTheme="majorEastAsia" w:hAnsiTheme="majorEastAsia" w:eastAsiaTheme="majorEastAsia"/>
                <w:bCs/>
                <w:sz w:val="18"/>
                <w:szCs w:val="18"/>
              </w:rPr>
              <w:t>分配所得以实际到账金额为准。</w:t>
            </w:r>
          </w:p>
          <w:p w14:paraId="6E5168B5">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default"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hint="default"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hint="default" w:asciiTheme="majorEastAsia" w:hAnsiTheme="majorEastAsia" w:eastAsiaTheme="majorEastAsia"/>
                <w:bCs/>
                <w:sz w:val="18"/>
                <w:szCs w:val="18"/>
              </w:rPr>
              <w:t>的费用和税收。</w:t>
            </w:r>
          </w:p>
          <w:p w14:paraId="79CD987A">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default"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hint="default"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hint="default" w:asciiTheme="majorEastAsia" w:hAnsiTheme="majorEastAsia" w:eastAsiaTheme="majorEastAsia"/>
                <w:bCs/>
                <w:sz w:val="18"/>
                <w:szCs w:val="18"/>
              </w:rPr>
              <w:t>产品份额净值为基础进行利益分配。</w:t>
            </w:r>
          </w:p>
          <w:p w14:paraId="3DEB5504">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14:paraId="0883F9C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65A3CC80">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14:paraId="760CD802">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default" w:ascii="宋体" w:hAnsi="宋体" w:eastAsia="宋体" w:cs="宋体"/>
                <w:sz w:val="18"/>
              </w:rPr>
              <w:t>1.业绩比较基准的设置</w:t>
            </w:r>
            <w:r>
              <w:rPr>
                <w:rFonts w:hint="default" w:ascii="宋体" w:hAnsi="宋体" w:eastAsia="宋体" w:cs="宋体"/>
                <w:sz w:val="18"/>
              </w:rPr>
              <w:br w:type="textWrapping"/>
            </w:r>
            <w:r>
              <w:rPr>
                <w:rFonts w:hint="default" w:ascii="宋体" w:hAnsi="宋体" w:eastAsia="宋体" w:cs="宋体"/>
                <w:sz w:val="18"/>
              </w:rPr>
              <w:t>■ 产品管理人设置业绩比较基准。</w:t>
            </w:r>
            <w:r>
              <w:rPr>
                <w:rFonts w:hint="default" w:ascii="宋体" w:hAnsi="宋体" w:eastAsia="宋体" w:cs="宋体"/>
                <w:sz w:val="18"/>
              </w:rPr>
              <w:br w:type="textWrapping"/>
            </w:r>
            <w:r>
              <w:rPr>
                <w:rFonts w:hint="default" w:ascii="宋体" w:hAnsi="宋体" w:eastAsia="宋体" w:cs="宋体"/>
                <w:sz w:val="18"/>
              </w:rPr>
              <w:t>（1）业绩比较基准的说明：【产品投资债权类资产不低于80%，根据当前市场环境下大类资产合理配置比例及大类资产收益情况，考虑杠杆和费率等因素，并结合产品投资策略，设定业绩比较基准。】。</w:t>
            </w:r>
            <w:r>
              <w:rPr>
                <w:rFonts w:hint="default" w:ascii="宋体" w:hAnsi="宋体" w:eastAsia="宋体" w:cs="宋体"/>
                <w:sz w:val="18"/>
              </w:rPr>
              <w:br w:type="textWrapping"/>
            </w:r>
            <w:r>
              <w:rPr>
                <w:rFonts w:hint="default" w:ascii="宋体" w:hAnsi="宋体" w:eastAsia="宋体" w:cs="宋体"/>
                <w:sz w:val="18"/>
              </w:rPr>
              <w:t>（2）业绩比较基准的设定：管理人对本产品设定业绩比较基准：</w:t>
            </w:r>
            <w:r>
              <w:rPr>
                <w:rFonts w:hint="default" w:ascii="宋体" w:hAnsi="宋体" w:eastAsia="宋体" w:cs="宋体"/>
                <w:sz w:val="18"/>
              </w:rPr>
              <w:br w:type="textWrapping"/>
            </w:r>
            <w:r>
              <w:rPr>
                <w:rFonts w:hint="default" w:ascii="宋体" w:hAnsi="宋体" w:eastAsia="宋体" w:cs="宋体"/>
                <w:sz w:val="18"/>
              </w:rPr>
              <w:t>年化【1.88%】。（适用【A】类份额)</w:t>
            </w:r>
            <w:r>
              <w:rPr>
                <w:rFonts w:hint="default" w:ascii="宋体" w:hAnsi="宋体" w:eastAsia="宋体" w:cs="宋体"/>
                <w:sz w:val="18"/>
              </w:rPr>
              <w:br w:type="textWrapping"/>
            </w:r>
            <w:r>
              <w:rPr>
                <w:rFonts w:hint="default" w:ascii="宋体" w:hAnsi="宋体" w:eastAsia="宋体" w:cs="宋体"/>
                <w:sz w:val="18"/>
              </w:rPr>
              <w:t>年化【1.83%】。（适用【B】类份额)</w:t>
            </w:r>
            <w:r>
              <w:rPr>
                <w:rFonts w:hint="default" w:ascii="宋体" w:hAnsi="宋体" w:eastAsia="宋体" w:cs="宋体"/>
                <w:sz w:val="18"/>
              </w:rPr>
              <w:br w:type="textWrapping"/>
            </w:r>
            <w:r>
              <w:rPr>
                <w:rFonts w:hint="default" w:ascii="宋体" w:hAnsi="宋体" w:eastAsia="宋体" w:cs="宋体"/>
                <w:sz w:val="18"/>
              </w:rPr>
              <w:t>年化【1.78%】。（适用【E】类份额)</w:t>
            </w:r>
            <w:r>
              <w:rPr>
                <w:rFonts w:hint="default" w:ascii="宋体" w:hAnsi="宋体" w:eastAsia="宋体" w:cs="宋体"/>
                <w:sz w:val="18"/>
              </w:rPr>
              <w:br w:type="textWrapping"/>
            </w:r>
            <w:r>
              <w:rPr>
                <w:rFonts w:hint="default" w:ascii="宋体" w:hAnsi="宋体" w:eastAsia="宋体" w:cs="宋体"/>
                <w:sz w:val="18"/>
              </w:rPr>
              <w:t>年化【1.73%】。（适用【F】类份额)</w:t>
            </w:r>
            <w:r>
              <w:rPr>
                <w:rFonts w:hint="default" w:ascii="宋体" w:hAnsi="宋体" w:eastAsia="宋体" w:cs="宋体"/>
                <w:sz w:val="18"/>
              </w:rPr>
              <w:br w:type="textWrapping"/>
            </w:r>
            <w:r>
              <w:rPr>
                <w:rFonts w:hint="default" w:ascii="宋体" w:hAnsi="宋体" w:eastAsia="宋体" w:cs="宋体"/>
                <w:sz w:val="18"/>
              </w:rPr>
              <w:t>年化【1.63%】。（适用【G】类份额)</w:t>
            </w:r>
            <w:r>
              <w:rPr>
                <w:rFonts w:hint="default" w:ascii="宋体" w:hAnsi="宋体" w:eastAsia="宋体" w:cs="宋体"/>
                <w:sz w:val="18"/>
              </w:rPr>
              <w:br w:type="textWrapping"/>
            </w:r>
            <w:r>
              <w:rPr>
                <w:rFonts w:hint="default" w:ascii="宋体" w:hAnsi="宋体" w:eastAsia="宋体" w:cs="宋体"/>
                <w:sz w:val="18"/>
              </w:rPr>
              <w:t>□ 产品管理人不设置业绩比较基准。</w:t>
            </w:r>
          </w:p>
          <w:p w14:paraId="58CAB82D">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default" w:asciiTheme="majorEastAsia" w:hAnsiTheme="majorEastAsia" w:eastAsiaTheme="majorEastAsia"/>
                <w:bCs/>
                <w:sz w:val="18"/>
                <w:szCs w:val="18"/>
              </w:rPr>
              <w:t>2.业绩比较基准的提示：</w:t>
            </w:r>
          </w:p>
          <w:p w14:paraId="09C0038A">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14:paraId="7C17D86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75C70C3B">
            <w:pPr>
              <w:keepNext w:val="0"/>
              <w:keepLines w:val="0"/>
              <w:suppressLineNumbers w:val="0"/>
              <w:spacing w:before="0" w:beforeAutospacing="0" w:after="0" w:afterAutospacing="0" w:line="360" w:lineRule="auto"/>
              <w:ind w:left="0" w:right="0"/>
              <w:jc w:val="left"/>
              <w:rPr>
                <w:rFonts w:hint="default"/>
                <w:sz w:val="18"/>
                <w:szCs w:val="18"/>
              </w:rPr>
            </w:pPr>
            <w:r>
              <w:rPr>
                <w:rFonts w:hint="eastAsia"/>
                <w:sz w:val="18"/>
                <w:szCs w:val="18"/>
              </w:rPr>
              <w:t>★</w:t>
            </w:r>
            <w:r>
              <w:rPr>
                <w:rFonts w:hint="eastAsia"/>
                <w:b/>
                <w:sz w:val="18"/>
                <w:szCs w:val="18"/>
              </w:rPr>
              <w:t>业绩报酬计提</w:t>
            </w:r>
            <w:r>
              <w:rPr>
                <w:rFonts w:hint="default" w:ascii="宋体" w:hAnsi="宋体"/>
                <w:b/>
                <w:sz w:val="18"/>
                <w:szCs w:val="18"/>
              </w:rPr>
              <w:t>基准</w:t>
            </w:r>
          </w:p>
        </w:tc>
        <w:tc>
          <w:tcPr>
            <w:tcW w:w="7674" w:type="dxa"/>
            <w:shd w:val="solid" w:color="FFFFFF" w:fill="FFFFFF"/>
            <w:vAlign w:val="center"/>
          </w:tcPr>
          <w:p w14:paraId="56EEDF7D">
            <w:pPr>
              <w:keepNext w:val="0"/>
              <w:keepLines w:val="0"/>
              <w:suppressLineNumbers w:val="0"/>
              <w:spacing w:before="0" w:beforeAutospacing="0" w:after="0" w:afterAutospacing="0" w:line="360" w:lineRule="auto"/>
              <w:ind w:left="0" w:right="0"/>
              <w:jc w:val="left"/>
              <w:rPr>
                <w:rFonts w:hint="eastAsia" w:hAnsi="宋体"/>
                <w:bCs/>
                <w:sz w:val="18"/>
                <w:szCs w:val="18"/>
              </w:rPr>
            </w:pPr>
            <w:r>
              <w:rPr>
                <w:rFonts w:hint="default" w:ascii="宋体" w:hAnsi="宋体" w:eastAsia="宋体" w:cs="宋体"/>
                <w:sz w:val="18"/>
              </w:rPr>
              <w:t>1.业绩报酬计提基准的设置</w:t>
            </w:r>
            <w:r>
              <w:rPr>
                <w:rFonts w:hint="default" w:ascii="宋体" w:hAnsi="宋体" w:eastAsia="宋体" w:cs="宋体"/>
                <w:sz w:val="18"/>
              </w:rPr>
              <w:br w:type="textWrapping"/>
            </w:r>
            <w:r>
              <w:rPr>
                <w:rFonts w:hint="default" w:ascii="宋体" w:hAnsi="宋体" w:eastAsia="宋体" w:cs="宋体"/>
                <w:sz w:val="18"/>
              </w:rPr>
              <w:t>■ 产品管理人设置业绩报酬计提基准。</w:t>
            </w:r>
            <w:r>
              <w:rPr>
                <w:rFonts w:hint="default" w:ascii="宋体" w:hAnsi="宋体" w:eastAsia="宋体" w:cs="宋体"/>
                <w:sz w:val="18"/>
              </w:rPr>
              <w:br w:type="textWrapping"/>
            </w:r>
            <w:r>
              <w:rPr>
                <w:rFonts w:hint="default" w:ascii="宋体" w:hAnsi="宋体" w:eastAsia="宋体" w:cs="宋体"/>
                <w:sz w:val="18"/>
              </w:rPr>
              <w:t>业绩报酬计提基准的设定：管理人对本产品设定业绩报酬计提基准：</w:t>
            </w:r>
            <w:r>
              <w:rPr>
                <w:rFonts w:hint="default" w:ascii="宋体" w:hAnsi="宋体" w:eastAsia="宋体" w:cs="宋体"/>
                <w:sz w:val="18"/>
              </w:rPr>
              <w:br w:type="textWrapping"/>
            </w:r>
            <w:r>
              <w:rPr>
                <w:rFonts w:hint="default" w:ascii="宋体" w:hAnsi="宋体" w:eastAsia="宋体" w:cs="宋体"/>
                <w:sz w:val="18"/>
              </w:rPr>
              <w:t>年化【1.88%】。（适用【A】类份额)</w:t>
            </w:r>
            <w:r>
              <w:rPr>
                <w:rFonts w:hint="default" w:ascii="宋体" w:hAnsi="宋体" w:eastAsia="宋体" w:cs="宋体"/>
                <w:sz w:val="18"/>
              </w:rPr>
              <w:br w:type="textWrapping"/>
            </w:r>
            <w:r>
              <w:rPr>
                <w:rFonts w:hint="default" w:ascii="宋体" w:hAnsi="宋体" w:eastAsia="宋体" w:cs="宋体"/>
                <w:sz w:val="18"/>
              </w:rPr>
              <w:t>年化【1.83%】。（适用【B】类份额)</w:t>
            </w:r>
            <w:r>
              <w:rPr>
                <w:rFonts w:hint="default" w:ascii="宋体" w:hAnsi="宋体" w:eastAsia="宋体" w:cs="宋体"/>
                <w:sz w:val="18"/>
              </w:rPr>
              <w:br w:type="textWrapping"/>
            </w:r>
            <w:r>
              <w:rPr>
                <w:rFonts w:hint="default" w:ascii="宋体" w:hAnsi="宋体" w:eastAsia="宋体" w:cs="宋体"/>
                <w:sz w:val="18"/>
              </w:rPr>
              <w:t>年化【1.78%】。（适用【E】类份额)</w:t>
            </w:r>
            <w:r>
              <w:rPr>
                <w:rFonts w:hint="default" w:ascii="宋体" w:hAnsi="宋体" w:eastAsia="宋体" w:cs="宋体"/>
                <w:sz w:val="18"/>
              </w:rPr>
              <w:br w:type="textWrapping"/>
            </w:r>
            <w:r>
              <w:rPr>
                <w:rFonts w:hint="default" w:ascii="宋体" w:hAnsi="宋体" w:eastAsia="宋体" w:cs="宋体"/>
                <w:sz w:val="18"/>
              </w:rPr>
              <w:t>年化【1.73%】。（适用【F】类份额)</w:t>
            </w:r>
            <w:r>
              <w:rPr>
                <w:rFonts w:hint="default" w:ascii="宋体" w:hAnsi="宋体" w:eastAsia="宋体" w:cs="宋体"/>
                <w:sz w:val="18"/>
              </w:rPr>
              <w:br w:type="textWrapping"/>
            </w:r>
            <w:r>
              <w:rPr>
                <w:rFonts w:hint="default" w:ascii="宋体" w:hAnsi="宋体" w:eastAsia="宋体" w:cs="宋体"/>
                <w:sz w:val="18"/>
              </w:rPr>
              <w:t>年化【1.63%】。（适用【G】类份额)</w:t>
            </w:r>
            <w:r>
              <w:rPr>
                <w:rFonts w:hint="default" w:ascii="宋体" w:hAnsi="宋体" w:eastAsia="宋体" w:cs="宋体"/>
                <w:sz w:val="18"/>
              </w:rPr>
              <w:br w:type="textWrapping"/>
            </w:r>
            <w:r>
              <w:rPr>
                <w:rFonts w:hint="default" w:ascii="宋体" w:hAnsi="宋体" w:eastAsia="宋体" w:cs="宋体"/>
                <w:sz w:val="18"/>
              </w:rPr>
              <w:t>□ 产品管理人不设置业绩报酬计提基准。</w:t>
            </w:r>
          </w:p>
          <w:p w14:paraId="34820356">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default" w:ascii="宋体" w:hAnsi="宋体"/>
                <w:bCs/>
                <w:sz w:val="18"/>
                <w:szCs w:val="18"/>
              </w:rPr>
              <w:t>2.业绩报酬计提基准的提示</w:t>
            </w:r>
            <w:r>
              <w:rPr>
                <w:rFonts w:hint="eastAsia" w:ascii="宋体" w:hAnsi="宋体"/>
                <w:bCs/>
                <w:sz w:val="18"/>
                <w:szCs w:val="18"/>
              </w:rPr>
              <w:t>：</w:t>
            </w:r>
          </w:p>
          <w:p w14:paraId="5135DA04">
            <w:pPr>
              <w:keepNext w:val="0"/>
              <w:keepLines w:val="0"/>
              <w:suppressLineNumbers w:val="0"/>
              <w:autoSpaceDE w:val="0"/>
              <w:autoSpaceDN w:val="0"/>
              <w:adjustRightInd w:val="0"/>
              <w:spacing w:before="0" w:beforeAutospacing="0" w:after="0" w:afterAutospacing="0" w:line="360" w:lineRule="auto"/>
              <w:ind w:left="0" w:right="0"/>
              <w:jc w:val="left"/>
              <w:rPr>
                <w:rFonts w:hint="default" w:ascii="黑体" w:hAnsi="黑体" w:eastAsia="黑体"/>
                <w:sz w:val="18"/>
              </w:rPr>
            </w:pPr>
            <w:r>
              <w:rPr>
                <w:rFonts w:hint="eastAsia" w:ascii="黑体" w:hAnsi="黑体" w:eastAsia="黑体"/>
                <w:sz w:val="18"/>
              </w:rPr>
              <w:t>（</w:t>
            </w:r>
            <w:r>
              <w:rPr>
                <w:rFonts w:hint="default"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14:paraId="091F068B">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宋体" w:hAnsi="宋体"/>
                <w:bCs/>
                <w:sz w:val="18"/>
                <w:szCs w:val="18"/>
              </w:rPr>
              <w:t>（</w:t>
            </w:r>
            <w:r>
              <w:rPr>
                <w:rFonts w:hint="default"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14:paraId="1C25452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07CC7EAC">
            <w:pPr>
              <w:keepNext w:val="0"/>
              <w:keepLines w:val="0"/>
              <w:suppressLineNumbers w:val="0"/>
              <w:spacing w:before="0" w:beforeAutospacing="0" w:after="0" w:afterAutospacing="0" w:line="360" w:lineRule="auto"/>
              <w:ind w:left="0" w:right="0"/>
              <w:jc w:val="left"/>
              <w:rPr>
                <w:rFonts w:hint="default"/>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14:paraId="34FA875F">
            <w:pPr>
              <w:keepNext w:val="0"/>
              <w:keepLines w:val="0"/>
              <w:suppressLineNumbers w:val="0"/>
              <w:spacing w:before="0" w:beforeAutospacing="0" w:after="0" w:afterAutospacing="0" w:line="360" w:lineRule="auto"/>
              <w:ind w:left="0" w:right="0"/>
              <w:jc w:val="left"/>
              <w:rPr>
                <w:rFonts w:hint="default" w:hAnsi="宋体"/>
                <w:bCs/>
                <w:sz w:val="18"/>
                <w:szCs w:val="18"/>
              </w:rPr>
            </w:pPr>
            <w:r>
              <w:rPr>
                <w:rFonts w:hint="eastAsia" w:hAnsi="宋体"/>
                <w:bCs/>
                <w:sz w:val="18"/>
                <w:szCs w:val="18"/>
              </w:rPr>
              <w:t>1</w:t>
            </w:r>
            <w:r>
              <w:rPr>
                <w:rFonts w:hint="default"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14:paraId="434065C5">
            <w:pPr>
              <w:keepNext w:val="0"/>
              <w:keepLines w:val="0"/>
              <w:suppressLineNumbers w:val="0"/>
              <w:spacing w:before="0" w:beforeAutospacing="0" w:after="0" w:afterAutospacing="0" w:line="360" w:lineRule="auto"/>
              <w:ind w:left="0" w:right="0"/>
              <w:jc w:val="left"/>
              <w:rPr>
                <w:rFonts w:hint="default" w:hAnsi="宋体"/>
                <w:bCs/>
                <w:sz w:val="18"/>
                <w:szCs w:val="18"/>
              </w:rPr>
            </w:pPr>
            <w:r>
              <w:rPr>
                <w:rFonts w:hint="eastAsia" w:hAnsi="宋体"/>
                <w:bCs/>
                <w:sz w:val="18"/>
                <w:szCs w:val="18"/>
              </w:rPr>
              <w:t>2</w:t>
            </w:r>
            <w:r>
              <w:rPr>
                <w:rFonts w:hint="default" w:hAnsi="宋体"/>
                <w:bCs/>
                <w:sz w:val="18"/>
                <w:szCs w:val="18"/>
              </w:rPr>
              <w:t>.具体理财产品利益分配</w:t>
            </w:r>
            <w:r>
              <w:rPr>
                <w:rFonts w:hint="eastAsia" w:hAnsi="宋体"/>
                <w:bCs/>
                <w:sz w:val="18"/>
                <w:szCs w:val="18"/>
              </w:rPr>
              <w:t>详见《产品说明书》“第八条 理财产品的利益分配”。</w:t>
            </w:r>
          </w:p>
        </w:tc>
      </w:tr>
      <w:tr w14:paraId="1F18733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50C67DE">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14:paraId="0F653B65">
            <w:pPr>
              <w:keepNext w:val="0"/>
              <w:keepLines w:val="0"/>
              <w:suppressLineNumbers w:val="0"/>
              <w:spacing w:before="0" w:beforeAutospacing="0" w:after="0" w:afterAutospacing="0" w:line="360" w:lineRule="auto"/>
              <w:ind w:left="0" w:right="0"/>
              <w:rPr>
                <w:rFonts w:hint="default" w:ascii="黑体" w:hAnsi="黑体" w:eastAsia="黑体"/>
                <w:bCs/>
                <w:color w:val="000000" w:themeColor="text1"/>
                <w:sz w:val="18"/>
                <w:szCs w:val="18"/>
                <w14:textFill>
                  <w14:solidFill>
                    <w14:schemeClr w14:val="tx1"/>
                  </w14:solidFill>
                </w14:textFill>
              </w:rPr>
            </w:pPr>
            <w:r>
              <w:rPr>
                <w:rFonts w:hint="default" w:ascii="黑体" w:hAnsi="黑体" w:eastAsia="黑体" w:cs="黑体"/>
                <w:sz w:val="18"/>
              </w:rPr>
              <w:t>1.理财产品的费率标准</w:t>
            </w:r>
            <w:r>
              <w:rPr>
                <w:rFonts w:hint="default" w:ascii="黑体" w:hAnsi="黑体" w:eastAsia="黑体" w:cs="黑体"/>
                <w:sz w:val="18"/>
              </w:rPr>
              <w:br w:type="textWrapping"/>
            </w:r>
            <w:r>
              <w:rPr>
                <w:rFonts w:hint="default" w:ascii="黑体" w:hAnsi="黑体" w:eastAsia="黑体" w:cs="黑体"/>
                <w:sz w:val="18"/>
              </w:rPr>
              <w:t>（1）认购费：</w:t>
            </w:r>
            <w:r>
              <w:rPr>
                <w:rFonts w:hint="default" w:ascii="黑体" w:hAnsi="黑体" w:eastAsia="黑体" w:cs="黑体"/>
                <w:sz w:val="18"/>
              </w:rPr>
              <w:br w:type="textWrapping"/>
            </w:r>
            <w:r>
              <w:rPr>
                <w:rFonts w:hint="default" w:ascii="黑体" w:hAnsi="黑体" w:eastAsia="黑体" w:cs="黑体"/>
                <w:sz w:val="18"/>
              </w:rPr>
              <w:t>【/】。（适用【A】类份额）</w:t>
            </w:r>
            <w:r>
              <w:rPr>
                <w:rFonts w:hint="default" w:ascii="黑体" w:hAnsi="黑体" w:eastAsia="黑体" w:cs="黑体"/>
                <w:sz w:val="18"/>
              </w:rPr>
              <w:br w:type="textWrapping"/>
            </w:r>
            <w:r>
              <w:rPr>
                <w:rFonts w:hint="default" w:ascii="黑体" w:hAnsi="黑体" w:eastAsia="黑体" w:cs="黑体"/>
                <w:sz w:val="18"/>
              </w:rPr>
              <w:t>【/】。（适用【B】类份额）</w:t>
            </w:r>
            <w:r>
              <w:rPr>
                <w:rFonts w:hint="default" w:ascii="黑体" w:hAnsi="黑体" w:eastAsia="黑体" w:cs="黑体"/>
                <w:sz w:val="18"/>
              </w:rPr>
              <w:br w:type="textWrapping"/>
            </w:r>
            <w:r>
              <w:rPr>
                <w:rFonts w:hint="default" w:ascii="黑体" w:hAnsi="黑体" w:eastAsia="黑体" w:cs="黑体"/>
                <w:sz w:val="18"/>
              </w:rPr>
              <w:t>【/】。（适用【E】类份额）</w:t>
            </w:r>
            <w:r>
              <w:rPr>
                <w:rFonts w:hint="default" w:ascii="黑体" w:hAnsi="黑体" w:eastAsia="黑体" w:cs="黑体"/>
                <w:sz w:val="18"/>
              </w:rPr>
              <w:br w:type="textWrapping"/>
            </w:r>
            <w:r>
              <w:rPr>
                <w:rFonts w:hint="default" w:ascii="黑体" w:hAnsi="黑体" w:eastAsia="黑体" w:cs="黑体"/>
                <w:sz w:val="18"/>
              </w:rPr>
              <w:t>【/】。（适用【F】类份额）</w:t>
            </w:r>
            <w:r>
              <w:rPr>
                <w:rFonts w:hint="default" w:ascii="黑体" w:hAnsi="黑体" w:eastAsia="黑体" w:cs="黑体"/>
                <w:sz w:val="18"/>
              </w:rPr>
              <w:br w:type="textWrapping"/>
            </w:r>
            <w:r>
              <w:rPr>
                <w:rFonts w:hint="default" w:ascii="黑体" w:hAnsi="黑体" w:eastAsia="黑体" w:cs="黑体"/>
                <w:sz w:val="18"/>
              </w:rPr>
              <w:t>【/】。（适用【G】类份额）</w:t>
            </w:r>
            <w:r>
              <w:rPr>
                <w:rFonts w:hint="default" w:ascii="黑体" w:hAnsi="黑体" w:eastAsia="黑体" w:cs="黑体"/>
                <w:sz w:val="18"/>
              </w:rPr>
              <w:br w:type="textWrapping"/>
            </w:r>
            <w:r>
              <w:rPr>
                <w:rFonts w:hint="default" w:ascii="黑体" w:hAnsi="黑体" w:eastAsia="黑体" w:cs="黑体"/>
                <w:sz w:val="18"/>
              </w:rPr>
              <w:t>（2）销售服务费：</w:t>
            </w:r>
            <w:r>
              <w:rPr>
                <w:rFonts w:hint="default" w:ascii="黑体" w:hAnsi="黑体" w:eastAsia="黑体" w:cs="黑体"/>
                <w:sz w:val="18"/>
              </w:rPr>
              <w:br w:type="textWrapping"/>
            </w:r>
            <w:r>
              <w:rPr>
                <w:rFonts w:hint="default" w:ascii="黑体" w:hAnsi="黑体" w:eastAsia="黑体" w:cs="黑体"/>
                <w:sz w:val="18"/>
              </w:rPr>
              <w:t>年化费率【0.05%】。（适用【A】类份额）</w:t>
            </w:r>
            <w:r>
              <w:rPr>
                <w:rFonts w:hint="default" w:ascii="黑体" w:hAnsi="黑体" w:eastAsia="黑体" w:cs="黑体"/>
                <w:sz w:val="18"/>
              </w:rPr>
              <w:br w:type="textWrapping"/>
            </w:r>
            <w:r>
              <w:rPr>
                <w:rFonts w:hint="default" w:ascii="黑体" w:hAnsi="黑体" w:eastAsia="黑体" w:cs="黑体"/>
                <w:sz w:val="18"/>
              </w:rPr>
              <w:t>年化费率【0.1%】。（适用【B】类份额）</w:t>
            </w:r>
            <w:r>
              <w:rPr>
                <w:rFonts w:hint="default" w:ascii="黑体" w:hAnsi="黑体" w:eastAsia="黑体" w:cs="黑体"/>
                <w:sz w:val="18"/>
              </w:rPr>
              <w:br w:type="textWrapping"/>
            </w:r>
            <w:r>
              <w:rPr>
                <w:rFonts w:hint="default" w:ascii="黑体" w:hAnsi="黑体" w:eastAsia="黑体" w:cs="黑体"/>
                <w:sz w:val="18"/>
              </w:rPr>
              <w:t>年化费率【0.15%】。（适用【E】类份额）</w:t>
            </w:r>
            <w:r>
              <w:rPr>
                <w:rFonts w:hint="default" w:ascii="黑体" w:hAnsi="黑体" w:eastAsia="黑体" w:cs="黑体"/>
                <w:sz w:val="18"/>
              </w:rPr>
              <w:br w:type="textWrapping"/>
            </w:r>
            <w:r>
              <w:rPr>
                <w:rFonts w:hint="default" w:ascii="黑体" w:hAnsi="黑体" w:eastAsia="黑体" w:cs="黑体"/>
                <w:sz w:val="18"/>
              </w:rPr>
              <w:t>年化费率【0.2%】。（适用【F】类份额）</w:t>
            </w:r>
            <w:r>
              <w:rPr>
                <w:rFonts w:hint="default" w:ascii="黑体" w:hAnsi="黑体" w:eastAsia="黑体" w:cs="黑体"/>
                <w:sz w:val="18"/>
              </w:rPr>
              <w:br w:type="textWrapping"/>
            </w:r>
            <w:r>
              <w:rPr>
                <w:rFonts w:hint="default" w:ascii="黑体" w:hAnsi="黑体" w:eastAsia="黑体" w:cs="黑体"/>
                <w:sz w:val="18"/>
              </w:rPr>
              <w:t>年化费率【0.3%】。（适用【G】类份额）</w:t>
            </w:r>
            <w:r>
              <w:rPr>
                <w:rFonts w:hint="default" w:ascii="黑体" w:hAnsi="黑体" w:eastAsia="黑体" w:cs="黑体"/>
                <w:sz w:val="18"/>
              </w:rPr>
              <w:br w:type="textWrapping"/>
            </w:r>
            <w:r>
              <w:rPr>
                <w:rFonts w:hint="default" w:ascii="黑体" w:hAnsi="黑体" w:eastAsia="黑体" w:cs="黑体"/>
                <w:sz w:val="18"/>
              </w:rPr>
              <w:t>（3）投资管理费：年化费率【0.01%】</w:t>
            </w:r>
            <w:r>
              <w:rPr>
                <w:rFonts w:hint="default" w:ascii="黑体" w:hAnsi="黑体" w:eastAsia="黑体" w:cs="黑体"/>
                <w:sz w:val="18"/>
              </w:rPr>
              <w:br w:type="textWrapping"/>
            </w:r>
            <w:r>
              <w:rPr>
                <w:rFonts w:hint="default" w:ascii="黑体" w:hAnsi="黑体" w:eastAsia="黑体" w:cs="黑体"/>
                <w:sz w:val="18"/>
              </w:rPr>
              <w:t>（4）产品托管费：年化费率【0.01%】</w:t>
            </w:r>
            <w:r>
              <w:rPr>
                <w:rFonts w:hint="default" w:ascii="黑体" w:hAnsi="黑体" w:eastAsia="黑体" w:cs="黑体"/>
                <w:sz w:val="18"/>
              </w:rPr>
              <w:br w:type="textWrapping"/>
            </w:r>
            <w:r>
              <w:rPr>
                <w:rFonts w:hint="default" w:ascii="黑体" w:hAnsi="黑体" w:eastAsia="黑体" w:cs="黑体"/>
                <w:sz w:val="18"/>
              </w:rPr>
              <w:t>（5）超额业绩报酬：</w:t>
            </w:r>
            <w:r>
              <w:rPr>
                <w:rFonts w:hint="default" w:ascii="黑体" w:hAnsi="黑体" w:eastAsia="黑体" w:cs="黑体"/>
                <w:sz w:val="18"/>
              </w:rPr>
              <w:br w:type="textWrapping"/>
            </w:r>
            <w:r>
              <w:rPr>
                <w:rFonts w:hint="default" w:ascii="黑体" w:hAnsi="黑体" w:eastAsia="黑体" w:cs="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14:paraId="7DB5FFD7">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14:paraId="27B69FA0">
            <w:pPr>
              <w:keepNext w:val="0"/>
              <w:keepLines w:val="0"/>
              <w:suppressLineNumbers w:val="0"/>
              <w:spacing w:before="0" w:beforeAutospacing="0" w:after="0" w:afterAutospacing="0" w:line="360" w:lineRule="auto"/>
              <w:ind w:left="0" w:right="0"/>
              <w:rPr>
                <w:rFonts w:hint="default"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14:paraId="413CBA7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2361EE0">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宋体" w:hAnsi="宋体"/>
                <w:b/>
                <w:bCs/>
                <w:kern w:val="0"/>
                <w:sz w:val="18"/>
                <w:szCs w:val="18"/>
              </w:rPr>
              <w:t>税收</w:t>
            </w:r>
          </w:p>
        </w:tc>
        <w:tc>
          <w:tcPr>
            <w:tcW w:w="7674" w:type="dxa"/>
            <w:shd w:val="solid" w:color="FFFFFF" w:fill="FFFFFF"/>
            <w:vAlign w:val="center"/>
          </w:tcPr>
          <w:p w14:paraId="025989E9">
            <w:pPr>
              <w:keepNext w:val="0"/>
              <w:keepLines w:val="0"/>
              <w:suppressLineNumbers w:val="0"/>
              <w:spacing w:before="0" w:beforeAutospacing="0" w:after="0" w:afterAutospacing="0" w:line="360" w:lineRule="auto"/>
              <w:ind w:left="0" w:right="0"/>
              <w:rPr>
                <w:rFonts w:hint="default"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14:paraId="7D0628C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3C57A6F">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14:paraId="0F8F9BAC">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理财产品份额的转让将依照理财产品销售文件及销售机构的业务政策执行。</w:t>
            </w:r>
          </w:p>
        </w:tc>
      </w:tr>
      <w:tr w14:paraId="470F0F9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96627D9">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14:paraId="2D687AFD">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14:paraId="57E770FE">
      <w:pPr>
        <w:pStyle w:val="34"/>
        <w:spacing w:line="360" w:lineRule="auto"/>
        <w:rPr>
          <w:rFonts w:hAnsi="宋体"/>
          <w:sz w:val="18"/>
          <w:szCs w:val="18"/>
        </w:rPr>
      </w:pPr>
    </w:p>
    <w:p w14:paraId="3C1B0C6B">
      <w:pPr>
        <w:widowControl/>
        <w:spacing w:line="360" w:lineRule="auto"/>
        <w:jc w:val="left"/>
        <w:rPr>
          <w:rFonts w:ascii="宋体" w:hAnsi="宋体"/>
          <w:color w:val="000000"/>
          <w:kern w:val="0"/>
          <w:sz w:val="18"/>
          <w:szCs w:val="18"/>
        </w:rPr>
      </w:pPr>
      <w:r>
        <w:rPr>
          <w:rFonts w:hAnsi="宋体"/>
          <w:sz w:val="18"/>
          <w:szCs w:val="18"/>
        </w:rPr>
        <w:br w:type="page"/>
      </w:r>
    </w:p>
    <w:p w14:paraId="340AC716">
      <w:pPr>
        <w:pStyle w:val="2"/>
        <w:spacing w:before="0" w:after="0" w:line="360" w:lineRule="auto"/>
        <w:jc w:val="center"/>
        <w:rPr>
          <w:rFonts w:ascii="Times New Roman"/>
          <w:sz w:val="30"/>
        </w:rPr>
      </w:pPr>
      <w:bookmarkStart w:id="4" w:name="_Toc79154666"/>
      <w:bookmarkStart w:id="5" w:name="_Toc176189755"/>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14:paraId="350D2833">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14:paraId="7A036733">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14:paraId="70BF0ECD">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14:paraId="5061B956">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14:paraId="37C07182">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14:paraId="54CEA8F7">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14:paraId="4F2CF58E">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14:paraId="013F86E9">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14:paraId="3E7417B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163F6177">
            <w:pPr>
              <w:keepNext w:val="0"/>
              <w:keepLines w:val="0"/>
              <w:suppressLineNumbers w:val="0"/>
              <w:spacing w:before="0" w:beforeAutospacing="0" w:after="0" w:afterAutospacing="0" w:line="360" w:lineRule="auto"/>
              <w:ind w:left="0" w:right="0" w:firstLine="361" w:firstLineChars="200"/>
              <w:rPr>
                <w:rFonts w:hint="default"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14:paraId="26D3207B">
            <w:pPr>
              <w:keepNext w:val="0"/>
              <w:keepLines w:val="0"/>
              <w:suppressLineNumbers w:val="0"/>
              <w:spacing w:before="0" w:beforeAutospacing="0" w:after="0" w:afterAutospacing="0" w:line="360" w:lineRule="auto"/>
              <w:ind w:left="0" w:right="0" w:firstLine="361" w:firstLineChars="200"/>
              <w:jc w:val="center"/>
              <w:rPr>
                <w:rFonts w:hint="default"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14:paraId="4BD4859A">
            <w:pPr>
              <w:keepNext w:val="0"/>
              <w:keepLines w:val="0"/>
              <w:suppressLineNumbers w:val="0"/>
              <w:spacing w:before="0" w:beforeAutospacing="0" w:after="0" w:afterAutospacing="0" w:line="360" w:lineRule="auto"/>
              <w:ind w:left="0" w:right="0"/>
              <w:rPr>
                <w:rFonts w:hint="default"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14:paraId="7AF853C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32D27B73">
            <w:pPr>
              <w:keepNext w:val="0"/>
              <w:keepLines w:val="0"/>
              <w:suppressLineNumbers w:val="0"/>
              <w:spacing w:before="0" w:beforeAutospacing="0" w:after="0" w:afterAutospacing="0" w:line="360" w:lineRule="auto"/>
              <w:ind w:left="0" w:right="0"/>
              <w:jc w:val="left"/>
              <w:rPr>
                <w:rFonts w:hint="default"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hint="default" w:cs="Times New Roman" w:asciiTheme="minorEastAsia" w:hAnsiTheme="minorEastAsia" w:eastAsiaTheme="minorEastAsia"/>
                <w:bCs/>
                <w:kern w:val="0"/>
                <w:sz w:val="18"/>
                <w:szCs w:val="18"/>
              </w:rPr>
              <w:t>至募集期终止日</w:t>
            </w:r>
          </w:p>
        </w:tc>
        <w:tc>
          <w:tcPr>
            <w:tcW w:w="4267" w:type="dxa"/>
            <w:vAlign w:val="center"/>
          </w:tcPr>
          <w:p w14:paraId="0D77E62B">
            <w:pPr>
              <w:keepNext w:val="0"/>
              <w:keepLines w:val="0"/>
              <w:suppressLineNumbers w:val="0"/>
              <w:spacing w:before="0" w:beforeAutospacing="0" w:after="0" w:afterAutospacing="0" w:line="360" w:lineRule="auto"/>
              <w:ind w:left="0" w:right="0"/>
              <w:rPr>
                <w:rFonts w:hint="default"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14:paraId="3568A748">
            <w:pPr>
              <w:keepNext w:val="0"/>
              <w:keepLines w:val="0"/>
              <w:suppressLineNumbers w:val="0"/>
              <w:spacing w:before="0" w:beforeAutospacing="0" w:after="0" w:afterAutospacing="0" w:line="360" w:lineRule="auto"/>
              <w:ind w:left="0" w:right="0"/>
              <w:rPr>
                <w:rFonts w:hint="default"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14:paraId="4929F703">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14:paraId="324AB91F">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14:paraId="47B08958">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14:paraId="019B432E">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14:paraId="25E4BD88">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14:paraId="67E63273">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14:paraId="562005B2">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14:paraId="0A7BCDCD">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14:paraId="517F21D5">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14:paraId="58DD450C">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14:paraId="6DC9075A">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14:paraId="77EEA4BC">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14:paraId="17384634">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5AD095A0">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14:paraId="616478BA">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50E6CD6A">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14:paraId="2C8E95D3">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认购期/募集期内资金产生的利息（如有），不计入本金份额。</w:t>
      </w:r>
    </w:p>
    <w:p w14:paraId="4DEC344B">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14:paraId="6289CA0B">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14:paraId="31C31CEE">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14:paraId="43D074D9">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14:paraId="23556E38">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14:paraId="6C989D3F">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14:paraId="3431C7B1">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14:paraId="732705F3">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14:paraId="0243CF55">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14:paraId="7A3F123C">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14:paraId="64C97A1E">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14:paraId="21E8B644">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14:paraId="6D582C51">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14:paraId="19519B5C">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14:paraId="5F52570A">
      <w:pPr>
        <w:pStyle w:val="2"/>
        <w:spacing w:before="0" w:after="0" w:line="360" w:lineRule="auto"/>
        <w:jc w:val="center"/>
        <w:rPr>
          <w:rFonts w:ascii="Times New Roman"/>
          <w:sz w:val="30"/>
        </w:rPr>
      </w:pPr>
      <w:bookmarkStart w:id="9" w:name="_Toc4771"/>
      <w:bookmarkStart w:id="10" w:name="_Toc176189756"/>
      <w:bookmarkStart w:id="11" w:name="_Toc16265"/>
      <w:bookmarkStart w:id="12" w:name="_Toc27226"/>
      <w:bookmarkStart w:id="13" w:name="_Toc7151"/>
      <w:bookmarkStart w:id="14" w:name="_Toc15203"/>
      <w:bookmarkStart w:id="15" w:name="_Toc6714"/>
      <w:bookmarkStart w:id="16" w:name="_Toc90742390"/>
      <w:bookmarkStart w:id="17" w:name="_Toc90742321"/>
      <w:bookmarkStart w:id="18" w:name="_Toc22074"/>
      <w:bookmarkStart w:id="19" w:name="_Toc90742688"/>
      <w:bookmarkStart w:id="20" w:name="_Toc29784"/>
      <w:bookmarkStart w:id="21" w:name="_Toc27189"/>
      <w:bookmarkStart w:id="22" w:name="_Toc74065741"/>
      <w:bookmarkStart w:id="23" w:name="_Toc79154668"/>
      <w:bookmarkStart w:id="24" w:name="_Toc29948"/>
      <w:bookmarkStart w:id="25" w:name="_Toc3266"/>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14:paraId="7D516ECC">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14:paraId="5CFDA7AF">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14:paraId="3BFB2D70">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3F2C15">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14:paraId="6E47FB48">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14:paraId="50DB8445">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14:paraId="2DFC489F">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14:paraId="7CF4494B">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14:paraId="0F04AF49">
      <w:pPr>
        <w:pStyle w:val="34"/>
        <w:spacing w:line="360" w:lineRule="auto"/>
        <w:ind w:firstLine="360" w:firstLineChars="200"/>
        <w:rPr>
          <w:rFonts w:hint="eastAsia" w:asciiTheme="majorEastAsia" w:hAnsiTheme="majorEastAsia" w:eastAsiaTheme="majorEastAsia"/>
          <w:bCs/>
          <w:color w:val="auto"/>
          <w:sz w:val="18"/>
          <w:szCs w:val="18"/>
        </w:rPr>
      </w:pPr>
      <w:permStart w:id="15" w:edGrp="everyone"/>
      <w:r>
        <w:rPr>
          <w:rFonts w:hint="eastAsia" w:asciiTheme="majorEastAsia" w:hAnsiTheme="majorEastAsia" w:eastAsiaTheme="majorEastAsia"/>
          <w:bCs/>
          <w:color w:val="auto"/>
          <w:sz w:val="18"/>
          <w:szCs w:val="18"/>
        </w:rPr>
        <w:t>（1）银行存款、债券逆回购、货币基金等货币市场工具及其它银行间和交易所资金融通工具；</w:t>
      </w:r>
    </w:p>
    <w:p w14:paraId="4DE24C1C">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国债、金融债、地方政府债、央行票据、同业存单、短期融资券、超短期融资券、中期票据、企业债、公司债、非公开定向债务融资工具、资产支持证券、次级债等银行间和交易所市场债券及债务融资工具以及其他固定收益类投资工具等；</w:t>
      </w:r>
    </w:p>
    <w:p w14:paraId="0080E2EB">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（3）符合监管要求的债权类资产。</w:t>
      </w:r>
    </w:p>
    <w:p w14:paraId="186DC0E6">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（4）投资于上述资产的资产管理产品，包括资金信托，证券公司、证券公司子公司、基金管理公</w:t>
      </w:r>
    </w:p>
    <w:p w14:paraId="1BAFE2CB">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司、基金管理子公司、期货公司、期货公司子公司、保险资产管理机构、金融资产投资公司发行的</w:t>
      </w:r>
    </w:p>
    <w:p w14:paraId="11934A38">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资产管理产品等（投资于上述资产的资产管理产品的管理人可以聘请符合法律法规规定的投资顾问</w:t>
      </w:r>
    </w:p>
    <w:p w14:paraId="72539CEC">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p>
    <w:p w14:paraId="1AE24FD5">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（5）其他风险不高于前述资产的资产。</w:t>
      </w:r>
    </w:p>
    <w:permEnd w:id="15"/>
    <w:p w14:paraId="71445574">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14:paraId="7DB468B4">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14:paraId="1EF817D1">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permStart w:id="16" w:edGrp="everyone"/>
      <w:r>
        <w:rPr>
          <w:rFonts w:hint="eastAsia" w:asciiTheme="majorEastAsia" w:hAnsiTheme="majorEastAsia" w:eastAsiaTheme="majorEastAsia"/>
          <w:bCs/>
          <w:kern w:val="0"/>
          <w:sz w:val="18"/>
          <w:szCs w:val="18"/>
        </w:rPr>
        <w:t>【（1）本产品投资于债权类资产的比例不低于产品总资产的80%。</w:t>
      </w:r>
    </w:p>
    <w:p w14:paraId="2CB5C8E8">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（2）符合监管要求的非标准化债权类资产占产品净资产比例不高于50%。</w:t>
      </w:r>
    </w:p>
    <w:p w14:paraId="4AF5900D">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14:paraId="19BC4402">
      <w:pPr>
        <w:autoSpaceDE w:val="0"/>
        <w:autoSpaceDN w:val="0"/>
        <w:adjustRightInd w:val="0"/>
        <w:spacing w:line="360" w:lineRule="auto"/>
        <w:ind w:firstLine="361" w:firstLineChars="200"/>
        <w:jc w:val="left"/>
        <w:rPr>
          <w:rFonts w:hint="eastAsia" w:asciiTheme="majorEastAsia" w:hAnsiTheme="majorEastAsia" w:eastAsiaTheme="majorEastAsia"/>
          <w:b/>
          <w:bCs w:val="0"/>
          <w:kern w:val="0"/>
          <w:sz w:val="18"/>
          <w:szCs w:val="18"/>
        </w:rPr>
      </w:pPr>
      <w:r>
        <w:rPr>
          <w:rFonts w:hint="eastAsia" w:asciiTheme="majorEastAsia" w:hAnsiTheme="majorEastAsia" w:eastAsiaTheme="majorEastAsia"/>
          <w:b/>
          <w:bCs w:val="0"/>
          <w:kern w:val="0"/>
          <w:sz w:val="18"/>
          <w:szCs w:val="18"/>
        </w:rPr>
        <w:t>注：本产品可能投资不存在活跃交易市场，并且需要采用估值技术确定公允价值的资产，且投资上述资产的比例达到理财产品净资产50%以上。</w:t>
      </w:r>
    </w:p>
    <w:p w14:paraId="6276ADC0">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w:t>
      </w:r>
    </w:p>
    <w:permEnd w:id="16"/>
    <w:p w14:paraId="48E8BA2B">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14:paraId="6A377E99">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14:paraId="7C75765A">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14:paraId="07A2BDDB">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14:paraId="6608FFB5">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14:paraId="58710DD3">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14:paraId="2244E90A">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14:paraId="358A2541">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14:paraId="41360254">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14:paraId="7D11FD78">
      <w:pPr>
        <w:spacing w:line="360" w:lineRule="auto"/>
        <w:ind w:firstLine="360" w:firstLineChars="200"/>
        <w:rPr>
          <w:rFonts w:hint="eastAsia" w:asciiTheme="majorEastAsia" w:hAnsiTheme="majorEastAsia" w:eastAsiaTheme="majorEastAsia"/>
          <w:bCs/>
          <w:sz w:val="18"/>
          <w:szCs w:val="18"/>
        </w:rPr>
      </w:pPr>
      <w:permStart w:id="18" w:edGrp="everyone"/>
      <w:r>
        <w:rPr>
          <w:rFonts w:hint="eastAsia" w:asciiTheme="majorEastAsia" w:hAnsiTheme="majorEastAsia" w:eastAsiaTheme="majorEastAsia"/>
          <w:bCs/>
          <w:sz w:val="18"/>
          <w:szCs w:val="18"/>
        </w:rPr>
        <w:t>（1）每只公募理财产品投资单只证券或者单只公募证券投资基金的市值不得超过该理财产品净资产的10%。</w:t>
      </w:r>
    </w:p>
    <w:p w14:paraId="2F0E613B">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（2）全部公募理财产品持有单只证券或单只公募证券投资基金的市值，不得超过该证券市值或该公募证券投资基金市值的30%。</w:t>
      </w:r>
    </w:p>
    <w:p w14:paraId="016ABB10">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（3）全部理财产品持有单一上市公司发行的股票，不得超过该上市公司可流通股票的30%。</w:t>
      </w:r>
    </w:p>
    <w:p w14:paraId="3F281447">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 xml:space="preserve">（4）全部开放式公募理财产品投资单一上市公司发行的股票不得超过该上市公司可流通股票的15%。 </w:t>
      </w:r>
    </w:p>
    <w:p w14:paraId="07707F83">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（5）本产品因为流动性需要可开展存单质押、债券正回购等融资业务，本产品总资产不超过净资产的200%。</w:t>
      </w:r>
    </w:p>
    <w:p w14:paraId="48EB71A5">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（6）本产品投资于信用债券、银行存款、非标准化债权类资产融资人的信用评级均不得低于AA+。</w:t>
      </w:r>
    </w:p>
    <w:p w14:paraId="7095D80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14:paraId="4FD13651">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14:paraId="513B1601">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14:paraId="5C368009">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14:paraId="17CC85DA">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14:paraId="52071E80">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14:paraId="2BC2F18D">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14:paraId="7D21E915">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14:paraId="14C753A1">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14:paraId="1997359B">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【产品采取绝对收益策略，追求资产长期稳定增值。】</w:t>
      </w:r>
    </w:p>
    <w:permEnd w:id="19"/>
    <w:p w14:paraId="1BBB90A1">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14:paraId="29A6371A">
      <w:pPr>
        <w:pStyle w:val="2"/>
        <w:spacing w:before="0" w:after="0" w:line="360" w:lineRule="auto"/>
        <w:jc w:val="center"/>
        <w:rPr>
          <w:rFonts w:ascii="Times New Roman"/>
          <w:sz w:val="30"/>
        </w:rPr>
      </w:pPr>
      <w:bookmarkStart w:id="27" w:name="_Toc14893"/>
      <w:bookmarkStart w:id="28" w:name="_Toc139991735"/>
      <w:bookmarkStart w:id="29" w:name="_Toc21988"/>
      <w:bookmarkStart w:id="30" w:name="_Toc17912"/>
      <w:bookmarkStart w:id="31" w:name="_Toc1823"/>
      <w:bookmarkStart w:id="32" w:name="_Toc74065742"/>
      <w:bookmarkStart w:id="33" w:name="_Toc18797"/>
      <w:bookmarkStart w:id="34" w:name="_Toc18329"/>
      <w:bookmarkStart w:id="35" w:name="_Toc4741"/>
      <w:bookmarkStart w:id="36" w:name="_Toc18526"/>
      <w:bookmarkStart w:id="37" w:name="_Toc141703885"/>
      <w:bookmarkStart w:id="38" w:name="_Toc26986"/>
      <w:bookmarkStart w:id="39" w:name="_Toc79154669"/>
      <w:bookmarkStart w:id="40" w:name="_Toc7848"/>
      <w:bookmarkStart w:id="41" w:name="_Toc176189758"/>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803219E">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14:paraId="40A3E823">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14:paraId="5BED8F36">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14:paraId="1BF565C0">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14:paraId="72923715">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14:paraId="6F62EB64">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14:paraId="3E94B186">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14:paraId="00334183">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14:paraId="5BE562FB">
      <w:pPr>
        <w:pStyle w:val="2"/>
        <w:spacing w:before="0" w:after="0" w:line="360" w:lineRule="auto"/>
        <w:jc w:val="center"/>
        <w:rPr>
          <w:rFonts w:ascii="Times New Roman"/>
          <w:sz w:val="30"/>
        </w:rPr>
      </w:pPr>
      <w:bookmarkStart w:id="43" w:name="_Toc1270"/>
      <w:bookmarkStart w:id="44" w:name="_Toc141703886"/>
      <w:bookmarkStart w:id="45" w:name="_Toc123102453"/>
      <w:bookmarkStart w:id="46" w:name="_Toc176189759"/>
      <w:bookmarkStart w:id="47" w:name="_Toc17244"/>
      <w:bookmarkStart w:id="48" w:name="_Toc23261"/>
      <w:bookmarkStart w:id="49" w:name="_Toc1427"/>
      <w:bookmarkStart w:id="50" w:name="_Toc79392606"/>
      <w:bookmarkStart w:id="51" w:name="_Toc23822"/>
      <w:bookmarkStart w:id="52" w:name="_Toc4003"/>
      <w:bookmarkStart w:id="53" w:name="_Toc98560352"/>
      <w:bookmarkStart w:id="54" w:name="_Toc7920"/>
      <w:bookmarkStart w:id="55" w:name="_Toc20733"/>
      <w:bookmarkStart w:id="56" w:name="_Toc139991736"/>
      <w:bookmarkStart w:id="57" w:name="_Toc48649707"/>
      <w:bookmarkStart w:id="58" w:name="_Toc79154670"/>
      <w:bookmarkStart w:id="59" w:name="_Toc123112234"/>
      <w:bookmarkStart w:id="60" w:name="_Toc123051452"/>
      <w:bookmarkStart w:id="61" w:name="_Toc10463"/>
      <w:bookmarkStart w:id="62" w:name="_Toc610"/>
      <w:bookmarkStart w:id="63" w:name="_Toc74065743"/>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89BA811">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14:paraId="25D7ECE3">
      <w:pPr>
        <w:pStyle w:val="34"/>
        <w:spacing w:line="360" w:lineRule="auto"/>
        <w:ind w:firstLine="361" w:firstLineChars="200"/>
        <w:rPr>
          <w:rFonts w:hAnsi="宋体"/>
          <w:b/>
          <w:bCs/>
          <w:sz w:val="18"/>
          <w:szCs w:val="18"/>
        </w:rPr>
      </w:pPr>
      <w:r>
        <w:rPr>
          <w:rFonts w:hint="eastAsia" w:hAnsi="宋体"/>
          <w:b/>
          <w:bCs/>
          <w:sz w:val="18"/>
          <w:szCs w:val="18"/>
        </w:rPr>
        <w:t>（一）估值目的</w:t>
      </w:r>
    </w:p>
    <w:p w14:paraId="4854E51E">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14:paraId="79F2762B">
      <w:pPr>
        <w:pStyle w:val="34"/>
        <w:spacing w:line="360" w:lineRule="auto"/>
        <w:ind w:firstLine="361" w:firstLineChars="200"/>
        <w:rPr>
          <w:rFonts w:hAnsi="宋体"/>
          <w:b/>
          <w:bCs/>
          <w:sz w:val="18"/>
          <w:szCs w:val="18"/>
        </w:rPr>
      </w:pPr>
      <w:r>
        <w:rPr>
          <w:rFonts w:hint="eastAsia" w:hAnsi="宋体"/>
          <w:b/>
          <w:bCs/>
          <w:sz w:val="18"/>
          <w:szCs w:val="18"/>
        </w:rPr>
        <w:t>（二）估值频率</w:t>
      </w:r>
    </w:p>
    <w:p w14:paraId="05490084">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14:paraId="18E50D09">
      <w:pPr>
        <w:pStyle w:val="34"/>
        <w:spacing w:line="360" w:lineRule="auto"/>
        <w:ind w:firstLine="452" w:firstLineChars="250"/>
        <w:rPr>
          <w:rFonts w:hAnsi="宋体"/>
          <w:b/>
          <w:bCs/>
          <w:sz w:val="18"/>
          <w:szCs w:val="18"/>
        </w:rPr>
      </w:pPr>
      <w:r>
        <w:rPr>
          <w:rFonts w:hint="eastAsia" w:hAnsi="宋体"/>
          <w:b/>
          <w:bCs/>
          <w:sz w:val="18"/>
          <w:szCs w:val="18"/>
        </w:rPr>
        <w:t>（三）估值对象</w:t>
      </w:r>
    </w:p>
    <w:p w14:paraId="4BFDA170">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14:paraId="59183D8B">
      <w:pPr>
        <w:pStyle w:val="34"/>
        <w:spacing w:line="360" w:lineRule="auto"/>
        <w:ind w:firstLine="452" w:firstLineChars="250"/>
        <w:rPr>
          <w:rFonts w:hAnsi="宋体"/>
          <w:b/>
          <w:bCs/>
          <w:sz w:val="18"/>
          <w:szCs w:val="18"/>
        </w:rPr>
      </w:pPr>
      <w:r>
        <w:rPr>
          <w:rFonts w:hint="eastAsia" w:hAnsi="宋体"/>
          <w:b/>
          <w:bCs/>
          <w:sz w:val="18"/>
          <w:szCs w:val="18"/>
        </w:rPr>
        <w:t>（四）估值方法</w:t>
      </w:r>
    </w:p>
    <w:p w14:paraId="4E2C0039">
      <w:pPr>
        <w:pStyle w:val="34"/>
        <w:spacing w:line="360" w:lineRule="auto"/>
        <w:ind w:firstLine="360" w:firstLineChars="200"/>
        <w:rPr>
          <w:rFonts w:hAnsi="宋体"/>
          <w:bCs/>
          <w:sz w:val="18"/>
          <w:szCs w:val="18"/>
        </w:rPr>
      </w:pPr>
      <w:r>
        <w:rPr>
          <w:rFonts w:hAnsi="宋体"/>
          <w:bCs/>
          <w:sz w:val="18"/>
          <w:szCs w:val="18"/>
        </w:rPr>
        <w:t>1.标准化债权类资产估值</w:t>
      </w:r>
    </w:p>
    <w:p w14:paraId="687BD138">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14:paraId="5796FA83">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14:paraId="730E77F5">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14:paraId="1FF8F034">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14:paraId="3B832952">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14:paraId="6937F659">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14:paraId="4F459D9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14:paraId="46FED613">
      <w:pPr>
        <w:pStyle w:val="34"/>
        <w:spacing w:line="360" w:lineRule="auto"/>
        <w:ind w:firstLine="360" w:firstLineChars="200"/>
        <w:rPr>
          <w:rFonts w:hAnsi="宋体"/>
          <w:sz w:val="18"/>
          <w:szCs w:val="18"/>
        </w:rPr>
      </w:pPr>
      <w:r>
        <w:rPr>
          <w:rFonts w:hAnsi="宋体"/>
          <w:bCs/>
          <w:sz w:val="18"/>
          <w:szCs w:val="18"/>
        </w:rPr>
        <w:t>3.非标准化债权类资产</w:t>
      </w:r>
    </w:p>
    <w:p w14:paraId="60390C75">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14:paraId="3611E543">
      <w:pPr>
        <w:pStyle w:val="34"/>
        <w:spacing w:line="360" w:lineRule="auto"/>
        <w:ind w:firstLine="360" w:firstLineChars="200"/>
        <w:rPr>
          <w:rFonts w:hAnsi="宋体"/>
          <w:bCs/>
          <w:sz w:val="18"/>
          <w:szCs w:val="18"/>
        </w:rPr>
      </w:pPr>
      <w:r>
        <w:rPr>
          <w:rFonts w:hAnsi="宋体"/>
          <w:bCs/>
          <w:sz w:val="18"/>
          <w:szCs w:val="18"/>
        </w:rPr>
        <w:t>4.上市公司股票估值</w:t>
      </w:r>
    </w:p>
    <w:p w14:paraId="46DD94EB">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14:paraId="789B9DF6">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14:paraId="21D88127">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14:paraId="33996318">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14:paraId="36C50F96">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14:paraId="642F9AC3">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14:paraId="7D434B2B">
      <w:pPr>
        <w:pStyle w:val="34"/>
        <w:spacing w:line="360" w:lineRule="auto"/>
        <w:ind w:firstLine="360" w:firstLineChars="200"/>
        <w:rPr>
          <w:rFonts w:hAnsi="宋体"/>
          <w:bCs/>
          <w:sz w:val="18"/>
          <w:szCs w:val="18"/>
        </w:rPr>
      </w:pPr>
      <w:r>
        <w:rPr>
          <w:rFonts w:hAnsi="宋体"/>
          <w:bCs/>
          <w:sz w:val="18"/>
          <w:szCs w:val="18"/>
        </w:rPr>
        <w:t>5.未上市公司股权</w:t>
      </w:r>
    </w:p>
    <w:p w14:paraId="06C28AF9">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14:paraId="350585D6">
      <w:pPr>
        <w:pStyle w:val="34"/>
        <w:spacing w:line="360" w:lineRule="auto"/>
        <w:ind w:firstLine="360" w:firstLineChars="200"/>
        <w:rPr>
          <w:rFonts w:hAnsi="宋体"/>
          <w:bCs/>
          <w:sz w:val="18"/>
          <w:szCs w:val="18"/>
        </w:rPr>
      </w:pPr>
      <w:r>
        <w:rPr>
          <w:rFonts w:hAnsi="宋体"/>
          <w:bCs/>
          <w:sz w:val="18"/>
          <w:szCs w:val="18"/>
        </w:rPr>
        <w:t>6.优先股</w:t>
      </w:r>
    </w:p>
    <w:p w14:paraId="05B4E721">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14:paraId="1A830B73">
      <w:pPr>
        <w:pStyle w:val="34"/>
        <w:spacing w:line="360" w:lineRule="auto"/>
        <w:ind w:firstLine="360" w:firstLineChars="200"/>
        <w:rPr>
          <w:rFonts w:hAnsi="宋体"/>
          <w:bCs/>
          <w:sz w:val="18"/>
          <w:szCs w:val="18"/>
        </w:rPr>
      </w:pPr>
      <w:r>
        <w:rPr>
          <w:rFonts w:hAnsi="宋体"/>
          <w:bCs/>
          <w:sz w:val="18"/>
          <w:szCs w:val="18"/>
        </w:rPr>
        <w:t>7.证券投资基金估值</w:t>
      </w:r>
    </w:p>
    <w:p w14:paraId="727F107F">
      <w:pPr>
        <w:pStyle w:val="34"/>
        <w:spacing w:line="360" w:lineRule="auto"/>
        <w:ind w:firstLine="360" w:firstLineChars="200"/>
        <w:rPr>
          <w:rFonts w:hAnsi="宋体"/>
          <w:sz w:val="18"/>
          <w:szCs w:val="18"/>
        </w:rPr>
      </w:pPr>
      <w:r>
        <w:rPr>
          <w:rFonts w:hint="eastAsia" w:hAnsi="宋体"/>
          <w:sz w:val="18"/>
          <w:szCs w:val="18"/>
        </w:rPr>
        <w:t>（1）非上市基金估值</w:t>
      </w:r>
    </w:p>
    <w:p w14:paraId="591562F2">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14:paraId="3C5D439B">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14:paraId="7BCD67E4">
      <w:pPr>
        <w:pStyle w:val="34"/>
        <w:spacing w:line="360" w:lineRule="auto"/>
        <w:ind w:firstLine="360" w:firstLineChars="200"/>
        <w:rPr>
          <w:rFonts w:hAnsi="宋体"/>
          <w:sz w:val="18"/>
          <w:szCs w:val="18"/>
        </w:rPr>
      </w:pPr>
      <w:r>
        <w:rPr>
          <w:rFonts w:hint="eastAsia" w:hAnsi="宋体"/>
          <w:sz w:val="18"/>
          <w:szCs w:val="18"/>
        </w:rPr>
        <w:t>（2）上市基金估值</w:t>
      </w:r>
    </w:p>
    <w:p w14:paraId="452DB298">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14:paraId="49D4CB1E">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14:paraId="78551EBE">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14:paraId="5FF34D57">
      <w:pPr>
        <w:pStyle w:val="34"/>
        <w:spacing w:line="360" w:lineRule="auto"/>
        <w:ind w:firstLine="360" w:firstLineChars="200"/>
        <w:rPr>
          <w:rFonts w:hAnsi="宋体"/>
          <w:bCs/>
          <w:sz w:val="18"/>
          <w:szCs w:val="18"/>
        </w:rPr>
      </w:pPr>
      <w:r>
        <w:rPr>
          <w:rFonts w:hAnsi="宋体"/>
          <w:bCs/>
          <w:sz w:val="18"/>
          <w:szCs w:val="18"/>
        </w:rPr>
        <w:t>8.其他资产管理产品的估值</w:t>
      </w:r>
    </w:p>
    <w:p w14:paraId="6881BB09">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14:paraId="6F6E8990">
      <w:pPr>
        <w:pStyle w:val="34"/>
        <w:spacing w:line="360" w:lineRule="auto"/>
        <w:ind w:firstLine="360" w:firstLineChars="200"/>
        <w:rPr>
          <w:rFonts w:hAnsi="宋体"/>
          <w:bCs/>
          <w:sz w:val="18"/>
          <w:szCs w:val="18"/>
        </w:rPr>
      </w:pPr>
      <w:r>
        <w:rPr>
          <w:rFonts w:hAnsi="宋体"/>
          <w:bCs/>
          <w:sz w:val="18"/>
          <w:szCs w:val="18"/>
        </w:rPr>
        <w:t>9.衍生金融工具估值</w:t>
      </w:r>
    </w:p>
    <w:p w14:paraId="5ECA27AA">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14:paraId="1DB5A1C2">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14:paraId="4A9FD9D1">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14:paraId="28BC37B5">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14:paraId="597369F0">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14:paraId="318204E9">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14:paraId="2B15AEF9">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14:paraId="21C74BFF">
      <w:pPr>
        <w:pStyle w:val="34"/>
        <w:spacing w:line="360" w:lineRule="auto"/>
        <w:ind w:firstLine="361" w:firstLineChars="200"/>
        <w:rPr>
          <w:rFonts w:hAnsi="宋体"/>
          <w:b/>
          <w:bCs/>
          <w:sz w:val="18"/>
          <w:szCs w:val="18"/>
        </w:rPr>
      </w:pPr>
      <w:r>
        <w:rPr>
          <w:rFonts w:hint="eastAsia" w:hAnsi="宋体"/>
          <w:b/>
          <w:bCs/>
          <w:sz w:val="18"/>
          <w:szCs w:val="18"/>
        </w:rPr>
        <w:t>（五）估值程序</w:t>
      </w:r>
    </w:p>
    <w:p w14:paraId="42D6BD78">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14:paraId="2012515E">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14:paraId="40B8A686">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14:paraId="60452393">
      <w:pPr>
        <w:pStyle w:val="34"/>
        <w:spacing w:line="360" w:lineRule="auto"/>
        <w:ind w:firstLine="361" w:firstLineChars="200"/>
        <w:rPr>
          <w:rFonts w:hAnsi="宋体"/>
          <w:b/>
          <w:bCs/>
          <w:sz w:val="18"/>
          <w:szCs w:val="18"/>
        </w:rPr>
      </w:pPr>
      <w:r>
        <w:rPr>
          <w:rFonts w:hint="eastAsia" w:hAnsi="宋体"/>
          <w:b/>
          <w:bCs/>
          <w:sz w:val="18"/>
          <w:szCs w:val="18"/>
        </w:rPr>
        <w:t>（六）估值主体</w:t>
      </w:r>
    </w:p>
    <w:p w14:paraId="7529BDCF">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14:paraId="31AA24D5">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14:paraId="4E76BEE7">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14:paraId="07DF102B">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14:paraId="1E6D272C">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14:paraId="713E3DE5">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14:paraId="6D613A5D">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14:paraId="2ADBFF0A">
      <w:pPr>
        <w:widowControl/>
        <w:spacing w:line="360" w:lineRule="auto"/>
        <w:jc w:val="left"/>
        <w:rPr>
          <w:rFonts w:ascii="宋体" w:hAnsi="宋体"/>
          <w:kern w:val="0"/>
          <w:sz w:val="18"/>
          <w:szCs w:val="18"/>
        </w:rPr>
      </w:pPr>
      <w:r>
        <w:rPr>
          <w:rFonts w:hAnsi="宋体"/>
          <w:sz w:val="18"/>
          <w:szCs w:val="18"/>
        </w:rPr>
        <w:br w:type="page"/>
      </w:r>
    </w:p>
    <w:p w14:paraId="539B3070">
      <w:pPr>
        <w:pStyle w:val="2"/>
        <w:spacing w:before="0" w:after="0" w:line="360" w:lineRule="auto"/>
        <w:ind w:left="60" w:firstLine="10"/>
        <w:jc w:val="center"/>
        <w:rPr>
          <w:rFonts w:ascii="Times New Roman"/>
          <w:sz w:val="30"/>
        </w:rPr>
      </w:pPr>
      <w:bookmarkStart w:id="64" w:name="_Hlt70481650"/>
      <w:bookmarkEnd w:id="64"/>
      <w:bookmarkStart w:id="65" w:name="_Toc123102454"/>
      <w:bookmarkStart w:id="66" w:name="_Toc29251"/>
      <w:bookmarkStart w:id="67" w:name="_Toc176189760"/>
      <w:bookmarkStart w:id="68" w:name="_Toc139991737"/>
      <w:bookmarkStart w:id="69" w:name="_Toc98560353"/>
      <w:bookmarkStart w:id="70" w:name="_Toc141703887"/>
      <w:bookmarkStart w:id="71" w:name="_Toc79154671"/>
      <w:bookmarkStart w:id="72" w:name="_Toc6405"/>
      <w:bookmarkStart w:id="73" w:name="_Toc15143"/>
      <w:bookmarkStart w:id="74" w:name="_Toc31653"/>
      <w:bookmarkStart w:id="75" w:name="_Toc26207"/>
      <w:bookmarkStart w:id="76" w:name="_Toc31644"/>
      <w:bookmarkStart w:id="77" w:name="_Toc123112235"/>
      <w:bookmarkStart w:id="78" w:name="_Toc3601"/>
      <w:bookmarkStart w:id="79" w:name="_Toc123051453"/>
      <w:bookmarkStart w:id="80" w:name="_Toc31235"/>
      <w:bookmarkStart w:id="81" w:name="_Toc74065744"/>
      <w:bookmarkStart w:id="82" w:name="_Toc14835"/>
      <w:bookmarkStart w:id="83" w:name="_Toc12245"/>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79392580"/>
      <w:bookmarkStart w:id="86" w:name="_Toc57530239"/>
      <w:bookmarkStart w:id="87" w:name="_Toc15118234"/>
      <w:bookmarkStart w:id="88" w:name="_Toc523711668"/>
    </w:p>
    <w:p w14:paraId="483C64ED">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14:paraId="2583671F">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14:paraId="4C27AC01">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14:paraId="43939931">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14:paraId="4251E6FB">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14:paraId="291CF4EE">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14:paraId="396B648F">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14:paraId="09528C38">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14:paraId="674C17CD">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14:paraId="651BB96C">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14:paraId="70417EA0">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14:paraId="3842DE62">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14:paraId="42A65D14">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14:paraId="2A327CB2">
      <w:pPr>
        <w:spacing w:line="360" w:lineRule="auto"/>
        <w:ind w:firstLine="360"/>
        <w:rPr>
          <w:rFonts w:ascii="宋体" w:hAnsi="宋体"/>
          <w:b/>
          <w:sz w:val="18"/>
          <w:szCs w:val="18"/>
        </w:rPr>
      </w:pPr>
      <w:r>
        <w:rPr>
          <w:rFonts w:hint="eastAsia" w:ascii="宋体" w:hAnsi="宋体"/>
          <w:b/>
          <w:kern w:val="0"/>
          <w:sz w:val="18"/>
          <w:szCs w:val="18"/>
        </w:rPr>
        <w:t>（四）理财利益的分配</w:t>
      </w:r>
    </w:p>
    <w:p w14:paraId="78D1B4E3">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14:paraId="3FCFD242">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14:paraId="69B10EA1">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14:paraId="218D2C9E">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14:paraId="7B1F7EE6">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14:paraId="4EF8CBD9">
      <w:pPr>
        <w:pStyle w:val="2"/>
        <w:spacing w:before="0" w:after="0" w:line="360" w:lineRule="auto"/>
        <w:jc w:val="center"/>
        <w:rPr>
          <w:rFonts w:ascii="Times New Roman"/>
          <w:sz w:val="30"/>
        </w:rPr>
      </w:pPr>
      <w:bookmarkStart w:id="89" w:name="_Hlt88897298"/>
      <w:bookmarkEnd w:id="89"/>
      <w:bookmarkStart w:id="90" w:name="_Hlt88825574"/>
      <w:bookmarkEnd w:id="90"/>
      <w:bookmarkStart w:id="91" w:name="_Toc18567"/>
      <w:bookmarkStart w:id="92" w:name="_Toc9706"/>
      <w:bookmarkStart w:id="93" w:name="_Toc10650"/>
      <w:bookmarkStart w:id="94" w:name="_Toc176189761"/>
      <w:bookmarkStart w:id="95" w:name="_Toc74065745"/>
      <w:bookmarkStart w:id="96" w:name="_Toc4559"/>
      <w:bookmarkStart w:id="97" w:name="_Toc3321"/>
      <w:bookmarkStart w:id="98" w:name="_Toc79154672"/>
      <w:bookmarkStart w:id="99" w:name="_Toc141703888"/>
      <w:bookmarkStart w:id="100" w:name="_Toc7058"/>
      <w:bookmarkStart w:id="101" w:name="_Toc11030"/>
      <w:bookmarkStart w:id="102" w:name="_Toc98560354"/>
      <w:bookmarkStart w:id="103" w:name="_Toc79392583"/>
      <w:bookmarkStart w:id="104" w:name="_Toc3771"/>
      <w:bookmarkStart w:id="105" w:name="_Toc6447"/>
      <w:bookmarkStart w:id="106" w:name="_Toc123102455"/>
      <w:bookmarkStart w:id="107" w:name="_Toc25783"/>
      <w:bookmarkStart w:id="108" w:name="_Toc123051454"/>
      <w:bookmarkStart w:id="109" w:name="_Toc123112236"/>
      <w:bookmarkStart w:id="110" w:name="_Toc139991738"/>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1B8827C">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14:paraId="62E4F0B6">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14:paraId="4D65A32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14:paraId="2C564ED0">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14:paraId="0467FA81">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14:paraId="280745B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14:paraId="310F091D">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14:paraId="3AFEACE6">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14:paraId="2025DC2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14:paraId="1BA4094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14:paraId="3C830C69">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14:paraId="7AB400DD">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14:paraId="45B7E6B2">
      <w:pPr>
        <w:pStyle w:val="34"/>
        <w:spacing w:line="360" w:lineRule="auto"/>
        <w:ind w:firstLine="360" w:firstLineChars="200"/>
        <w:rPr>
          <w:rFonts w:hint="eastAsia" w:ascii="黑体" w:hAnsi="黑体" w:eastAsia="黑体" w:cs="黑体"/>
          <w:kern w:val="0"/>
          <w:sz w:val="18"/>
          <w:szCs w:val="18"/>
        </w:rPr>
      </w:pPr>
      <w:permStart w:id="23" w:edGrp="everyone"/>
      <w:r>
        <w:rPr>
          <w:rFonts w:hint="eastAsia" w:ascii="黑体" w:hAnsi="黑体" w:eastAsia="黑体" w:cs="黑体"/>
          <w:kern w:val="0"/>
          <w:sz w:val="18"/>
          <w:szCs w:val="18"/>
        </w:rPr>
        <w:t>（2）理财产品的销售服务费</w:t>
      </w:r>
    </w:p>
    <w:p w14:paraId="19821E83">
      <w:pPr>
        <w:pStyle w:val="34"/>
        <w:spacing w:line="360" w:lineRule="auto"/>
        <w:ind w:firstLine="360" w:firstLineChars="200"/>
        <w:rPr>
          <w:rFonts w:hint="eastAsia" w:ascii="黑体" w:hAnsi="黑体" w:eastAsia="黑体" w:cs="黑体"/>
          <w:kern w:val="0"/>
          <w:sz w:val="18"/>
          <w:szCs w:val="18"/>
          <w:lang w:val="en-US" w:eastAsia="zh-CN"/>
        </w:rPr>
      </w:pPr>
      <w:r>
        <w:rPr>
          <w:rFonts w:ascii="宋体" w:hAnsi="宋体" w:eastAsia="宋体" w:cs="宋体"/>
          <w:sz w:val="18"/>
        </w:rPr>
        <w:t>本产品的销售服务费按前一日理财资产净值与销售服务费每日费率每日计提。销售服务费的计算方法如下：</w:t>
      </w:r>
      <w:r>
        <w:rPr>
          <w:rFonts w:ascii="宋体" w:hAnsi="宋体" w:eastAsia="宋体" w:cs="宋体"/>
          <w:sz w:val="18"/>
        </w:rPr>
        <w:br w:type="textWrapping"/>
      </w:r>
      <w:r>
        <w:rPr>
          <w:rFonts w:ascii="宋体" w:hAnsi="宋体" w:eastAsia="宋体" w:cs="宋体"/>
          <w:sz w:val="18"/>
        </w:rPr>
        <w:t xml:space="preserve">  H＝E×销售服务费年费率÷365</w:t>
      </w:r>
      <w:r>
        <w:rPr>
          <w:rFonts w:ascii="宋体" w:hAnsi="宋体" w:eastAsia="宋体" w:cs="宋体"/>
          <w:sz w:val="18"/>
        </w:rPr>
        <w:br w:type="textWrapping"/>
      </w:r>
      <w:r>
        <w:rPr>
          <w:rFonts w:ascii="宋体" w:hAnsi="宋体" w:eastAsia="宋体" w:cs="宋体"/>
          <w:sz w:val="18"/>
        </w:rPr>
        <w:t xml:space="preserve">  H为每日应计提的销售服务费</w:t>
      </w:r>
      <w:r>
        <w:rPr>
          <w:rFonts w:ascii="宋体" w:hAnsi="宋体" w:eastAsia="宋体" w:cs="宋体"/>
          <w:sz w:val="18"/>
        </w:rPr>
        <w:br w:type="textWrapping"/>
      </w:r>
      <w:r>
        <w:rPr>
          <w:rFonts w:ascii="宋体" w:hAnsi="宋体" w:eastAsia="宋体" w:cs="宋体"/>
          <w:sz w:val="18"/>
        </w:rPr>
        <w:t xml:space="preserve">  E为前一日的理财资产净值</w:t>
      </w:r>
      <w:r>
        <w:rPr>
          <w:rFonts w:ascii="宋体" w:hAnsi="宋体" w:eastAsia="宋体" w:cs="宋体"/>
          <w:sz w:val="18"/>
        </w:rPr>
        <w:br w:type="textWrapping"/>
      </w:r>
      <w:r>
        <w:rPr>
          <w:rFonts w:ascii="宋体" w:hAnsi="宋体" w:eastAsia="宋体" w:cs="宋体"/>
          <w:sz w:val="18"/>
        </w:rPr>
        <w:t xml:space="preserve">  销售服务费依照上述约定，从理财财产中支付。费率具体数值以《产品说明书》“第二条 理财产品基本情况”为准。  </w:t>
      </w:r>
    </w:p>
    <w:p w14:paraId="74F67205">
      <w:pPr>
        <w:pStyle w:val="34"/>
        <w:spacing w:line="360" w:lineRule="auto"/>
        <w:ind w:firstLine="360" w:firstLineChars="200"/>
        <w:rPr>
          <w:rFonts w:hint="eastAsia" w:ascii="黑体" w:hAnsi="黑体" w:eastAsia="黑体" w:cs="黑体"/>
          <w:kern w:val="0"/>
          <w:sz w:val="18"/>
          <w:szCs w:val="18"/>
          <w:lang w:val="en-US" w:eastAsia="zh-CN"/>
        </w:rPr>
      </w:pPr>
    </w:p>
    <w:permEnd w:id="23"/>
    <w:p w14:paraId="288C034E">
      <w:pPr>
        <w:pStyle w:val="34"/>
        <w:spacing w:line="360" w:lineRule="auto"/>
        <w:ind w:firstLine="361" w:firstLineChars="200"/>
        <w:rPr>
          <w:rFonts w:hint="eastAsia" w:ascii="黑体" w:hAnsi="黑体" w:eastAsia="黑体" w:cs="黑体"/>
          <w:b/>
          <w:bCs/>
          <w:color w:val="auto"/>
          <w:kern w:val="2"/>
          <w:sz w:val="18"/>
          <w:szCs w:val="18"/>
        </w:rPr>
      </w:pPr>
    </w:p>
    <w:p w14:paraId="1AB6C3DA">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14:paraId="06472093">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14:paraId="20025992">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14:paraId="45077EEE">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14:paraId="0FB6BF89">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14:paraId="2F612CB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14:paraId="41140EE6">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14:paraId="7717DDC8">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p>
    <w:p w14:paraId="6D8D743F">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业绩报酬计提基准的设置、超额业绩报酬的具体比例数值以《产品说明书》“第二条 理财产品基本情况”为准。</w:t>
      </w:r>
    </w:p>
    <w:p w14:paraId="4D17729C">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1）收取超额业绩报酬的原则：</w:t>
      </w:r>
    </w:p>
    <w:p w14:paraId="74C230F3">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①按投资者每份产品份额分别计算年化收益率并计提超额业绩报酬；</w:t>
      </w:r>
    </w:p>
    <w:p w14:paraId="37B90F62">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②在超额业绩报酬计提日，本产品对符合超额业绩报酬提取条件的产品份额计提超额业绩报酬；</w:t>
      </w:r>
    </w:p>
    <w:p w14:paraId="42DAE0BA">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③在产品终止日提取超额业绩报酬的，超额业绩报酬从清算资金中扣除；</w:t>
      </w:r>
    </w:p>
    <w:p w14:paraId="21A5EC04">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2）超额业绩报酬计提方法</w:t>
      </w:r>
    </w:p>
    <w:p w14:paraId="5331D625">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①超额业绩报酬计提起始日</w:t>
      </w:r>
    </w:p>
    <w:p w14:paraId="122946D2">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每份产品份额超额业绩报酬计提起始日为：募集期内认购的产品份额，以产品成立日为该份产品份额超额业绩报酬计提起始日。</w:t>
      </w:r>
    </w:p>
    <w:p w14:paraId="11E785FD">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②超额业绩报酬计提日</w:t>
      </w:r>
    </w:p>
    <w:p w14:paraId="5EEAAC04">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每份产品份额超额业绩报酬每日计提，产品终止日（不含部分终止日）结算。</w:t>
      </w:r>
    </w:p>
    <w:p w14:paraId="46E7E0A9">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③超额业绩报酬的计算</w:t>
      </w:r>
    </w:p>
    <w:p w14:paraId="68761C7C">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产品管理人对每份份额当前年化收益率（R）超过当前业绩报酬计提基准的部分，按比例（N）以及产品份额持有天数（D）提取超额业绩报酬，计算方法如下：</w:t>
      </w:r>
    </w:p>
    <w:p w14:paraId="1A223BB6">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当R≤当前业绩报酬计提基准，超额业绩报酬=0；</w:t>
      </w:r>
    </w:p>
    <w:p w14:paraId="096873B9">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当R＞当前业绩报酬计提基准，超额业绩报酬=产品终止（不含部分终止）时投资者持有的产品份额×产品成立日产品份额净值×（R-当前业绩报酬计提基准）×N×D/365。</w:t>
      </w:r>
    </w:p>
    <w:p w14:paraId="2374E8C3">
      <w:pPr>
        <w:widowControl/>
        <w:spacing w:line="360" w:lineRule="auto"/>
        <w:ind w:firstLine="361" w:firstLineChars="200"/>
        <w:jc w:val="left"/>
        <w:rPr>
          <w:rFonts w:hint="eastAsia" w:ascii="黑体" w:hAnsi="黑体" w:eastAsia="黑体" w:cs="黑体"/>
          <w:b/>
          <w:bCs/>
          <w:sz w:val="18"/>
          <w:szCs w:val="18"/>
        </w:rPr>
      </w:pPr>
      <w:r>
        <w:rPr>
          <w:rFonts w:hint="eastAsia" w:ascii="黑体" w:hAnsi="黑体" w:eastAsia="黑体" w:cs="黑体"/>
          <w:b/>
          <w:bCs/>
          <w:kern w:val="0"/>
          <w:sz w:val="18"/>
          <w:szCs w:val="18"/>
        </w:rPr>
        <w:t>注：产品部分提前终止情况下，部分提前终止份额不收取超额业绩报酬</w:t>
      </w:r>
      <w:r>
        <w:rPr>
          <w:rFonts w:hint="eastAsia" w:ascii="黑体" w:hAnsi="黑体" w:eastAsia="黑体" w:cs="黑体"/>
          <w:b/>
          <w:bCs/>
          <w:sz w:val="18"/>
          <w:szCs w:val="18"/>
        </w:rPr>
        <w:t>。</w:t>
      </w:r>
    </w:p>
    <w:p w14:paraId="7B4597DC">
      <w:pPr>
        <w:widowControl/>
        <w:spacing w:line="360" w:lineRule="auto"/>
        <w:ind w:firstLine="360" w:firstLineChars="200"/>
        <w:jc w:val="left"/>
        <w:rPr>
          <w:rFonts w:hint="eastAsia" w:ascii="黑体" w:hAnsi="黑体" w:eastAsia="黑体" w:cs="黑体"/>
          <w:sz w:val="18"/>
          <w:szCs w:val="18"/>
        </w:rPr>
      </w:pPr>
    </w:p>
    <w:permEnd w:id="24"/>
    <w:p w14:paraId="6C4D135D">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14:paraId="0F7E024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14:paraId="61BBE2FE">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14:paraId="7AEAA439">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14:paraId="1115D7D3">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14:paraId="1F587169">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14:paraId="227937EC">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14:paraId="3374C45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14:paraId="6D413C8E">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14:paraId="4132427B">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14:paraId="635563FB">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14:paraId="45B2B6F7">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14:paraId="0DF084EA">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14:paraId="0BA17F5C">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14:paraId="12F81B8B">
      <w:pPr>
        <w:pStyle w:val="2"/>
        <w:spacing w:line="360" w:lineRule="auto"/>
        <w:jc w:val="center"/>
      </w:pPr>
      <w:bookmarkStart w:id="111" w:name="_Toc3963"/>
      <w:bookmarkStart w:id="112" w:name="_Toc1745"/>
      <w:r>
        <w:br w:type="page"/>
      </w:r>
      <w:bookmarkStart w:id="113" w:name="_Toc3572"/>
      <w:bookmarkStart w:id="114" w:name="_Toc725"/>
      <w:bookmarkStart w:id="115" w:name="_Toc3080"/>
      <w:bookmarkStart w:id="116" w:name="_Toc98560355"/>
      <w:bookmarkStart w:id="117" w:name="_Toc21735"/>
      <w:bookmarkStart w:id="118" w:name="_Toc10398"/>
      <w:bookmarkStart w:id="119" w:name="_Toc123112237"/>
      <w:bookmarkStart w:id="120" w:name="_Toc31821"/>
      <w:bookmarkStart w:id="121" w:name="_Toc18206"/>
      <w:bookmarkStart w:id="122" w:name="_Toc123051455"/>
      <w:bookmarkStart w:id="123" w:name="_Toc74065746"/>
      <w:bookmarkStart w:id="124" w:name="_Toc176189762"/>
      <w:bookmarkStart w:id="125" w:name="_Toc123102456"/>
      <w:bookmarkStart w:id="126" w:name="_Toc79154673"/>
      <w:bookmarkStart w:id="127" w:name="_Toc139991739"/>
      <w:bookmarkStart w:id="128" w:name="_Toc141703889"/>
      <w:bookmarkStart w:id="129" w:name="_Toc16164"/>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3C32A99">
      <w:pPr>
        <w:spacing w:line="360" w:lineRule="auto"/>
        <w:ind w:firstLine="361" w:firstLineChars="200"/>
        <w:rPr>
          <w:rFonts w:asciiTheme="majorEastAsia" w:hAnsiTheme="majorEastAsia" w:eastAsiaTheme="majorEastAsia"/>
          <w:b/>
          <w:bCs/>
          <w:sz w:val="18"/>
          <w:szCs w:val="18"/>
        </w:rPr>
      </w:pPr>
      <w:bookmarkStart w:id="130" w:name="_Toc57530252"/>
      <w:bookmarkStart w:id="131" w:name="_Toc79392593"/>
      <w:bookmarkStart w:id="132" w:name="_Toc15118245"/>
      <w:r>
        <w:rPr>
          <w:rFonts w:hint="eastAsia" w:asciiTheme="majorEastAsia" w:hAnsiTheme="majorEastAsia" w:eastAsiaTheme="majorEastAsia"/>
          <w:b/>
          <w:bCs/>
          <w:sz w:val="18"/>
          <w:szCs w:val="18"/>
        </w:rPr>
        <w:t>（一）理财产品的终止</w:t>
      </w:r>
    </w:p>
    <w:p w14:paraId="4E2B0485">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14:paraId="01952423">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14:paraId="0655C60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14:paraId="71127232">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14:paraId="5AC7D0F6">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14:paraId="408427F4">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14:paraId="2823FAD8">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14:paraId="17B28819">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14:paraId="361E57FE">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14:paraId="08328CB8">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14:paraId="048A0DE0">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14:paraId="550BD9BC">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14:paraId="679B5B3E">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14:paraId="2FBC8C86">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14:paraId="327E6BC4">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14:paraId="03778252">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14:paraId="5E522155">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14:paraId="5D259AD7">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14:paraId="38949D4A">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14:paraId="385840CA">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14:paraId="6142FA5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14:paraId="2D8C8B24">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14:paraId="2F0259F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14:paraId="6FFAF0DD">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14:paraId="5BCF36D4">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14:paraId="0DB21A5E">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14:paraId="6F9DCA1E">
      <w:pPr>
        <w:pStyle w:val="2"/>
        <w:spacing w:before="0" w:after="0" w:line="360" w:lineRule="auto"/>
        <w:jc w:val="center"/>
        <w:rPr>
          <w:rFonts w:ascii="Times New Roman"/>
          <w:sz w:val="30"/>
        </w:rPr>
      </w:pPr>
      <w:r>
        <w:rPr>
          <w:rFonts w:ascii="Times New Roman"/>
          <w:b w:val="0"/>
          <w:bCs w:val="0"/>
          <w:kern w:val="2"/>
        </w:rPr>
        <w:br w:type="page"/>
      </w:r>
      <w:bookmarkStart w:id="133" w:name="_Toc123051456"/>
      <w:bookmarkStart w:id="134" w:name="_Toc79392622"/>
      <w:bookmarkStart w:id="135" w:name="_Toc32584"/>
      <w:bookmarkStart w:id="136" w:name="_Toc5170"/>
      <w:bookmarkStart w:id="137" w:name="_Toc739"/>
      <w:bookmarkStart w:id="138" w:name="_Toc176189763"/>
      <w:bookmarkStart w:id="139" w:name="_Toc98560356"/>
      <w:bookmarkStart w:id="140" w:name="_Toc79154674"/>
      <w:bookmarkStart w:id="141" w:name="_Toc139991740"/>
      <w:bookmarkStart w:id="142" w:name="_Toc32092"/>
      <w:bookmarkStart w:id="143" w:name="_Toc74065747"/>
      <w:bookmarkStart w:id="144" w:name="_Toc17920"/>
      <w:bookmarkStart w:id="145" w:name="_Toc48649708"/>
      <w:bookmarkStart w:id="146" w:name="_Toc29408"/>
      <w:bookmarkStart w:id="147" w:name="_Toc123102457"/>
      <w:bookmarkStart w:id="148" w:name="_Toc21237"/>
      <w:bookmarkStart w:id="149" w:name="_Toc123112238"/>
      <w:bookmarkStart w:id="150" w:name="_Toc17198"/>
      <w:bookmarkStart w:id="151" w:name="_Toc3329"/>
      <w:bookmarkStart w:id="152" w:name="_Toc141703890"/>
      <w:bookmarkStart w:id="153" w:name="_Toc8791"/>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CAE016C">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14:paraId="051AD672">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14:paraId="18ED2862">
      <w:pPr>
        <w:spacing w:line="360" w:lineRule="auto"/>
        <w:ind w:firstLine="361"/>
        <w:rPr>
          <w:rFonts w:ascii="宋体" w:hAnsi="宋体"/>
          <w:b/>
          <w:bCs/>
          <w:sz w:val="18"/>
          <w:szCs w:val="18"/>
        </w:rPr>
      </w:pPr>
      <w:r>
        <w:rPr>
          <w:rFonts w:hint="eastAsia" w:ascii="宋体" w:hAnsi="宋体"/>
          <w:b/>
          <w:bCs/>
          <w:sz w:val="18"/>
          <w:szCs w:val="18"/>
        </w:rPr>
        <w:t>（二）信息披露的渠道</w:t>
      </w:r>
    </w:p>
    <w:p w14:paraId="1BC6D821">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14:paraId="06DF4071">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14:paraId="78BFB6BD">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14:paraId="207ED55D">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14:paraId="14A96427">
      <w:pPr>
        <w:spacing w:line="360" w:lineRule="auto"/>
        <w:ind w:firstLine="361"/>
        <w:rPr>
          <w:rFonts w:ascii="宋体" w:hAnsi="宋体"/>
          <w:b/>
          <w:bCs/>
          <w:sz w:val="18"/>
          <w:szCs w:val="18"/>
        </w:rPr>
      </w:pPr>
      <w:r>
        <w:rPr>
          <w:rFonts w:hint="eastAsia" w:ascii="宋体" w:hAnsi="宋体"/>
          <w:b/>
          <w:bCs/>
          <w:sz w:val="18"/>
          <w:szCs w:val="18"/>
        </w:rPr>
        <w:t>（三）信息披露的内容</w:t>
      </w:r>
    </w:p>
    <w:p w14:paraId="1BDC5605">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14:paraId="2C5DB4EE">
      <w:pPr>
        <w:spacing w:line="360" w:lineRule="auto"/>
        <w:ind w:firstLine="361"/>
        <w:rPr>
          <w:rFonts w:ascii="宋体" w:hAnsi="宋体"/>
          <w:b/>
          <w:bCs/>
          <w:sz w:val="18"/>
          <w:szCs w:val="18"/>
        </w:rPr>
      </w:pPr>
      <w:r>
        <w:rPr>
          <w:rFonts w:hint="eastAsia" w:ascii="宋体" w:hAnsi="宋体"/>
          <w:b/>
          <w:bCs/>
          <w:sz w:val="18"/>
          <w:szCs w:val="18"/>
        </w:rPr>
        <w:t>（四）信息披露的频率和时间</w:t>
      </w:r>
    </w:p>
    <w:p w14:paraId="514F4F06">
      <w:pPr>
        <w:spacing w:line="360" w:lineRule="auto"/>
        <w:ind w:firstLine="360"/>
        <w:rPr>
          <w:rFonts w:ascii="宋体" w:hAnsi="宋体"/>
          <w:bCs/>
          <w:sz w:val="18"/>
          <w:szCs w:val="18"/>
        </w:rPr>
      </w:pPr>
      <w:r>
        <w:rPr>
          <w:rFonts w:ascii="宋体" w:hAnsi="宋体"/>
          <w:bCs/>
          <w:sz w:val="18"/>
          <w:szCs w:val="18"/>
        </w:rPr>
        <w:t>1.产品成立公告</w:t>
      </w:r>
    </w:p>
    <w:p w14:paraId="665DE6C0">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14:paraId="51B786A1">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14:paraId="3101AC2F">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14:paraId="54DDCEEC">
      <w:pPr>
        <w:spacing w:line="360" w:lineRule="auto"/>
        <w:ind w:firstLine="360"/>
        <w:rPr>
          <w:rFonts w:ascii="宋体" w:hAnsi="宋体"/>
          <w:bCs/>
          <w:sz w:val="18"/>
          <w:szCs w:val="18"/>
        </w:rPr>
      </w:pPr>
      <w:r>
        <w:rPr>
          <w:rFonts w:ascii="宋体" w:hAnsi="宋体"/>
          <w:bCs/>
          <w:sz w:val="18"/>
          <w:szCs w:val="18"/>
        </w:rPr>
        <w:t>3.定期报告</w:t>
      </w:r>
    </w:p>
    <w:p w14:paraId="1AAD157B">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14:paraId="0CC051F8">
      <w:pPr>
        <w:spacing w:line="360" w:lineRule="auto"/>
        <w:ind w:firstLine="360"/>
        <w:rPr>
          <w:rFonts w:ascii="宋体" w:hAnsi="宋体"/>
          <w:bCs/>
          <w:sz w:val="18"/>
          <w:szCs w:val="18"/>
        </w:rPr>
      </w:pPr>
      <w:r>
        <w:rPr>
          <w:rFonts w:ascii="宋体" w:hAnsi="宋体"/>
          <w:bCs/>
          <w:sz w:val="18"/>
          <w:szCs w:val="18"/>
        </w:rPr>
        <w:t>4.到期公告</w:t>
      </w:r>
    </w:p>
    <w:p w14:paraId="014A7CE2">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14:paraId="0FFA6472">
      <w:pPr>
        <w:spacing w:line="360" w:lineRule="auto"/>
        <w:ind w:firstLine="360"/>
        <w:rPr>
          <w:rFonts w:ascii="宋体" w:hAnsi="宋体"/>
          <w:bCs/>
          <w:sz w:val="18"/>
          <w:szCs w:val="18"/>
        </w:rPr>
      </w:pPr>
      <w:r>
        <w:rPr>
          <w:rFonts w:ascii="宋体" w:hAnsi="宋体"/>
          <w:bCs/>
          <w:sz w:val="18"/>
          <w:szCs w:val="18"/>
        </w:rPr>
        <w:t>5.估值日公告</w:t>
      </w:r>
    </w:p>
    <w:p w14:paraId="227C9AB2">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14:paraId="71EA5182">
      <w:pPr>
        <w:spacing w:line="360" w:lineRule="auto"/>
        <w:ind w:firstLine="360"/>
        <w:rPr>
          <w:rFonts w:ascii="宋体" w:hAnsi="宋体"/>
          <w:bCs/>
          <w:sz w:val="18"/>
          <w:szCs w:val="18"/>
        </w:rPr>
      </w:pPr>
      <w:r>
        <w:rPr>
          <w:rFonts w:ascii="宋体" w:hAnsi="宋体"/>
          <w:bCs/>
          <w:sz w:val="18"/>
          <w:szCs w:val="18"/>
        </w:rPr>
        <w:t>6.临时公告</w:t>
      </w:r>
    </w:p>
    <w:p w14:paraId="36BA5035">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14:paraId="63A4CB51">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14:paraId="06C1FD40">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14:paraId="22CD981D">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14:paraId="1B15B29E">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14:paraId="5C92F411">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14:paraId="09E47638">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14:paraId="6D6C54CD">
      <w:pPr>
        <w:widowControl/>
        <w:spacing w:line="360" w:lineRule="auto"/>
        <w:jc w:val="left"/>
        <w:rPr>
          <w:bCs/>
          <w:sz w:val="24"/>
        </w:rPr>
      </w:pPr>
      <w:r>
        <w:rPr>
          <w:bCs/>
          <w:sz w:val="24"/>
        </w:rPr>
        <w:br w:type="page"/>
      </w:r>
    </w:p>
    <w:p w14:paraId="0EEF2A6C">
      <w:pPr>
        <w:pStyle w:val="2"/>
        <w:spacing w:before="0" w:after="0" w:line="360" w:lineRule="auto"/>
        <w:jc w:val="center"/>
        <w:rPr>
          <w:rFonts w:ascii="Times New Roman"/>
          <w:b w:val="0"/>
          <w:sz w:val="30"/>
        </w:rPr>
      </w:pPr>
      <w:bookmarkStart w:id="154" w:name="_Toc79154675"/>
      <w:bookmarkStart w:id="155" w:name="_Toc176189764"/>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14:paraId="282FAEC8">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1E9D7A00">
      <w:pPr>
        <w:spacing w:line="360" w:lineRule="auto"/>
        <w:ind w:firstLine="360" w:firstLineChars="200"/>
        <w:rPr>
          <w:rFonts w:hint="eastAsia" w:ascii="宋体" w:hAnsi="宋体"/>
          <w:sz w:val="18"/>
          <w:szCs w:val="18"/>
        </w:rPr>
      </w:pPr>
      <w:permStart w:id="26" w:edGrp="everyone"/>
      <w:r>
        <w:rPr>
          <w:rFonts w:hint="eastAsia" w:ascii="宋体" w:hAnsi="宋体"/>
          <w:sz w:val="18"/>
          <w:szCs w:val="18"/>
        </w:rPr>
        <w:t>【1.拟投资市场和资产的风险：</w:t>
      </w:r>
    </w:p>
    <w:p w14:paraId="2D3E7242">
      <w:pPr>
        <w:spacing w:line="360" w:lineRule="auto"/>
        <w:ind w:firstLine="360" w:firstLineChars="200"/>
        <w:rPr>
          <w:rFonts w:hint="eastAsia" w:ascii="宋体" w:hAnsi="宋体"/>
          <w:sz w:val="18"/>
          <w:szCs w:val="18"/>
        </w:rPr>
      </w:pPr>
      <w:r>
        <w:rPr>
          <w:rFonts w:hint="eastAsia" w:ascii="宋体" w:hAnsi="宋体"/>
          <w:sz w:val="18"/>
          <w:szCs w:val="18"/>
        </w:rPr>
        <w:t>（1）投资债权类资产的风险</w:t>
      </w:r>
    </w:p>
    <w:p w14:paraId="60122E84">
      <w:pPr>
        <w:spacing w:line="360" w:lineRule="auto"/>
        <w:ind w:firstLine="360" w:firstLineChars="200"/>
        <w:rPr>
          <w:rFonts w:hint="eastAsia" w:ascii="宋体" w:hAnsi="宋体"/>
          <w:sz w:val="18"/>
          <w:szCs w:val="18"/>
        </w:rPr>
      </w:pPr>
      <w:r>
        <w:rPr>
          <w:rFonts w:hint="eastAsia" w:ascii="宋体" w:hAnsi="宋体"/>
          <w:sz w:val="18"/>
          <w:szCs w:val="18"/>
        </w:rPr>
        <w:t>1）投资标准化债权类资产的风险</w:t>
      </w:r>
    </w:p>
    <w:p w14:paraId="2D4ECBA5">
      <w:pPr>
        <w:spacing w:line="360" w:lineRule="auto"/>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72CDF0FD">
      <w:pPr>
        <w:spacing w:line="360" w:lineRule="auto"/>
        <w:ind w:firstLine="360" w:firstLineChars="200"/>
        <w:rPr>
          <w:rFonts w:hint="eastAsia" w:ascii="宋体" w:hAnsi="宋体"/>
          <w:sz w:val="18"/>
          <w:szCs w:val="18"/>
        </w:rPr>
      </w:pPr>
      <w:r>
        <w:rPr>
          <w:rFonts w:hint="eastAsia" w:ascii="宋体" w:hAnsi="宋体"/>
          <w:sz w:val="18"/>
          <w:szCs w:val="18"/>
        </w:rPr>
        <w:t>2）投资非标准化债权类资产的风险</w:t>
      </w:r>
    </w:p>
    <w:p w14:paraId="63C3E8B1">
      <w:pPr>
        <w:spacing w:line="360" w:lineRule="auto"/>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ermEnd w:id="26"/>
    </w:p>
    <w:p w14:paraId="7BDC4215">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14:paraId="022CE7DF">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5E7C6051">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14:paraId="61428C8C">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56B750F3">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14:paraId="5DA1EA30">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3FD45C0B">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14:paraId="6CB50CDF">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058122A6">
      <w:pPr>
        <w:spacing w:line="360" w:lineRule="auto"/>
        <w:ind w:firstLine="360" w:firstLineChars="200"/>
        <w:rPr>
          <w:rFonts w:ascii="宋体" w:hAnsi="宋体"/>
          <w:sz w:val="18"/>
          <w:szCs w:val="18"/>
        </w:rPr>
      </w:pPr>
      <w:r>
        <w:rPr>
          <w:rFonts w:hint="eastAsia" w:ascii="宋体" w:hAnsi="宋体"/>
          <w:sz w:val="18"/>
          <w:szCs w:val="18"/>
        </w:rPr>
        <w:t>4.流动性风险</w:t>
      </w:r>
    </w:p>
    <w:p w14:paraId="57DA4CDD">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79DD4DE1">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14:paraId="76AE4269">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14:paraId="276290FA">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14:paraId="38088901">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14:paraId="07032A0F">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14:paraId="3D7F3C6C">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091541D7">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14:paraId="380F1539">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14:paraId="4F862A83">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14:paraId="2E89C208">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14:paraId="0E8B56A4">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14:paraId="4BFD7E47">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14:paraId="61B6D595">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14:paraId="486976A9">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14:paraId="5703CAA1">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14:paraId="4A29B7D3">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14:paraId="65DC4A2B">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14:paraId="26D9A06A">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14:paraId="3BE11F2D">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14:paraId="0DD9AFC8">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14:paraId="39427C73">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14:paraId="2E671F64">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344D07C6">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14:paraId="5751AC8E">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14:paraId="7EA562F8">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14:paraId="46175DAC">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1C578479">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2A38847C">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14:paraId="452DC2F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14:paraId="173A234A">
            <w:pPr>
              <w:keepNext w:val="0"/>
              <w:keepLines w:val="0"/>
              <w:suppressLineNumbers w:val="0"/>
              <w:spacing w:before="0" w:beforeAutospacing="0" w:after="0" w:afterAutospacing="0" w:line="280" w:lineRule="atLeast"/>
              <w:ind w:left="0" w:right="0" w:firstLine="422"/>
              <w:jc w:val="center"/>
              <w:rPr>
                <w:rFonts w:hint="default" w:ascii="宋体" w:hAnsi="宋体" w:cs="Arial"/>
                <w:b/>
                <w:szCs w:val="21"/>
              </w:rPr>
            </w:pPr>
            <w:r>
              <w:rPr>
                <w:rFonts w:hint="eastAsia" w:ascii="宋体" w:hAnsi="宋体" w:cs="Arial"/>
                <w:b/>
                <w:szCs w:val="21"/>
              </w:rPr>
              <w:t>投资者确认栏</w:t>
            </w:r>
          </w:p>
          <w:p w14:paraId="7F7B8907">
            <w:pPr>
              <w:keepNext w:val="0"/>
              <w:keepLines w:val="0"/>
              <w:suppressLineNumbers w:val="0"/>
              <w:spacing w:before="0" w:beforeAutospacing="0" w:after="0" w:afterAutospacing="0" w:line="360" w:lineRule="auto"/>
              <w:ind w:left="0" w:right="0" w:firstLine="361"/>
              <w:rPr>
                <w:rFonts w:hint="default"/>
                <w:b/>
                <w:sz w:val="18"/>
                <w:szCs w:val="18"/>
              </w:rPr>
            </w:pPr>
          </w:p>
        </w:tc>
      </w:tr>
      <w:tr w14:paraId="77674C7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14:paraId="11994C6B">
            <w:pPr>
              <w:keepNext w:val="0"/>
              <w:keepLines w:val="0"/>
              <w:suppressLineNumbers w:val="0"/>
              <w:spacing w:before="0" w:beforeAutospacing="0" w:after="0" w:afterAutospacing="0" w:line="360" w:lineRule="auto"/>
              <w:ind w:left="0" w:right="0"/>
              <w:jc w:val="left"/>
              <w:rPr>
                <w:rFonts w:hint="default"/>
                <w:b/>
                <w:sz w:val="18"/>
                <w:szCs w:val="18"/>
              </w:rPr>
            </w:pPr>
            <w:r>
              <w:rPr>
                <w:rFonts w:hint="eastAsia"/>
                <w:b/>
                <w:sz w:val="18"/>
                <w:szCs w:val="18"/>
              </w:rPr>
              <w:t>个人投资者适用</w:t>
            </w:r>
          </w:p>
        </w:tc>
        <w:tc>
          <w:tcPr>
            <w:tcW w:w="7371" w:type="dxa"/>
          </w:tcPr>
          <w:p w14:paraId="33AC06BB">
            <w:pPr>
              <w:keepNext w:val="0"/>
              <w:keepLines w:val="0"/>
              <w:suppressLineNumbers w:val="0"/>
              <w:spacing w:before="0" w:beforeAutospacing="0" w:after="0" w:afterAutospacing="0" w:line="360" w:lineRule="auto"/>
              <w:ind w:left="0" w:right="0" w:firstLine="360"/>
              <w:jc w:val="left"/>
              <w:rPr>
                <w:rFonts w:hint="default"/>
                <w:sz w:val="18"/>
                <w:szCs w:val="18"/>
              </w:rPr>
            </w:pPr>
            <w:r>
              <w:rPr>
                <w:rFonts w:hint="eastAsia"/>
                <w:sz w:val="18"/>
                <w:szCs w:val="18"/>
              </w:rPr>
              <w:t>投资者（</w:t>
            </w:r>
            <w:r>
              <w:rPr>
                <w:rFonts w:hint="default"/>
                <w:sz w:val="18"/>
                <w:szCs w:val="18"/>
              </w:rPr>
              <w:t>签名/</w:t>
            </w:r>
            <w:r>
              <w:rPr>
                <w:rFonts w:hint="eastAsia"/>
                <w:sz w:val="18"/>
                <w:szCs w:val="18"/>
              </w:rPr>
              <w:t>线上确认）：</w:t>
            </w:r>
          </w:p>
          <w:p w14:paraId="66536A7A">
            <w:pPr>
              <w:keepNext w:val="0"/>
              <w:keepLines w:val="0"/>
              <w:suppressLineNumbers w:val="0"/>
              <w:spacing w:before="0" w:beforeAutospacing="0" w:after="0" w:afterAutospacing="0" w:line="360" w:lineRule="auto"/>
              <w:ind w:left="0" w:right="0" w:firstLine="361"/>
              <w:jc w:val="left"/>
              <w:rPr>
                <w:rFonts w:hint="default"/>
                <w:b/>
                <w:sz w:val="18"/>
                <w:szCs w:val="18"/>
              </w:rPr>
            </w:pPr>
          </w:p>
          <w:p w14:paraId="1EA28AB1">
            <w:pPr>
              <w:keepNext w:val="0"/>
              <w:keepLines w:val="0"/>
              <w:suppressLineNumbers w:val="0"/>
              <w:spacing w:before="0" w:beforeAutospacing="0" w:after="0" w:afterAutospacing="0" w:line="360" w:lineRule="auto"/>
              <w:ind w:left="0" w:right="0" w:firstLine="360"/>
              <w:jc w:val="left"/>
              <w:rPr>
                <w:rFonts w:hint="default"/>
                <w:sz w:val="18"/>
                <w:szCs w:val="18"/>
              </w:rPr>
            </w:pPr>
            <w:r>
              <w:rPr>
                <w:rFonts w:hint="eastAsia"/>
                <w:sz w:val="18"/>
                <w:szCs w:val="18"/>
              </w:rPr>
              <w:t>日期：</w:t>
            </w:r>
          </w:p>
        </w:tc>
      </w:tr>
      <w:tr w14:paraId="3087EEA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14:paraId="1EE5765E">
            <w:pPr>
              <w:keepNext w:val="0"/>
              <w:keepLines w:val="0"/>
              <w:suppressLineNumbers w:val="0"/>
              <w:spacing w:before="0" w:beforeAutospacing="0" w:after="0" w:afterAutospacing="0" w:line="360" w:lineRule="auto"/>
              <w:ind w:left="0" w:right="0"/>
              <w:jc w:val="left"/>
              <w:rPr>
                <w:rFonts w:hint="default"/>
                <w:b/>
                <w:sz w:val="18"/>
                <w:szCs w:val="18"/>
              </w:rPr>
            </w:pPr>
            <w:r>
              <w:rPr>
                <w:rFonts w:hint="eastAsia"/>
                <w:b/>
                <w:sz w:val="18"/>
                <w:szCs w:val="18"/>
              </w:rPr>
              <w:t>机构投资者适用</w:t>
            </w:r>
          </w:p>
        </w:tc>
        <w:tc>
          <w:tcPr>
            <w:tcW w:w="7371" w:type="dxa"/>
          </w:tcPr>
          <w:p w14:paraId="319B6D47">
            <w:pPr>
              <w:keepNext w:val="0"/>
              <w:keepLines w:val="0"/>
              <w:suppressLineNumbers w:val="0"/>
              <w:spacing w:before="0" w:beforeAutospacing="0" w:after="0" w:afterAutospacing="0" w:line="360" w:lineRule="auto"/>
              <w:ind w:left="0" w:right="0" w:firstLine="360"/>
              <w:jc w:val="left"/>
              <w:rPr>
                <w:rFonts w:hint="default" w:cs="Arial"/>
                <w:sz w:val="18"/>
                <w:szCs w:val="18"/>
              </w:rPr>
            </w:pPr>
            <w:r>
              <w:rPr>
                <w:rFonts w:hint="eastAsia"/>
                <w:sz w:val="18"/>
                <w:szCs w:val="18"/>
              </w:rPr>
              <w:t>投资者</w:t>
            </w:r>
            <w:r>
              <w:rPr>
                <w:rFonts w:hint="eastAsia" w:cs="Arial"/>
                <w:sz w:val="18"/>
                <w:szCs w:val="18"/>
              </w:rPr>
              <w:t>（盖章</w:t>
            </w:r>
            <w:r>
              <w:rPr>
                <w:rFonts w:hint="default" w:cs="Arial"/>
                <w:sz w:val="18"/>
                <w:szCs w:val="18"/>
              </w:rPr>
              <w:t>/</w:t>
            </w:r>
            <w:r>
              <w:rPr>
                <w:rFonts w:hint="eastAsia" w:cs="Arial"/>
                <w:sz w:val="18"/>
                <w:szCs w:val="18"/>
              </w:rPr>
              <w:t>线上确认）：</w:t>
            </w:r>
          </w:p>
          <w:p w14:paraId="376D6C5F">
            <w:pPr>
              <w:keepNext w:val="0"/>
              <w:keepLines w:val="0"/>
              <w:suppressLineNumbers w:val="0"/>
              <w:tabs>
                <w:tab w:val="left" w:pos="5609"/>
              </w:tabs>
              <w:spacing w:before="0" w:beforeAutospacing="0" w:after="0" w:afterAutospacing="0" w:line="360" w:lineRule="auto"/>
              <w:ind w:left="0" w:right="0" w:firstLine="360"/>
              <w:jc w:val="left"/>
              <w:rPr>
                <w:rFonts w:hint="default" w:cs="Arial"/>
                <w:sz w:val="18"/>
                <w:szCs w:val="18"/>
              </w:rPr>
            </w:pPr>
            <w:r>
              <w:rPr>
                <w:rFonts w:hint="default" w:cs="Arial"/>
                <w:sz w:val="18"/>
                <w:szCs w:val="18"/>
              </w:rPr>
              <w:tab/>
            </w:r>
          </w:p>
          <w:p w14:paraId="538606A4">
            <w:pPr>
              <w:keepNext w:val="0"/>
              <w:keepLines w:val="0"/>
              <w:suppressLineNumbers w:val="0"/>
              <w:spacing w:before="0" w:beforeAutospacing="0" w:after="0" w:afterAutospacing="0" w:line="360" w:lineRule="auto"/>
              <w:ind w:left="0" w:right="0" w:firstLine="360"/>
              <w:jc w:val="left"/>
              <w:rPr>
                <w:rFonts w:hint="default" w:cs="Arial"/>
                <w:sz w:val="18"/>
                <w:szCs w:val="18"/>
              </w:rPr>
            </w:pPr>
            <w:r>
              <w:rPr>
                <w:rFonts w:hint="eastAsia" w:cs="Arial"/>
                <w:sz w:val="18"/>
                <w:szCs w:val="18"/>
              </w:rPr>
              <w:t>投资者法定代表人或授权代理人（签名</w:t>
            </w:r>
            <w:r>
              <w:rPr>
                <w:rFonts w:hint="default" w:cs="Arial"/>
                <w:sz w:val="18"/>
                <w:szCs w:val="18"/>
              </w:rPr>
              <w:t>/</w:t>
            </w:r>
            <w:r>
              <w:rPr>
                <w:rFonts w:hint="eastAsia" w:cs="Arial"/>
                <w:sz w:val="18"/>
                <w:szCs w:val="18"/>
              </w:rPr>
              <w:t>盖章</w:t>
            </w:r>
            <w:r>
              <w:rPr>
                <w:rFonts w:hint="default" w:cs="Arial"/>
                <w:sz w:val="18"/>
                <w:szCs w:val="18"/>
              </w:rPr>
              <w:t>/</w:t>
            </w:r>
            <w:r>
              <w:rPr>
                <w:rFonts w:hint="eastAsia" w:cs="Arial"/>
                <w:sz w:val="18"/>
                <w:szCs w:val="18"/>
              </w:rPr>
              <w:t>线上确认）：</w:t>
            </w:r>
          </w:p>
          <w:p w14:paraId="0D096044">
            <w:pPr>
              <w:keepNext w:val="0"/>
              <w:keepLines w:val="0"/>
              <w:suppressLineNumbers w:val="0"/>
              <w:spacing w:before="0" w:beforeAutospacing="0" w:after="0" w:afterAutospacing="0" w:line="360" w:lineRule="auto"/>
              <w:ind w:left="0" w:right="0" w:firstLine="360"/>
              <w:jc w:val="left"/>
              <w:rPr>
                <w:rFonts w:hint="default"/>
                <w:sz w:val="18"/>
                <w:szCs w:val="18"/>
              </w:rPr>
            </w:pPr>
            <w:r>
              <w:rPr>
                <w:rFonts w:hint="eastAsia"/>
                <w:sz w:val="18"/>
                <w:szCs w:val="18"/>
              </w:rPr>
              <w:t>日期：</w:t>
            </w:r>
          </w:p>
        </w:tc>
      </w:tr>
    </w:tbl>
    <w:p w14:paraId="012124DC">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14:paraId="4FB07B0E">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FF15B">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3EC26">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14:paraId="0C04982B">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dit="readOnly" w:enforcement="1" w:cryptProviderType="rsaFull" w:cryptAlgorithmClass="hash" w:cryptAlgorithmType="typeAny" w:cryptAlgorithmSid="4" w:cryptSpinCount="0" w:hash="X8MTH4r3VGXfheryKtfvJgFrepM=" w:salt="6hLmS31bjWHjyyVdPhkOf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46E31C1"/>
    <w:rsid w:val="056C4F65"/>
    <w:rsid w:val="05883C21"/>
    <w:rsid w:val="05B437EC"/>
    <w:rsid w:val="05B80C59"/>
    <w:rsid w:val="06F4696E"/>
    <w:rsid w:val="07245E56"/>
    <w:rsid w:val="072779FF"/>
    <w:rsid w:val="0BE22C8C"/>
    <w:rsid w:val="0C023D8C"/>
    <w:rsid w:val="0E94232E"/>
    <w:rsid w:val="0F1306D5"/>
    <w:rsid w:val="10134CDE"/>
    <w:rsid w:val="11295396"/>
    <w:rsid w:val="118A2253"/>
    <w:rsid w:val="12432CFD"/>
    <w:rsid w:val="163E2FB7"/>
    <w:rsid w:val="182E1FF8"/>
    <w:rsid w:val="1A1C4C6A"/>
    <w:rsid w:val="1A48157B"/>
    <w:rsid w:val="1ABE2ED9"/>
    <w:rsid w:val="1BD70953"/>
    <w:rsid w:val="1BF87698"/>
    <w:rsid w:val="1C78144D"/>
    <w:rsid w:val="1E585AB7"/>
    <w:rsid w:val="1EB160C2"/>
    <w:rsid w:val="1FF145B9"/>
    <w:rsid w:val="20776154"/>
    <w:rsid w:val="2193546F"/>
    <w:rsid w:val="22CB3681"/>
    <w:rsid w:val="23083986"/>
    <w:rsid w:val="237A0B45"/>
    <w:rsid w:val="23AF29A3"/>
    <w:rsid w:val="23E55A70"/>
    <w:rsid w:val="23F73F34"/>
    <w:rsid w:val="24924C8F"/>
    <w:rsid w:val="25675458"/>
    <w:rsid w:val="259D5B4B"/>
    <w:rsid w:val="26123FD6"/>
    <w:rsid w:val="26F50BA9"/>
    <w:rsid w:val="29026D00"/>
    <w:rsid w:val="2A0E468C"/>
    <w:rsid w:val="2A642791"/>
    <w:rsid w:val="2AE456A1"/>
    <w:rsid w:val="2B590E2A"/>
    <w:rsid w:val="2EA644DF"/>
    <w:rsid w:val="2F0C123B"/>
    <w:rsid w:val="2FB532A0"/>
    <w:rsid w:val="2FE14D58"/>
    <w:rsid w:val="319C4BEA"/>
    <w:rsid w:val="3283538E"/>
    <w:rsid w:val="33DA2E89"/>
    <w:rsid w:val="34B41D11"/>
    <w:rsid w:val="34C829B2"/>
    <w:rsid w:val="35381804"/>
    <w:rsid w:val="3747470D"/>
    <w:rsid w:val="386A3F56"/>
    <w:rsid w:val="3996298A"/>
    <w:rsid w:val="3A810EF7"/>
    <w:rsid w:val="3C3802E9"/>
    <w:rsid w:val="3E0C1771"/>
    <w:rsid w:val="3E586AB8"/>
    <w:rsid w:val="3E5C1B1D"/>
    <w:rsid w:val="3EAE14E9"/>
    <w:rsid w:val="3FA22D5A"/>
    <w:rsid w:val="3FD261A6"/>
    <w:rsid w:val="426170FE"/>
    <w:rsid w:val="42626C92"/>
    <w:rsid w:val="42EB2F9C"/>
    <w:rsid w:val="45226963"/>
    <w:rsid w:val="469F5C49"/>
    <w:rsid w:val="4A3241BC"/>
    <w:rsid w:val="4C163B54"/>
    <w:rsid w:val="4C9978BA"/>
    <w:rsid w:val="4D39606F"/>
    <w:rsid w:val="4EAB5C5F"/>
    <w:rsid w:val="4F8E3D4D"/>
    <w:rsid w:val="4FA308F4"/>
    <w:rsid w:val="51BA7EA1"/>
    <w:rsid w:val="51E57594"/>
    <w:rsid w:val="526123AA"/>
    <w:rsid w:val="53B3493A"/>
    <w:rsid w:val="54F12EE7"/>
    <w:rsid w:val="5537323C"/>
    <w:rsid w:val="55855837"/>
    <w:rsid w:val="55974979"/>
    <w:rsid w:val="56503211"/>
    <w:rsid w:val="57BD5DAE"/>
    <w:rsid w:val="598B567E"/>
    <w:rsid w:val="59E67D5F"/>
    <w:rsid w:val="5BA577EB"/>
    <w:rsid w:val="5C624734"/>
    <w:rsid w:val="5CE90FFC"/>
    <w:rsid w:val="5D254161"/>
    <w:rsid w:val="5FE91ABC"/>
    <w:rsid w:val="60D42826"/>
    <w:rsid w:val="60E80249"/>
    <w:rsid w:val="61EB7F1A"/>
    <w:rsid w:val="628E734C"/>
    <w:rsid w:val="64851E5E"/>
    <w:rsid w:val="656B1A72"/>
    <w:rsid w:val="6580603B"/>
    <w:rsid w:val="68B96EA7"/>
    <w:rsid w:val="68C7223A"/>
    <w:rsid w:val="68EF6886"/>
    <w:rsid w:val="694A7300"/>
    <w:rsid w:val="699457CF"/>
    <w:rsid w:val="6D9767D9"/>
    <w:rsid w:val="6F3E7E0E"/>
    <w:rsid w:val="6FDD1093"/>
    <w:rsid w:val="709C0126"/>
    <w:rsid w:val="70D35CA6"/>
    <w:rsid w:val="712F05BE"/>
    <w:rsid w:val="72473609"/>
    <w:rsid w:val="733E031E"/>
    <w:rsid w:val="737A314E"/>
    <w:rsid w:val="73EB7F47"/>
    <w:rsid w:val="75A147BE"/>
    <w:rsid w:val="76022652"/>
    <w:rsid w:val="768501BE"/>
    <w:rsid w:val="76B466CC"/>
    <w:rsid w:val="76C8601E"/>
    <w:rsid w:val="7831779D"/>
    <w:rsid w:val="7A6F7EB6"/>
    <w:rsid w:val="7AFB44D3"/>
    <w:rsid w:val="7B0D6371"/>
    <w:rsid w:val="7D80556D"/>
    <w:rsid w:val="7ED86E63"/>
    <w:rsid w:val="7F7D23B8"/>
    <w:rsid w:val="7F8A69E7"/>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BA638-9D3A-4AA3-A169-FF78BC0E4BE9}">
  <ds:schemaRefs/>
</ds:datastoreItem>
</file>

<file path=customXml/itemProps10.xml><?xml version="1.0" encoding="utf-8"?>
<ds:datastoreItem xmlns:ds="http://schemas.openxmlformats.org/officeDocument/2006/customXml" ds:itemID="{79B37214-9E52-4241-8DD2-9E9CD9442006}">
  <ds:schemaRefs/>
</ds:datastoreItem>
</file>

<file path=customXml/itemProps11.xml><?xml version="1.0" encoding="utf-8"?>
<ds:datastoreItem xmlns:ds="http://schemas.openxmlformats.org/officeDocument/2006/customXml" ds:itemID="{7E5C9D84-6DB6-48FB-8632-D5279FC233C8}">
  <ds:schemaRefs/>
</ds:datastoreItem>
</file>

<file path=customXml/itemProps12.xml><?xml version="1.0" encoding="utf-8"?>
<ds:datastoreItem xmlns:ds="http://schemas.openxmlformats.org/officeDocument/2006/customXml" ds:itemID="{2108FF18-8EC8-4170-A536-1AA8E39CC797}">
  <ds:schemaRefs/>
</ds:datastoreItem>
</file>

<file path=customXml/itemProps13.xml><?xml version="1.0" encoding="utf-8"?>
<ds:datastoreItem xmlns:ds="http://schemas.openxmlformats.org/officeDocument/2006/customXml" ds:itemID="{E6D3D55C-3DD8-4C31-8069-E5508DD844FB}">
  <ds:schemaRefs/>
</ds:datastoreItem>
</file>

<file path=customXml/itemProps14.xml><?xml version="1.0" encoding="utf-8"?>
<ds:datastoreItem xmlns:ds="http://schemas.openxmlformats.org/officeDocument/2006/customXml" ds:itemID="{EC45DDBE-A426-47CA-BC62-D025DE29F1BC}">
  <ds:schemaRefs/>
</ds:datastoreItem>
</file>

<file path=customXml/itemProps15.xml><?xml version="1.0" encoding="utf-8"?>
<ds:datastoreItem xmlns:ds="http://schemas.openxmlformats.org/officeDocument/2006/customXml" ds:itemID="{BEEE0313-55EB-45FA-BBBD-C0232D367255}">
  <ds:schemaRefs/>
</ds:datastoreItem>
</file>

<file path=customXml/itemProps16.xml><?xml version="1.0" encoding="utf-8"?>
<ds:datastoreItem xmlns:ds="http://schemas.openxmlformats.org/officeDocument/2006/customXml" ds:itemID="{1A3BDF38-4832-4575-A8AB-7A1679738229}">
  <ds:schemaRefs/>
</ds:datastoreItem>
</file>

<file path=customXml/itemProps17.xml><?xml version="1.0" encoding="utf-8"?>
<ds:datastoreItem xmlns:ds="http://schemas.openxmlformats.org/officeDocument/2006/customXml" ds:itemID="{CF487381-D648-48A1-B1E4-A4540B0D3650}">
  <ds:schemaRefs/>
</ds:datastoreItem>
</file>

<file path=customXml/itemProps2.xml><?xml version="1.0" encoding="utf-8"?>
<ds:datastoreItem xmlns:ds="http://schemas.openxmlformats.org/officeDocument/2006/customXml" ds:itemID="{AC86F3EB-DB57-4B60-8A7E-BBB67A22EE0B}">
  <ds:schemaRefs/>
</ds:datastoreItem>
</file>

<file path=customXml/itemProps3.xml><?xml version="1.0" encoding="utf-8"?>
<ds:datastoreItem xmlns:ds="http://schemas.openxmlformats.org/officeDocument/2006/customXml" ds:itemID="{D902962D-C8CC-43BF-804A-CD60AE6D7475}">
  <ds:schemaRefs/>
</ds:datastoreItem>
</file>

<file path=customXml/itemProps4.xml><?xml version="1.0" encoding="utf-8"?>
<ds:datastoreItem xmlns:ds="http://schemas.openxmlformats.org/officeDocument/2006/customXml" ds:itemID="{0A7AA9EF-3B8C-4BAA-9155-A6E3E5337D3C}">
  <ds:schemaRefs/>
</ds:datastoreItem>
</file>

<file path=customXml/itemProps5.xml><?xml version="1.0" encoding="utf-8"?>
<ds:datastoreItem xmlns:ds="http://schemas.openxmlformats.org/officeDocument/2006/customXml" ds:itemID="{3A3C3A8D-C5E4-45AF-8B48-C3BF528808AD}">
  <ds:schemaRefs/>
</ds:datastoreItem>
</file>

<file path=customXml/itemProps6.xml><?xml version="1.0" encoding="utf-8"?>
<ds:datastoreItem xmlns:ds="http://schemas.openxmlformats.org/officeDocument/2006/customXml" ds:itemID="{A06CD169-7F5C-4082-81B2-6ECAA9AF6149}">
  <ds:schemaRefs/>
</ds:datastoreItem>
</file>

<file path=customXml/itemProps7.xml><?xml version="1.0" encoding="utf-8"?>
<ds:datastoreItem xmlns:ds="http://schemas.openxmlformats.org/officeDocument/2006/customXml" ds:itemID="{1990A2D8-324F-45D5-B9CD-07245ED2860B}">
  <ds:schemaRefs/>
</ds:datastoreItem>
</file>

<file path=customXml/itemProps8.xml><?xml version="1.0" encoding="utf-8"?>
<ds:datastoreItem xmlns:ds="http://schemas.openxmlformats.org/officeDocument/2006/customXml" ds:itemID="{9114D43D-ED98-4C7B-A3AE-26D78B80CA82}">
  <ds:schemaRefs/>
</ds:datastoreItem>
</file>

<file path=customXml/itemProps9.xml><?xml version="1.0" encoding="utf-8"?>
<ds:datastoreItem xmlns:ds="http://schemas.openxmlformats.org/officeDocument/2006/customXml" ds:itemID="{1EEDD527-97BA-47F6-B37E-95B51416FA3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38</Pages>
  <Words>3557</Words>
  <Characters>20276</Characters>
  <Lines>168</Lines>
  <Paragraphs>47</Paragraphs>
  <TotalTime>0</TotalTime>
  <ScaleCrop>false</ScaleCrop>
  <LinksUpToDate>false</LinksUpToDate>
  <CharactersWithSpaces>23786</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2026-02-05T02:32:01Z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F824FDB89BD94068907E5DECA960C358</vt:lpwstr>
  </property>
</Properties>
</file>