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恒源月开放2号</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highlight w:val="none"/>
        </w:rPr>
      </w:pPr>
      <w:r>
        <w:rPr>
          <w:rFonts w:hint="eastAsia" w:ascii="楷体" w:hAnsi="楷体" w:eastAsia="楷体" w:cs="宋体"/>
          <w:b/>
          <w:color w:val="auto"/>
          <w:kern w:val="0"/>
          <w:sz w:val="28"/>
          <w:szCs w:val="28"/>
          <w:highlight w:val="none"/>
        </w:rPr>
        <w:t>理财非存款、产品有风险、投资须谨慎</w:t>
      </w:r>
    </w:p>
    <w:p>
      <w:pPr>
        <w:pStyle w:val="12"/>
        <w:spacing w:before="0" w:beforeAutospacing="0" w:after="0" w:afterAutospacing="0" w:line="240" w:lineRule="atLeast"/>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尊敬的投资者：</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由于理财资金在管理运用过程中可能面临多种风险因素，根据</w:t>
      </w:r>
      <w:r>
        <w:rPr>
          <w:rFonts w:hint="eastAsia" w:ascii="楷体" w:hAnsi="楷体" w:eastAsia="楷体" w:cs="Times New Roman"/>
          <w:sz w:val="21"/>
          <w:szCs w:val="21"/>
          <w:highlight w:val="none"/>
          <w:lang w:val="en-US" w:eastAsia="zh-CN"/>
        </w:rPr>
        <w:t>国家金融监督管理总局（以下简称“金融监管总局”）</w:t>
      </w:r>
      <w:r>
        <w:rPr>
          <w:rFonts w:hint="eastAsia" w:ascii="楷体" w:hAnsi="楷体" w:eastAsia="楷体" w:cs="Times New Roman"/>
          <w:color w:val="auto"/>
          <w:sz w:val="21"/>
          <w:szCs w:val="21"/>
          <w:highlight w:val="none"/>
        </w:rPr>
        <w:t>相关监管规定，苏银理财有限责任公司（以下简称“苏银理财”</w:t>
      </w:r>
      <w:r>
        <w:rPr>
          <w:rFonts w:hint="eastAsia" w:ascii="楷体" w:hAnsi="楷体" w:eastAsia="楷体" w:cs="Times New Roman"/>
          <w:color w:val="auto"/>
          <w:sz w:val="21"/>
          <w:szCs w:val="21"/>
          <w:highlight w:val="none"/>
          <w:lang w:val="en-US" w:eastAsia="zh-CN"/>
        </w:rPr>
        <w:t>或“管理人”</w:t>
      </w:r>
      <w:r>
        <w:rPr>
          <w:rFonts w:hint="eastAsia" w:ascii="楷体" w:hAnsi="楷体" w:eastAsia="楷体" w:cs="Times New Roman"/>
          <w:color w:val="auto"/>
          <w:sz w:val="21"/>
          <w:szCs w:val="21"/>
          <w:highlight w:val="none"/>
        </w:rPr>
        <w:t>）作为本理财产品的产品管理人郑重提示您：在您选择购买理财产品前，请仔细阅读本理财产品</w:t>
      </w:r>
      <w:r>
        <w:rPr>
          <w:rFonts w:hint="eastAsia" w:ascii="楷体" w:hAnsi="楷体" w:eastAsia="楷体" w:cs="Times New Roman"/>
          <w:color w:val="auto"/>
          <w:sz w:val="21"/>
          <w:szCs w:val="21"/>
          <w:highlight w:val="none"/>
          <w:lang w:val="en-US" w:eastAsia="zh-CN"/>
        </w:rPr>
        <w:t>完整销售文件</w:t>
      </w:r>
      <w:r>
        <w:rPr>
          <w:rFonts w:hint="eastAsia" w:ascii="楷体" w:hAnsi="楷体" w:eastAsia="楷体" w:cs="Times New Roman"/>
          <w:color w:val="auto"/>
          <w:sz w:val="21"/>
          <w:szCs w:val="21"/>
          <w:highlight w:val="none"/>
        </w:rPr>
        <w:t>（包括《风险揭示书》、《理财产品说明书》、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val="en-US" w:eastAsia="zh-CN"/>
        </w:rPr>
        <w:t>理财</w:t>
      </w:r>
      <w:r>
        <w:rPr>
          <w:rFonts w:hint="eastAsia" w:ascii="楷体" w:hAnsi="楷体" w:eastAsia="楷体" w:cs="Times New Roman"/>
          <w:color w:val="auto"/>
          <w:sz w:val="21"/>
          <w:szCs w:val="21"/>
          <w:highlight w:val="none"/>
        </w:rPr>
        <w:t>产品投资协议书</w:t>
      </w:r>
      <w:r>
        <w:rPr>
          <w:rFonts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《投资者权益须知》</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w:t>
      </w:r>
      <w:r>
        <w:rPr>
          <w:rFonts w:hint="eastAsia" w:ascii="楷体" w:hAnsi="楷体" w:eastAsia="楷体" w:cs="Times New Roman"/>
          <w:color w:val="auto"/>
          <w:sz w:val="21"/>
          <w:szCs w:val="21"/>
          <w:highlight w:val="none"/>
          <w:lang w:eastAsia="zh-CN"/>
        </w:rPr>
        <w:t>理财产品（代理）销售协议书</w:t>
      </w:r>
      <w:r>
        <w:rPr>
          <w:rFonts w:hint="eastAsia" w:ascii="楷体" w:hAnsi="楷体" w:eastAsia="楷体" w:cs="Times New Roman"/>
          <w:color w:val="auto"/>
          <w:sz w:val="21"/>
          <w:szCs w:val="21"/>
          <w:highlight w:val="none"/>
        </w:rPr>
        <w:t>》），了解理财产品具体情况；在您购买理财产品后，请关注本理财产品的信息披露，及时获取相关信息。</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lang w:val="en-US" w:eastAsia="zh-CN"/>
        </w:rPr>
      </w:pPr>
      <w:r>
        <w:rPr>
          <w:rFonts w:hint="eastAsia" w:ascii="楷体" w:hAnsi="楷体" w:eastAsia="楷体" w:cs="Times New Roman"/>
          <w:color w:val="auto"/>
          <w:sz w:val="21"/>
          <w:szCs w:val="21"/>
          <w:highlight w:val="none"/>
        </w:rPr>
        <w:t>苏银理财作为本理财产品管理人承诺以诚实信用、勤勉尽责的原则管理和运用理财产品资产，</w:t>
      </w:r>
      <w:r>
        <w:rPr>
          <w:rFonts w:hint="eastAsia" w:ascii="楷体" w:hAnsi="楷体" w:eastAsia="楷体" w:cs="Times New Roman"/>
          <w:b/>
          <w:color w:val="auto"/>
          <w:sz w:val="21"/>
          <w:szCs w:val="21"/>
          <w:highlight w:val="none"/>
          <w:u w:val="single"/>
        </w:rPr>
        <w:t>但不保证理财产品一定盈利，也不保证最低收益，极端情况下有可能会损失部分甚至全部本金。</w:t>
      </w:r>
      <w:r>
        <w:rPr>
          <w:rFonts w:hint="eastAsia" w:ascii="楷体" w:hAnsi="楷体" w:eastAsia="楷体" w:cs="Times New Roman"/>
          <w:color w:val="auto"/>
          <w:sz w:val="21"/>
          <w:szCs w:val="21"/>
          <w:highlight w:val="none"/>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highlight w:val="none"/>
        </w:rPr>
      </w:pPr>
      <w:r>
        <w:rPr>
          <w:rFonts w:hint="eastAsia" w:ascii="楷体" w:hAnsi="楷体" w:eastAsia="楷体"/>
          <w:b/>
          <w:color w:val="auto"/>
          <w:sz w:val="24"/>
          <w:szCs w:val="24"/>
          <w:highlight w:val="none"/>
        </w:rPr>
        <w:t>风险揭示</w:t>
      </w:r>
    </w:p>
    <w:p>
      <w:pPr>
        <w:pStyle w:val="12"/>
        <w:spacing w:before="0" w:beforeAutospacing="0" w:after="0" w:afterAutospacing="0" w:line="240" w:lineRule="atLeast"/>
        <w:ind w:firstLine="420" w:firstLineChars="200"/>
        <w:rPr>
          <w:rFonts w:hint="eastAsia" w:ascii="楷体" w:hAnsi="楷体" w:eastAsia="楷体" w:cs="Times New Roman"/>
          <w:color w:val="auto"/>
          <w:sz w:val="21"/>
          <w:szCs w:val="21"/>
          <w:highlight w:val="none"/>
        </w:rPr>
      </w:pPr>
      <w:r>
        <w:rPr>
          <w:rFonts w:hint="eastAsia" w:ascii="楷体" w:hAnsi="楷体" w:eastAsia="楷体" w:cs="Times New Roman"/>
          <w:color w:val="auto"/>
          <w:sz w:val="21"/>
          <w:szCs w:val="21"/>
          <w:highlight w:val="none"/>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政策风险：</w:t>
      </w:r>
      <w:r>
        <w:rPr>
          <w:rFonts w:hint="eastAsia" w:ascii="楷体" w:hAnsi="楷体" w:eastAsia="楷体"/>
          <w:color w:val="auto"/>
          <w:sz w:val="21"/>
          <w:szCs w:val="21"/>
          <w:highlight w:val="none"/>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信用风险：</w:t>
      </w: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投资于各类金融</w:t>
      </w:r>
      <w:r>
        <w:rPr>
          <w:rFonts w:hint="eastAsia" w:ascii="楷体" w:hAnsi="楷体" w:eastAsia="楷体"/>
          <w:color w:val="auto"/>
          <w:sz w:val="21"/>
          <w:szCs w:val="21"/>
          <w:highlight w:val="none"/>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将按照投资实际收益情况，并以资产变现实际收到的资金为限支付投资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收益，投资</w:t>
      </w:r>
      <w:r>
        <w:rPr>
          <w:rFonts w:hint="eastAsia" w:ascii="楷体" w:hAnsi="楷体" w:eastAsia="楷体"/>
          <w:color w:val="auto"/>
          <w:sz w:val="21"/>
          <w:szCs w:val="21"/>
          <w:highlight w:val="none"/>
          <w:lang w:val="en-US" w:eastAsia="zh-CN"/>
        </w:rPr>
        <w:t>者</w:t>
      </w:r>
      <w:r>
        <w:rPr>
          <w:rFonts w:hint="eastAsia" w:ascii="楷体" w:hAnsi="楷体" w:eastAsia="楷体"/>
          <w:color w:val="auto"/>
          <w:sz w:val="21"/>
          <w:szCs w:val="21"/>
          <w:highlight w:val="none"/>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市场风险：</w:t>
      </w:r>
      <w:r>
        <w:rPr>
          <w:rFonts w:hint="eastAsia" w:ascii="楷体" w:hAnsi="楷体" w:eastAsia="楷体"/>
          <w:color w:val="auto"/>
          <w:sz w:val="21"/>
          <w:szCs w:val="21"/>
          <w:highlight w:val="none"/>
        </w:rPr>
        <w:t>本理财产品投资</w:t>
      </w:r>
      <w:r>
        <w:rPr>
          <w:rFonts w:hint="eastAsia" w:ascii="楷体" w:hAnsi="楷体" w:eastAsia="楷体"/>
          <w:color w:val="auto"/>
          <w:sz w:val="21"/>
          <w:szCs w:val="21"/>
          <w:highlight w:val="none"/>
          <w:lang w:val="en-US" w:eastAsia="zh-CN"/>
        </w:rPr>
        <w:t>的金融</w:t>
      </w:r>
      <w:r>
        <w:rPr>
          <w:rFonts w:hint="eastAsia" w:ascii="楷体" w:hAnsi="楷体" w:eastAsia="楷体"/>
          <w:color w:val="auto"/>
          <w:sz w:val="21"/>
          <w:szCs w:val="21"/>
          <w:highlight w:val="none"/>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管理风险：</w:t>
      </w:r>
      <w:r>
        <w:rPr>
          <w:rFonts w:hint="eastAsia" w:ascii="楷体" w:hAnsi="楷体" w:eastAsia="楷体"/>
          <w:color w:val="auto"/>
          <w:sz w:val="21"/>
          <w:szCs w:val="21"/>
          <w:highlight w:val="none"/>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操作风险：</w:t>
      </w:r>
      <w:r>
        <w:rPr>
          <w:rFonts w:hint="eastAsia" w:ascii="楷体" w:hAnsi="楷体" w:eastAsia="楷体"/>
          <w:color w:val="auto"/>
          <w:sz w:val="21"/>
          <w:szCs w:val="21"/>
          <w:highlight w:val="none"/>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延期兑付风险：</w:t>
      </w:r>
      <w:r>
        <w:rPr>
          <w:rFonts w:hint="eastAsia" w:ascii="楷体" w:hAnsi="楷体" w:eastAsia="楷体"/>
          <w:color w:val="auto"/>
          <w:sz w:val="21"/>
          <w:szCs w:val="21"/>
          <w:highlight w:val="none"/>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提前终止风险：</w:t>
      </w:r>
      <w:r>
        <w:rPr>
          <w:rFonts w:hint="eastAsia" w:ascii="楷体" w:hAnsi="楷体" w:eastAsia="楷体"/>
          <w:color w:val="auto"/>
          <w:sz w:val="21"/>
          <w:szCs w:val="21"/>
          <w:highlight w:val="none"/>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highlight w:val="none"/>
          <w:lang w:val="en-US" w:eastAsia="zh-CN"/>
        </w:rPr>
        <w:t>产品销售文件</w:t>
      </w:r>
      <w:r>
        <w:rPr>
          <w:rFonts w:hint="eastAsia" w:ascii="楷体" w:hAnsi="楷体" w:eastAsia="楷体"/>
          <w:color w:val="auto"/>
          <w:sz w:val="21"/>
          <w:szCs w:val="21"/>
          <w:highlight w:val="none"/>
        </w:rPr>
        <w:t>的，产品管理人有权提前终止理财产品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信息传递风险：</w:t>
      </w:r>
      <w:r>
        <w:rPr>
          <w:rFonts w:hint="eastAsia" w:ascii="楷体" w:hAnsi="楷体" w:eastAsia="楷体"/>
          <w:color w:val="auto"/>
          <w:sz w:val="21"/>
          <w:szCs w:val="21"/>
          <w:highlight w:val="none"/>
        </w:rPr>
        <w:t>产品管理人将按照本理财产品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highlight w:val="none"/>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约定划付至代销机构清算账户后，由代销机构向投资者划付投资者应得赎回资金。不同代销机构的销售渠道，其认购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highlight w:val="none"/>
        </w:rPr>
      </w:pPr>
      <w:r>
        <w:rPr>
          <w:rFonts w:hint="eastAsia" w:ascii="楷体" w:hAnsi="楷体" w:eastAsia="楷体"/>
          <w:b/>
          <w:color w:val="auto"/>
          <w:sz w:val="21"/>
          <w:szCs w:val="21"/>
          <w:highlight w:val="none"/>
        </w:rPr>
        <w:t>不可抗力风险：</w:t>
      </w:r>
      <w:r>
        <w:rPr>
          <w:rFonts w:hint="eastAsia" w:ascii="楷体" w:hAnsi="楷体" w:eastAsia="楷体"/>
          <w:color w:val="auto"/>
          <w:sz w:val="21"/>
          <w:szCs w:val="21"/>
          <w:highlight w:val="none"/>
        </w:rPr>
        <w:t>自然灾害、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highlight w:val="none"/>
        </w:rPr>
      </w:pPr>
      <w:r>
        <w:rPr>
          <w:rFonts w:hint="eastAsia" w:ascii="楷体" w:hAnsi="楷体" w:eastAsia="楷体" w:cs="Times New Roman"/>
          <w:b/>
          <w:bCs/>
          <w:color w:val="auto"/>
          <w:sz w:val="21"/>
          <w:szCs w:val="21"/>
          <w:highlight w:val="none"/>
        </w:rPr>
        <w:t>关联关系及关联交易风险</w:t>
      </w:r>
      <w:r>
        <w:rPr>
          <w:rFonts w:hint="eastAsia" w:ascii="楷体" w:hAnsi="楷体" w:eastAsia="楷体" w:cs="Times New Roman"/>
          <w:color w:val="auto"/>
          <w:sz w:val="21"/>
          <w:szCs w:val="21"/>
          <w:highlight w:val="none"/>
        </w:rPr>
        <w:t>：本理财产品由</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理财发行并作为管理人，独立履行产品管理职责，</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理财委托销售机构销售理财产品的，可能涉及委托</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银行股份有限公司（以下简称“</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银行”）作为理财产品的销售机构，负责理财产品的代理销售工作。</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理财是</w:t>
      </w:r>
      <w:r>
        <w:rPr>
          <w:rFonts w:hint="eastAsia" w:ascii="楷体" w:hAnsi="楷体" w:eastAsia="楷体" w:cs="Times New Roman"/>
          <w:color w:val="auto"/>
          <w:sz w:val="21"/>
          <w:szCs w:val="21"/>
          <w:highlight w:val="none"/>
          <w:lang w:val="en-US" w:eastAsia="zh-CN"/>
        </w:rPr>
        <w:t>江苏</w:t>
      </w:r>
      <w:r>
        <w:rPr>
          <w:rFonts w:hint="eastAsia" w:ascii="楷体" w:hAnsi="楷体" w:eastAsia="楷体" w:cs="Times New Roman"/>
          <w:color w:val="auto"/>
          <w:sz w:val="21"/>
          <w:szCs w:val="21"/>
          <w:highlight w:val="none"/>
        </w:rPr>
        <w:t>银行控股的子公司，二者互为关联方，可能出现关联交易行为。</w:t>
      </w:r>
      <w:r>
        <w:rPr>
          <w:rFonts w:hint="eastAsia" w:ascii="楷体" w:hAnsi="楷体" w:eastAsia="楷体" w:cs="Times New Roman"/>
          <w:color w:val="auto"/>
          <w:sz w:val="21"/>
          <w:szCs w:val="21"/>
          <w:highlight w:val="none"/>
          <w:lang w:val="en-US" w:eastAsia="zh-CN"/>
        </w:rPr>
        <w:t>苏银</w:t>
      </w:r>
      <w:r>
        <w:rPr>
          <w:rFonts w:hint="eastAsia" w:ascii="楷体" w:hAnsi="楷体" w:eastAsia="楷体" w:cs="Times New Roman"/>
          <w:color w:val="auto"/>
          <w:sz w:val="21"/>
          <w:szCs w:val="21"/>
          <w:highlight w:val="none"/>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特定投资标的风险：</w:t>
      </w:r>
    </w:p>
    <w:p>
      <w:pPr>
        <w:numPr>
          <w:ilvl w:val="0"/>
          <w:numId w:val="3"/>
        </w:numPr>
        <w:tabs>
          <w:tab w:val="left" w:pos="742"/>
        </w:tabs>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债券投资的特殊风险</w:t>
      </w:r>
    </w:p>
    <w:p>
      <w:pPr>
        <w:numPr>
          <w:ilvl w:val="-1"/>
          <w:numId w:val="0"/>
        </w:numPr>
        <w:tabs>
          <w:tab w:val="left" w:pos="1092"/>
        </w:tabs>
        <w:ind w:left="0" w:leftChars="0" w:firstLine="420" w:firstLineChars="200"/>
        <w:rPr>
          <w:rFonts w:hint="eastAsia" w:ascii="楷体" w:hAnsi="楷体" w:eastAsia="楷体"/>
          <w:b/>
          <w:bCs w:val="0"/>
          <w:color w:val="auto"/>
          <w:sz w:val="21"/>
          <w:szCs w:val="21"/>
          <w:highlight w:val="none"/>
        </w:rPr>
      </w:pPr>
      <w:r>
        <w:rPr>
          <w:rFonts w:hint="default" w:ascii="楷体" w:hAnsi="楷体" w:eastAsia="楷体" w:cs="楷体"/>
          <w:color w:val="auto"/>
          <w:sz w:val="21"/>
          <w:szCs w:val="21"/>
          <w:highlight w:val="none"/>
        </w:rPr>
        <w:t>①</w:t>
      </w:r>
      <w:r>
        <w:rPr>
          <w:rFonts w:hint="eastAsia" w:ascii="楷体" w:hAnsi="楷体" w:eastAsia="楷体"/>
          <w:color w:val="auto"/>
          <w:sz w:val="21"/>
          <w:szCs w:val="21"/>
          <w:highlight w:val="none"/>
        </w:rPr>
        <w:t>市场平均利率水平变化导致债券价格变化的风险。</w:t>
      </w:r>
      <w:r>
        <w:rPr>
          <w:rFonts w:hint="default" w:ascii="楷体" w:hAnsi="楷体" w:eastAsia="楷体" w:cs="楷体"/>
          <w:color w:val="auto"/>
          <w:sz w:val="21"/>
          <w:szCs w:val="21"/>
          <w:highlight w:val="none"/>
        </w:rPr>
        <w:t>②</w:t>
      </w:r>
      <w:r>
        <w:rPr>
          <w:rFonts w:hint="eastAsia" w:ascii="楷体" w:hAnsi="楷体" w:eastAsia="楷体"/>
          <w:color w:val="auto"/>
          <w:sz w:val="21"/>
          <w:szCs w:val="21"/>
          <w:highlight w:val="none"/>
        </w:rPr>
        <w:t>债券市场不同期限、不同类别债券之间的利差变动导致相应期限和类别债券价格变化的风险。</w:t>
      </w:r>
      <w:r>
        <w:rPr>
          <w:rFonts w:hint="default" w:ascii="楷体" w:hAnsi="楷体" w:eastAsia="楷体" w:cs="楷体"/>
          <w:color w:val="auto"/>
          <w:sz w:val="21"/>
          <w:szCs w:val="21"/>
          <w:highlight w:val="none"/>
        </w:rPr>
        <w:t>③</w:t>
      </w:r>
      <w:r>
        <w:rPr>
          <w:rFonts w:hint="eastAsia" w:ascii="楷体" w:hAnsi="楷体" w:eastAsia="楷体"/>
          <w:color w:val="auto"/>
          <w:sz w:val="21"/>
          <w:szCs w:val="21"/>
          <w:highlight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highlight w:val="none"/>
        </w:rPr>
        <w:t>④</w:t>
      </w:r>
      <w:r>
        <w:rPr>
          <w:rFonts w:hint="eastAsia" w:ascii="楷体" w:hAnsi="楷体" w:eastAsia="楷体"/>
          <w:color w:val="auto"/>
          <w:sz w:val="21"/>
          <w:szCs w:val="21"/>
          <w:highlight w:val="none"/>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highlight w:val="none"/>
        </w:rPr>
        <w:t>⑤</w:t>
      </w:r>
      <w:r>
        <w:rPr>
          <w:rFonts w:hint="eastAsia" w:ascii="楷体" w:hAnsi="楷体" w:eastAsia="楷体"/>
          <w:color w:val="auto"/>
          <w:sz w:val="21"/>
          <w:szCs w:val="21"/>
          <w:highlight w:val="none"/>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highlight w:val="none"/>
        </w:rPr>
        <w:t>⑥</w:t>
      </w:r>
      <w:r>
        <w:rPr>
          <w:rFonts w:hint="eastAsia" w:ascii="楷体" w:hAnsi="楷体" w:eastAsia="楷体"/>
          <w:color w:val="auto"/>
          <w:sz w:val="21"/>
          <w:szCs w:val="21"/>
          <w:highlight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资产管理计划或</w:t>
      </w:r>
      <w:r>
        <w:rPr>
          <w:rFonts w:hint="eastAsia" w:ascii="楷体" w:hAnsi="楷体" w:eastAsia="楷体"/>
          <w:color w:val="auto"/>
          <w:sz w:val="21"/>
          <w:szCs w:val="21"/>
          <w:highlight w:val="none"/>
          <w:lang w:val="en-US" w:eastAsia="zh-CN"/>
        </w:rPr>
        <w:t>基金产品</w:t>
      </w:r>
      <w:r>
        <w:rPr>
          <w:rFonts w:hint="eastAsia" w:ascii="楷体" w:hAnsi="楷体" w:eastAsia="楷体"/>
          <w:color w:val="auto"/>
          <w:sz w:val="21"/>
          <w:szCs w:val="21"/>
          <w:highlight w:val="none"/>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highlight w:val="none"/>
        </w:rPr>
      </w:pPr>
      <w:r>
        <w:rPr>
          <w:rFonts w:hint="default" w:ascii="楷体" w:hAnsi="楷体" w:eastAsia="楷体" w:cs="楷体"/>
          <w:color w:val="auto"/>
          <w:sz w:val="21"/>
          <w:szCs w:val="21"/>
          <w:highlight w:val="none"/>
        </w:rPr>
        <w:t>①</w:t>
      </w:r>
      <w:r>
        <w:rPr>
          <w:rFonts w:hint="eastAsia" w:ascii="楷体" w:hAnsi="楷体" w:eastAsia="楷体"/>
          <w:color w:val="auto"/>
          <w:sz w:val="21"/>
          <w:szCs w:val="21"/>
          <w:highlight w:val="none"/>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r>
        <w:rPr>
          <w:rFonts w:hint="default" w:ascii="楷体" w:hAnsi="楷体" w:eastAsia="楷体" w:cs="楷体"/>
          <w:color w:val="auto"/>
          <w:sz w:val="21"/>
          <w:szCs w:val="21"/>
          <w:highlight w:val="none"/>
        </w:rPr>
        <w:t>②</w:t>
      </w:r>
      <w:r>
        <w:rPr>
          <w:rFonts w:hint="eastAsia" w:ascii="楷体" w:hAnsi="楷体" w:eastAsia="楷体"/>
          <w:color w:val="auto"/>
          <w:sz w:val="21"/>
          <w:szCs w:val="21"/>
          <w:highlight w:val="none"/>
        </w:rPr>
        <w:t>资产管理计划或基金产品可能出现因为某种原因而被提前终止的情况，由此可能会造成对本理财产品投资收益的影响。</w:t>
      </w:r>
      <w:r>
        <w:rPr>
          <w:rFonts w:hint="default" w:ascii="楷体" w:hAnsi="楷体" w:eastAsia="楷体" w:cs="楷体"/>
          <w:color w:val="auto"/>
          <w:sz w:val="21"/>
          <w:szCs w:val="21"/>
          <w:highlight w:val="none"/>
        </w:rPr>
        <w:t>③</w:t>
      </w:r>
      <w:r>
        <w:rPr>
          <w:rFonts w:hint="eastAsia" w:ascii="楷体" w:hAnsi="楷体" w:eastAsia="楷体"/>
          <w:color w:val="auto"/>
          <w:sz w:val="21"/>
          <w:szCs w:val="21"/>
          <w:highlight w:val="none"/>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约定的投资范围，导致本理财产品项下委托财产的损失等风险。</w:t>
      </w:r>
    </w:p>
    <w:p>
      <w:pPr>
        <w:pStyle w:val="12"/>
        <w:spacing w:before="0" w:beforeAutospacing="0" w:after="0" w:afterAutospacing="0"/>
        <w:ind w:firstLine="422" w:firstLineChars="200"/>
        <w:jc w:val="both"/>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highlight w:val="none"/>
          <w:u w:val="single"/>
          <w:lang w:val="en-US" w:eastAsia="zh-CN"/>
        </w:rPr>
        <w:t>独立做出</w:t>
      </w:r>
      <w:r>
        <w:rPr>
          <w:rFonts w:hint="eastAsia" w:ascii="楷体" w:hAnsi="楷体" w:eastAsia="楷体"/>
          <w:b/>
          <w:color w:val="auto"/>
          <w:sz w:val="21"/>
          <w:szCs w:val="21"/>
          <w:highlight w:val="none"/>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highlight w:val="none"/>
        </w:rPr>
      </w:pPr>
      <w:r>
        <w:rPr>
          <w:rFonts w:hint="eastAsia" w:ascii="楷体" w:hAnsi="楷体" w:eastAsia="楷体"/>
          <w:b/>
          <w:color w:val="auto"/>
          <w:sz w:val="24"/>
          <w:szCs w:val="24"/>
          <w:highlight w:val="none"/>
        </w:rPr>
        <w:t>投资者提示</w:t>
      </w:r>
    </w:p>
    <w:p>
      <w:pPr>
        <w:numPr>
          <w:ilvl w:val="0"/>
          <w:numId w:val="4"/>
        </w:numPr>
        <w:tabs>
          <w:tab w:val="left" w:pos="742"/>
        </w:tabs>
        <w:ind w:left="0" w:firstLine="422" w:firstLineChars="200"/>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本理财产品不保证本金及收益，您的本金可能因市场变动或者交易违约等事项而蒙受相应损失，</w:t>
      </w:r>
      <w:r>
        <w:rPr>
          <w:rFonts w:hint="eastAsia" w:ascii="楷体" w:hAnsi="楷体" w:eastAsia="楷体"/>
          <w:b/>
          <w:bCs/>
          <w:color w:val="auto"/>
          <w:sz w:val="21"/>
          <w:szCs w:val="21"/>
          <w:highlight w:val="none"/>
          <w:u w:val="single"/>
        </w:rPr>
        <w:t>在最不利的情况下甚至可能损失全部本金。</w:t>
      </w:r>
      <w:r>
        <w:rPr>
          <w:rFonts w:hint="eastAsia" w:ascii="楷体" w:hAnsi="楷体" w:eastAsia="楷体"/>
          <w:b/>
          <w:color w:val="auto"/>
          <w:sz w:val="21"/>
          <w:szCs w:val="21"/>
          <w:highlight w:val="none"/>
          <w:u w:val="single"/>
        </w:rPr>
        <w:t>投资者应充分认识投资风险，谨慎投资。</w:t>
      </w:r>
    </w:p>
    <w:p>
      <w:pPr>
        <w:numPr>
          <w:ilvl w:val="0"/>
          <w:numId w:val="4"/>
        </w:numPr>
        <w:tabs>
          <w:tab w:val="left" w:pos="742"/>
        </w:tabs>
        <w:ind w:left="0" w:firstLine="422" w:firstLineChars="200"/>
        <w:rPr>
          <w:rFonts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lang w:val="en-US" w:eastAsia="zh-CN"/>
        </w:rPr>
        <w:t>并对评估结果签字确认</w:t>
      </w:r>
      <w:r>
        <w:rPr>
          <w:rFonts w:hint="eastAsia" w:ascii="楷体" w:hAnsi="楷体" w:eastAsia="楷体"/>
          <w:color w:val="auto"/>
          <w:sz w:val="21"/>
          <w:szCs w:val="21"/>
          <w:highlight w:val="none"/>
        </w:rPr>
        <w:t>。机构投资者无需进行风险承受能力评估。</w:t>
      </w:r>
    </w:p>
    <w:p>
      <w:pPr>
        <w:pStyle w:val="12"/>
        <w:numPr>
          <w:ilvl w:val="-1"/>
          <w:numId w:val="0"/>
        </w:numPr>
        <w:spacing w:before="0" w:beforeAutospacing="0" w:after="0" w:afterAutospacing="0" w:line="360" w:lineRule="auto"/>
        <w:ind w:left="0" w:firstLine="0"/>
        <w:jc w:val="right"/>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风险揭示方：苏银理财有限责任公司</w:t>
      </w:r>
    </w:p>
    <w:p>
      <w:pPr>
        <w:pStyle w:val="12"/>
        <w:numPr>
          <w:ilvl w:val="-1"/>
          <w:numId w:val="0"/>
        </w:numPr>
        <w:spacing w:before="0" w:beforeAutospacing="0" w:after="0" w:afterAutospacing="0" w:line="360" w:lineRule="auto"/>
        <w:ind w:left="0" w:firstLine="0"/>
        <w:jc w:val="right"/>
        <w:rPr>
          <w:rFonts w:hint="eastAsia" w:ascii="楷体" w:hAnsi="楷体" w:eastAsia="楷体"/>
          <w:b/>
          <w:color w:val="auto"/>
          <w:sz w:val="21"/>
          <w:szCs w:val="21"/>
          <w:highlight w:val="none"/>
        </w:rPr>
      </w:pPr>
    </w:p>
    <w:p>
      <w:pPr>
        <w:pStyle w:val="12"/>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投资者风险确认函</w:t>
      </w:r>
    </w:p>
    <w:p>
      <w:pPr>
        <w:ind w:firstLine="420" w:firstLineChars="200"/>
        <w:rPr>
          <w:rFonts w:hint="eastAsia" w:ascii="楷体" w:hAnsi="楷体" w:eastAsia="楷体"/>
          <w:color w:val="auto"/>
          <w:sz w:val="21"/>
          <w:szCs w:val="21"/>
          <w:highlight w:val="none"/>
        </w:rPr>
      </w:pPr>
      <w:r>
        <w:rPr>
          <w:rFonts w:ascii="楷体" w:hAnsi="楷体" w:eastAsia="楷体"/>
          <w:color w:val="auto"/>
          <w:sz w:val="21"/>
          <w:szCs w:val="21"/>
          <w:highlight w:val="none"/>
        </w:rPr>
        <w:t>投资决策系由</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ascii="楷体" w:hAnsi="楷体" w:eastAsia="楷体"/>
          <w:color w:val="auto"/>
          <w:sz w:val="21"/>
          <w:szCs w:val="21"/>
          <w:highlight w:val="none"/>
        </w:rPr>
        <w:t>独立、自主、谨慎做出，</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机构确认已经收到本理财产品的风险揭示书，且已经认真阅读本理财产品完整</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highlight w:val="none"/>
          <w:lang w:val="en-US" w:eastAsia="zh-CN"/>
        </w:rPr>
        <w:t>销售文件</w:t>
      </w:r>
      <w:r>
        <w:rPr>
          <w:rFonts w:hint="eastAsia" w:ascii="楷体" w:hAnsi="楷体" w:eastAsia="楷体"/>
          <w:color w:val="auto"/>
          <w:sz w:val="21"/>
          <w:szCs w:val="21"/>
          <w:highlight w:val="none"/>
        </w:rPr>
        <w:t>全部约定。</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机构确认理解投资本理财产品将涉及的所有风险，并将承担且有能力承担该等风险。</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承诺理财购买资金来源合法合规，</w:t>
      </w:r>
      <w:r>
        <w:rPr>
          <w:rFonts w:hint="eastAsia" w:ascii="楷体" w:hAnsi="楷体" w:eastAsia="楷体"/>
          <w:color w:val="auto"/>
          <w:sz w:val="21"/>
          <w:szCs w:val="21"/>
          <w:highlight w:val="none"/>
          <w:lang w:val="en-US" w:eastAsia="zh-CN"/>
        </w:rPr>
        <w:t>本人/</w:t>
      </w:r>
      <w:r>
        <w:rPr>
          <w:rFonts w:ascii="楷体" w:hAnsi="楷体" w:eastAsia="楷体"/>
          <w:color w:val="auto"/>
          <w:sz w:val="21"/>
          <w:szCs w:val="21"/>
          <w:highlight w:val="none"/>
        </w:rPr>
        <w:t>本</w:t>
      </w:r>
      <w:r>
        <w:rPr>
          <w:rFonts w:hint="eastAsia" w:ascii="楷体" w:hAnsi="楷体" w:eastAsia="楷体"/>
          <w:color w:val="auto"/>
          <w:sz w:val="21"/>
          <w:szCs w:val="21"/>
          <w:highlight w:val="none"/>
        </w:rPr>
        <w:t>机构</w:t>
      </w:r>
      <w:r>
        <w:rPr>
          <w:rFonts w:hint="eastAsia" w:ascii="楷体" w:hAnsi="楷体" w:eastAsia="楷体"/>
          <w:b w:val="0"/>
          <w:bCs/>
          <w:color w:val="auto"/>
          <w:sz w:val="21"/>
          <w:szCs w:val="21"/>
          <w:highlight w:val="none"/>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highlight w:val="none"/>
        </w:rPr>
      </w:pPr>
      <w:r>
        <w:rPr>
          <w:rFonts w:hint="eastAsia" w:ascii="楷体" w:hAnsi="楷体" w:eastAsia="楷体"/>
          <w:color w:val="auto"/>
          <w:sz w:val="21"/>
          <w:szCs w:val="21"/>
          <w:highlight w:val="none"/>
        </w:rPr>
        <w:t>经销售机构评估，本人的风险承受能力评级结果为</w:t>
      </w:r>
      <w:r>
        <w:rPr>
          <w:rFonts w:ascii="楷体" w:hAnsi="楷体" w:eastAsia="楷体"/>
          <w:b/>
          <w:color w:val="auto"/>
          <w:sz w:val="21"/>
          <w:szCs w:val="21"/>
          <w:highlight w:val="none"/>
        </w:rPr>
        <w:t>：</w:t>
      </w:r>
    </w:p>
    <w:p>
      <w:pPr>
        <w:ind w:firstLine="420" w:firstLineChars="20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r>
        <w:rPr>
          <w:rFonts w:hint="eastAsia" w:ascii="楷体" w:hAnsi="楷体" w:eastAsia="楷体"/>
          <w:b/>
          <w:color w:val="auto"/>
          <w:sz w:val="21"/>
          <w:szCs w:val="21"/>
          <w:highlight w:val="none"/>
          <w:u w:val="single"/>
          <w:lang w:val="en-US" w:eastAsia="zh-CN"/>
        </w:rPr>
        <w:t>个人</w:t>
      </w:r>
      <w:r>
        <w:rPr>
          <w:rFonts w:hint="eastAsia" w:ascii="楷体" w:hAnsi="楷体" w:eastAsia="楷体"/>
          <w:b/>
          <w:color w:val="auto"/>
          <w:sz w:val="21"/>
          <w:szCs w:val="21"/>
          <w:highlight w:val="none"/>
          <w:u w:val="single"/>
        </w:rPr>
        <w:t>投资者本人填写</w:t>
      </w:r>
      <w:r>
        <w:rPr>
          <w:rFonts w:hint="eastAsia" w:ascii="楷体" w:hAnsi="楷体" w:eastAsia="楷体"/>
          <w:color w:val="auto"/>
          <w:sz w:val="21"/>
          <w:szCs w:val="21"/>
          <w:highlight w:val="none"/>
          <w:u w:val="single"/>
        </w:rPr>
        <w:t>）</w:t>
      </w:r>
    </w:p>
    <w:p>
      <w:pPr>
        <w:ind w:firstLine="420" w:firstLineChars="200"/>
        <w:rPr>
          <w:rFonts w:hint="eastAsia" w:ascii="楷体" w:hAnsi="楷体" w:eastAsia="楷体"/>
          <w:color w:val="auto"/>
          <w:sz w:val="21"/>
          <w:szCs w:val="21"/>
          <w:highlight w:val="none"/>
          <w:lang w:val="en-US" w:eastAsia="zh-CN"/>
        </w:rPr>
      </w:pPr>
      <w:r>
        <w:rPr>
          <w:rFonts w:hint="eastAsia" w:ascii="楷体" w:hAnsi="楷体" w:eastAsia="楷体"/>
          <w:color w:val="auto"/>
          <w:sz w:val="21"/>
          <w:szCs w:val="21"/>
          <w:highlight w:val="none"/>
        </w:rPr>
        <w:t>风险承受能力不低于本理财产品的风险评级，适合购买本理财产品。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本人将及时完成风险承受能力的重新评估。</w:t>
      </w:r>
    </w:p>
    <w:p>
      <w:pPr>
        <w:ind w:firstLine="420" w:firstLineChars="200"/>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rPr>
        <w:t>须</w:t>
      </w:r>
      <w:r>
        <w:rPr>
          <w:rFonts w:hint="eastAsia" w:ascii="楷体" w:hAnsi="楷体" w:eastAsia="楷体"/>
          <w:b/>
          <w:color w:val="auto"/>
          <w:sz w:val="21"/>
          <w:szCs w:val="21"/>
          <w:highlight w:val="none"/>
          <w:u w:val="single"/>
          <w:lang w:val="en-US" w:eastAsia="zh-CN"/>
        </w:rPr>
        <w:t>个人</w:t>
      </w:r>
      <w:r>
        <w:rPr>
          <w:rFonts w:hint="eastAsia" w:ascii="楷体" w:hAnsi="楷体" w:eastAsia="楷体"/>
          <w:b/>
          <w:color w:val="auto"/>
          <w:sz w:val="21"/>
          <w:szCs w:val="21"/>
          <w:highlight w:val="none"/>
          <w:u w:val="single"/>
        </w:rPr>
        <w:t>投资者本人亲笔抄录</w:t>
      </w:r>
      <w:r>
        <w:rPr>
          <w:rFonts w:hint="eastAsia" w:ascii="楷体" w:hAnsi="楷体" w:eastAsia="楷体"/>
          <w:color w:val="auto"/>
          <w:sz w:val="21"/>
          <w:szCs w:val="21"/>
          <w:highlight w:val="none"/>
        </w:rPr>
        <w:t>以下内容：</w:t>
      </w:r>
      <w:r>
        <w:rPr>
          <w:rFonts w:hint="eastAsia" w:ascii="楷体" w:hAnsi="楷体" w:eastAsia="楷体"/>
          <w:b/>
          <w:color w:val="auto"/>
          <w:sz w:val="21"/>
          <w:szCs w:val="21"/>
          <w:highlight w:val="none"/>
        </w:rPr>
        <w:t>“</w:t>
      </w:r>
      <w:r>
        <w:rPr>
          <w:rFonts w:hint="eastAsia" w:ascii="楷体" w:hAnsi="楷体" w:eastAsia="楷体"/>
          <w:b/>
          <w:color w:val="auto"/>
          <w:sz w:val="21"/>
          <w:szCs w:val="21"/>
          <w:highlight w:val="none"/>
          <w:u w:val="single"/>
        </w:rPr>
        <w:t>本人已经阅读风险揭示，愿意承担投资风险</w:t>
      </w:r>
      <w:r>
        <w:rPr>
          <w:rFonts w:hint="eastAsia" w:ascii="楷体" w:hAnsi="楷体" w:eastAsia="楷体"/>
          <w:b/>
          <w:color w:val="auto"/>
          <w:sz w:val="21"/>
          <w:szCs w:val="21"/>
          <w:highlight w:val="none"/>
        </w:rPr>
        <w:t>”</w:t>
      </w:r>
      <w:r>
        <w:rPr>
          <w:rFonts w:hint="eastAsia" w:ascii="楷体" w:hAnsi="楷体" w:eastAsia="楷体"/>
          <w:color w:val="auto"/>
          <w:sz w:val="21"/>
          <w:szCs w:val="21"/>
          <w:highlight w:val="none"/>
        </w:rPr>
        <w:t>。</w:t>
      </w:r>
    </w:p>
    <w:p>
      <w:pPr>
        <w:rPr>
          <w:rFonts w:hint="eastAsia" w:ascii="楷体" w:hAnsi="楷体" w:eastAsia="楷体"/>
          <w:color w:val="auto"/>
          <w:sz w:val="21"/>
          <w:szCs w:val="21"/>
          <w:highlight w:val="none"/>
          <w:u w:val="single"/>
        </w:rPr>
      </w:pPr>
      <w:r>
        <w:rPr>
          <w:rFonts w:hint="eastAsia" w:ascii="楷体" w:hAnsi="楷体" w:eastAsia="楷体"/>
          <w:color w:val="auto"/>
          <w:sz w:val="21"/>
          <w:szCs w:val="21"/>
          <w:highlight w:val="none"/>
          <w:u w:val="single"/>
        </w:rPr>
        <w:t xml:space="preserve">                                                           </w:t>
      </w:r>
      <w:r>
        <w:rPr>
          <w:rFonts w:hint="eastAsia" w:ascii="楷体" w:hAnsi="楷体" w:eastAsia="楷体"/>
          <w:color w:val="auto"/>
          <w:sz w:val="21"/>
          <w:szCs w:val="21"/>
          <w:highlight w:val="none"/>
          <w:u w:val="single"/>
          <w:lang w:val="en-US" w:eastAsia="zh-CN"/>
        </w:rPr>
        <w:t xml:space="preserve">      </w:t>
      </w:r>
      <w:r>
        <w:rPr>
          <w:rFonts w:hint="eastAsia" w:ascii="楷体" w:hAnsi="楷体" w:eastAsia="楷体"/>
          <w:color w:val="auto"/>
          <w:sz w:val="21"/>
          <w:szCs w:val="21"/>
          <w:highlight w:val="none"/>
          <w:u w:val="single"/>
        </w:rPr>
        <w:t xml:space="preserve">              </w:t>
      </w:r>
    </w:p>
    <w:p>
      <w:pPr>
        <w:jc w:val="both"/>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个人投资者签字：</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p>
    <w:p>
      <w:pPr>
        <w:ind w:firstLine="315" w:firstLineChars="150"/>
        <w:jc w:val="both"/>
        <w:rPr>
          <w:rFonts w:hint="eastAsia" w:ascii="楷体" w:hAnsi="楷体" w:eastAsia="楷体"/>
          <w:color w:val="auto"/>
          <w:sz w:val="21"/>
          <w:szCs w:val="21"/>
          <w:highlight w:val="none"/>
        </w:rPr>
      </w:pPr>
    </w:p>
    <w:p>
      <w:pPr>
        <w:ind w:firstLine="315" w:firstLineChars="150"/>
        <w:jc w:val="both"/>
        <w:rPr>
          <w:rFonts w:hint="eastAsia" w:ascii="楷体" w:hAnsi="楷体" w:eastAsia="楷体"/>
          <w:color w:val="auto"/>
          <w:sz w:val="21"/>
          <w:szCs w:val="21"/>
          <w:highlight w:val="none"/>
        </w:rPr>
      </w:pPr>
    </w:p>
    <w:p>
      <w:pPr>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机构投资者（盖章）：</w:t>
      </w:r>
    </w:p>
    <w:p>
      <w:pPr>
        <w:rPr>
          <w:rFonts w:ascii="楷体" w:hAnsi="楷体" w:eastAsia="楷体"/>
          <w:color w:val="auto"/>
          <w:sz w:val="21"/>
          <w:szCs w:val="21"/>
          <w:highlight w:val="none"/>
        </w:rPr>
      </w:pPr>
    </w:p>
    <w:p>
      <w:pPr>
        <w:rPr>
          <w:rFonts w:hint="eastAsia"/>
        </w:rPr>
      </w:pPr>
      <w:r>
        <w:rPr>
          <w:rFonts w:hint="eastAsia" w:ascii="楷体" w:hAnsi="楷体" w:eastAsia="楷体"/>
          <w:color w:val="auto"/>
          <w:sz w:val="21"/>
          <w:szCs w:val="21"/>
          <w:highlight w:val="none"/>
        </w:rPr>
        <w:t>机构投资者法定代表人或授权代表（签字或盖章）</w:t>
      </w:r>
      <w:r>
        <w:rPr>
          <w:rFonts w:hint="eastAsia" w:ascii="楷体" w:hAnsi="楷体" w:eastAsia="楷体"/>
          <w:color w:val="auto"/>
          <w:sz w:val="21"/>
          <w:szCs w:val="21"/>
          <w:highlight w:val="none"/>
          <w:lang w:val="en-US" w:eastAsia="zh-CN"/>
        </w:rPr>
        <w:t xml:space="preserve">                    </w:t>
      </w:r>
      <w:r>
        <w:rPr>
          <w:rFonts w:hint="eastAsia" w:ascii="楷体" w:hAnsi="楷体" w:eastAsia="楷体"/>
          <w:color w:val="auto"/>
          <w:sz w:val="21"/>
          <w:szCs w:val="21"/>
          <w:highlight w:val="none"/>
        </w:rPr>
        <w:t>年   月   日</w:t>
      </w:r>
      <w:bookmarkStart w:id="0" w:name="_GoBack"/>
      <w:bookmarkEnd w:id="0"/>
    </w:p>
    <w:sectPr>
      <w:headerReference r:id="rId3" w:type="default"/>
      <w:footerReference r:id="rId4" w:type="default"/>
      <w:pgSz w:w="11906" w:h="16838"/>
      <w:pgMar w:top="1440" w:right="1134" w:bottom="1440" w:left="113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0288" behindDoc="0" locked="0" layoutInCell="1" allowOverlap="1">
          <wp:simplePos x="0" y="0"/>
          <wp:positionH relativeFrom="column">
            <wp:posOffset>4990465</wp:posOffset>
          </wp:positionH>
          <wp:positionV relativeFrom="paragraph">
            <wp:posOffset>-123825</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E2F"/>
    <w:rsid w:val="00002389"/>
    <w:rsid w:val="00003606"/>
    <w:rsid w:val="000048B0"/>
    <w:rsid w:val="00005B01"/>
    <w:rsid w:val="000101E4"/>
    <w:rsid w:val="0001103A"/>
    <w:rsid w:val="000131EF"/>
    <w:rsid w:val="00013628"/>
    <w:rsid w:val="00014334"/>
    <w:rsid w:val="00015A92"/>
    <w:rsid w:val="00015D58"/>
    <w:rsid w:val="00016232"/>
    <w:rsid w:val="0002052D"/>
    <w:rsid w:val="00020A6F"/>
    <w:rsid w:val="00021007"/>
    <w:rsid w:val="00023BA8"/>
    <w:rsid w:val="000247F9"/>
    <w:rsid w:val="00027E61"/>
    <w:rsid w:val="00027F48"/>
    <w:rsid w:val="0003072E"/>
    <w:rsid w:val="00030D69"/>
    <w:rsid w:val="00031806"/>
    <w:rsid w:val="00031F80"/>
    <w:rsid w:val="00034890"/>
    <w:rsid w:val="0003606E"/>
    <w:rsid w:val="000405B1"/>
    <w:rsid w:val="00043D5F"/>
    <w:rsid w:val="00044CB4"/>
    <w:rsid w:val="000469D0"/>
    <w:rsid w:val="00050975"/>
    <w:rsid w:val="00054854"/>
    <w:rsid w:val="000554B0"/>
    <w:rsid w:val="00060571"/>
    <w:rsid w:val="00061D74"/>
    <w:rsid w:val="00062791"/>
    <w:rsid w:val="00064F2B"/>
    <w:rsid w:val="000656EF"/>
    <w:rsid w:val="00066F56"/>
    <w:rsid w:val="00067074"/>
    <w:rsid w:val="000677EE"/>
    <w:rsid w:val="00071418"/>
    <w:rsid w:val="00071581"/>
    <w:rsid w:val="0007293A"/>
    <w:rsid w:val="00072D1F"/>
    <w:rsid w:val="0007366C"/>
    <w:rsid w:val="00074189"/>
    <w:rsid w:val="00074306"/>
    <w:rsid w:val="00080C2C"/>
    <w:rsid w:val="00081AD6"/>
    <w:rsid w:val="00085378"/>
    <w:rsid w:val="000853F6"/>
    <w:rsid w:val="000867A8"/>
    <w:rsid w:val="00087036"/>
    <w:rsid w:val="00087EDB"/>
    <w:rsid w:val="00093C11"/>
    <w:rsid w:val="00094631"/>
    <w:rsid w:val="00096382"/>
    <w:rsid w:val="0009795C"/>
    <w:rsid w:val="00097F80"/>
    <w:rsid w:val="000A2D2D"/>
    <w:rsid w:val="000A2E68"/>
    <w:rsid w:val="000A45AB"/>
    <w:rsid w:val="000B0078"/>
    <w:rsid w:val="000B1643"/>
    <w:rsid w:val="000B3B58"/>
    <w:rsid w:val="000B3EFD"/>
    <w:rsid w:val="000B659B"/>
    <w:rsid w:val="000B6E9F"/>
    <w:rsid w:val="000C2620"/>
    <w:rsid w:val="000C54ED"/>
    <w:rsid w:val="000C6143"/>
    <w:rsid w:val="000C7382"/>
    <w:rsid w:val="000D35BD"/>
    <w:rsid w:val="000D71CF"/>
    <w:rsid w:val="000D7225"/>
    <w:rsid w:val="000D722C"/>
    <w:rsid w:val="000D774F"/>
    <w:rsid w:val="000E0485"/>
    <w:rsid w:val="000E2E7D"/>
    <w:rsid w:val="000E34F3"/>
    <w:rsid w:val="000E4205"/>
    <w:rsid w:val="000E7CF6"/>
    <w:rsid w:val="000F0433"/>
    <w:rsid w:val="000F1D3C"/>
    <w:rsid w:val="000F35AC"/>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378"/>
    <w:rsid w:val="001126F6"/>
    <w:rsid w:val="00115E7F"/>
    <w:rsid w:val="0011753C"/>
    <w:rsid w:val="00122F58"/>
    <w:rsid w:val="0012352A"/>
    <w:rsid w:val="0012411A"/>
    <w:rsid w:val="001242DE"/>
    <w:rsid w:val="00125B8C"/>
    <w:rsid w:val="0012647A"/>
    <w:rsid w:val="001267AA"/>
    <w:rsid w:val="00130EED"/>
    <w:rsid w:val="00130F7B"/>
    <w:rsid w:val="00131DDF"/>
    <w:rsid w:val="0013364F"/>
    <w:rsid w:val="00133B98"/>
    <w:rsid w:val="0013472F"/>
    <w:rsid w:val="00134733"/>
    <w:rsid w:val="001359ED"/>
    <w:rsid w:val="001377AE"/>
    <w:rsid w:val="00140B25"/>
    <w:rsid w:val="00140ED2"/>
    <w:rsid w:val="001450DF"/>
    <w:rsid w:val="0014734D"/>
    <w:rsid w:val="001516B1"/>
    <w:rsid w:val="00152B36"/>
    <w:rsid w:val="001530B2"/>
    <w:rsid w:val="00153395"/>
    <w:rsid w:val="001543E7"/>
    <w:rsid w:val="00155B77"/>
    <w:rsid w:val="00160569"/>
    <w:rsid w:val="00161E2F"/>
    <w:rsid w:val="001624A3"/>
    <w:rsid w:val="001624DA"/>
    <w:rsid w:val="00162BF5"/>
    <w:rsid w:val="001639CA"/>
    <w:rsid w:val="00165E23"/>
    <w:rsid w:val="00166B3A"/>
    <w:rsid w:val="00170099"/>
    <w:rsid w:val="00170194"/>
    <w:rsid w:val="00170927"/>
    <w:rsid w:val="0017092A"/>
    <w:rsid w:val="00174417"/>
    <w:rsid w:val="001749CF"/>
    <w:rsid w:val="00176B8E"/>
    <w:rsid w:val="00177BCC"/>
    <w:rsid w:val="0018251A"/>
    <w:rsid w:val="001846FB"/>
    <w:rsid w:val="00190736"/>
    <w:rsid w:val="00194E69"/>
    <w:rsid w:val="00197DD9"/>
    <w:rsid w:val="001A05F5"/>
    <w:rsid w:val="001A57DB"/>
    <w:rsid w:val="001A586B"/>
    <w:rsid w:val="001A6EA8"/>
    <w:rsid w:val="001A73F1"/>
    <w:rsid w:val="001B1D26"/>
    <w:rsid w:val="001B1E1E"/>
    <w:rsid w:val="001B2F76"/>
    <w:rsid w:val="001B2F82"/>
    <w:rsid w:val="001B396B"/>
    <w:rsid w:val="001B4B9C"/>
    <w:rsid w:val="001B7D0D"/>
    <w:rsid w:val="001C0786"/>
    <w:rsid w:val="001C13E9"/>
    <w:rsid w:val="001C2C37"/>
    <w:rsid w:val="001C4148"/>
    <w:rsid w:val="001C78FF"/>
    <w:rsid w:val="001D0B29"/>
    <w:rsid w:val="001D1C27"/>
    <w:rsid w:val="001D2A8B"/>
    <w:rsid w:val="001D49AC"/>
    <w:rsid w:val="001D4BC9"/>
    <w:rsid w:val="001D4FE1"/>
    <w:rsid w:val="001D5BF8"/>
    <w:rsid w:val="001D78FF"/>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DF8"/>
    <w:rsid w:val="002024E9"/>
    <w:rsid w:val="002054B3"/>
    <w:rsid w:val="0020639A"/>
    <w:rsid w:val="00210857"/>
    <w:rsid w:val="00211547"/>
    <w:rsid w:val="002119A2"/>
    <w:rsid w:val="0021401C"/>
    <w:rsid w:val="00216172"/>
    <w:rsid w:val="0022162D"/>
    <w:rsid w:val="002222A4"/>
    <w:rsid w:val="0022633B"/>
    <w:rsid w:val="00226F9D"/>
    <w:rsid w:val="00230F4A"/>
    <w:rsid w:val="0023523A"/>
    <w:rsid w:val="002354C6"/>
    <w:rsid w:val="00235E45"/>
    <w:rsid w:val="002366EB"/>
    <w:rsid w:val="0023734F"/>
    <w:rsid w:val="00237FDB"/>
    <w:rsid w:val="0024053C"/>
    <w:rsid w:val="002436C1"/>
    <w:rsid w:val="00243DF5"/>
    <w:rsid w:val="00245106"/>
    <w:rsid w:val="00245D03"/>
    <w:rsid w:val="00247A7D"/>
    <w:rsid w:val="0025150E"/>
    <w:rsid w:val="00252B51"/>
    <w:rsid w:val="00253997"/>
    <w:rsid w:val="0025423C"/>
    <w:rsid w:val="00254A3C"/>
    <w:rsid w:val="00254A8B"/>
    <w:rsid w:val="00256E57"/>
    <w:rsid w:val="0025744E"/>
    <w:rsid w:val="00261876"/>
    <w:rsid w:val="0026641B"/>
    <w:rsid w:val="002672C8"/>
    <w:rsid w:val="00270665"/>
    <w:rsid w:val="00272C53"/>
    <w:rsid w:val="00272E20"/>
    <w:rsid w:val="00273681"/>
    <w:rsid w:val="0027510A"/>
    <w:rsid w:val="002755B0"/>
    <w:rsid w:val="00276883"/>
    <w:rsid w:val="00277C1F"/>
    <w:rsid w:val="00281772"/>
    <w:rsid w:val="002821D7"/>
    <w:rsid w:val="00282F20"/>
    <w:rsid w:val="0029004F"/>
    <w:rsid w:val="00291B84"/>
    <w:rsid w:val="00292B5E"/>
    <w:rsid w:val="002932FC"/>
    <w:rsid w:val="00294431"/>
    <w:rsid w:val="00294B49"/>
    <w:rsid w:val="00295538"/>
    <w:rsid w:val="00297034"/>
    <w:rsid w:val="002A23E0"/>
    <w:rsid w:val="002A2E20"/>
    <w:rsid w:val="002A32DF"/>
    <w:rsid w:val="002A7DF5"/>
    <w:rsid w:val="002A7E94"/>
    <w:rsid w:val="002B0795"/>
    <w:rsid w:val="002B193F"/>
    <w:rsid w:val="002B2620"/>
    <w:rsid w:val="002B3225"/>
    <w:rsid w:val="002B51FD"/>
    <w:rsid w:val="002B5694"/>
    <w:rsid w:val="002C021F"/>
    <w:rsid w:val="002C2056"/>
    <w:rsid w:val="002C23F7"/>
    <w:rsid w:val="002C3367"/>
    <w:rsid w:val="002C4171"/>
    <w:rsid w:val="002C7CB4"/>
    <w:rsid w:val="002D2324"/>
    <w:rsid w:val="002D29FD"/>
    <w:rsid w:val="002D2AEC"/>
    <w:rsid w:val="002D2C1F"/>
    <w:rsid w:val="002D5568"/>
    <w:rsid w:val="002E1382"/>
    <w:rsid w:val="002E6F55"/>
    <w:rsid w:val="002F0E4E"/>
    <w:rsid w:val="002F2C0C"/>
    <w:rsid w:val="002F344B"/>
    <w:rsid w:val="002F709A"/>
    <w:rsid w:val="002F77A8"/>
    <w:rsid w:val="00301619"/>
    <w:rsid w:val="00301AD3"/>
    <w:rsid w:val="00302755"/>
    <w:rsid w:val="00305A15"/>
    <w:rsid w:val="00306353"/>
    <w:rsid w:val="00306D41"/>
    <w:rsid w:val="00307094"/>
    <w:rsid w:val="00307342"/>
    <w:rsid w:val="00310A72"/>
    <w:rsid w:val="00311C18"/>
    <w:rsid w:val="0031298C"/>
    <w:rsid w:val="00313D52"/>
    <w:rsid w:val="00314235"/>
    <w:rsid w:val="00315340"/>
    <w:rsid w:val="0032607C"/>
    <w:rsid w:val="00326E7B"/>
    <w:rsid w:val="0033166C"/>
    <w:rsid w:val="003333F1"/>
    <w:rsid w:val="0033358A"/>
    <w:rsid w:val="003342B8"/>
    <w:rsid w:val="0033504B"/>
    <w:rsid w:val="003362C7"/>
    <w:rsid w:val="00336711"/>
    <w:rsid w:val="00336A5A"/>
    <w:rsid w:val="00336BF1"/>
    <w:rsid w:val="00337AA0"/>
    <w:rsid w:val="00342ADB"/>
    <w:rsid w:val="00343B0F"/>
    <w:rsid w:val="00347006"/>
    <w:rsid w:val="00347D0D"/>
    <w:rsid w:val="003503AE"/>
    <w:rsid w:val="00351D8C"/>
    <w:rsid w:val="0035213A"/>
    <w:rsid w:val="00353419"/>
    <w:rsid w:val="00355D35"/>
    <w:rsid w:val="00360094"/>
    <w:rsid w:val="003627FB"/>
    <w:rsid w:val="00362826"/>
    <w:rsid w:val="0036403D"/>
    <w:rsid w:val="0036455C"/>
    <w:rsid w:val="00366074"/>
    <w:rsid w:val="00367122"/>
    <w:rsid w:val="0037083D"/>
    <w:rsid w:val="00372402"/>
    <w:rsid w:val="003726C4"/>
    <w:rsid w:val="00375BEB"/>
    <w:rsid w:val="003800B4"/>
    <w:rsid w:val="003809E0"/>
    <w:rsid w:val="003814E2"/>
    <w:rsid w:val="00381E88"/>
    <w:rsid w:val="003821F9"/>
    <w:rsid w:val="003827CD"/>
    <w:rsid w:val="00383A99"/>
    <w:rsid w:val="00383D6D"/>
    <w:rsid w:val="003852EF"/>
    <w:rsid w:val="003870EE"/>
    <w:rsid w:val="00393452"/>
    <w:rsid w:val="00394C2C"/>
    <w:rsid w:val="00396F85"/>
    <w:rsid w:val="0039723A"/>
    <w:rsid w:val="003A1CB9"/>
    <w:rsid w:val="003A27B8"/>
    <w:rsid w:val="003A3D8C"/>
    <w:rsid w:val="003A539D"/>
    <w:rsid w:val="003A5FA1"/>
    <w:rsid w:val="003A7623"/>
    <w:rsid w:val="003B324C"/>
    <w:rsid w:val="003B5326"/>
    <w:rsid w:val="003B6220"/>
    <w:rsid w:val="003B7651"/>
    <w:rsid w:val="003B76DC"/>
    <w:rsid w:val="003C1E93"/>
    <w:rsid w:val="003C596C"/>
    <w:rsid w:val="003D03AF"/>
    <w:rsid w:val="003D07CA"/>
    <w:rsid w:val="003D1FE5"/>
    <w:rsid w:val="003D3735"/>
    <w:rsid w:val="003D5148"/>
    <w:rsid w:val="003D6081"/>
    <w:rsid w:val="003D6720"/>
    <w:rsid w:val="003D6B3F"/>
    <w:rsid w:val="003D7951"/>
    <w:rsid w:val="003E030F"/>
    <w:rsid w:val="003E1EFB"/>
    <w:rsid w:val="003E2B26"/>
    <w:rsid w:val="003E2F60"/>
    <w:rsid w:val="003E4299"/>
    <w:rsid w:val="003E70B9"/>
    <w:rsid w:val="003E7812"/>
    <w:rsid w:val="003F2136"/>
    <w:rsid w:val="003F277A"/>
    <w:rsid w:val="003F31E6"/>
    <w:rsid w:val="003F40F9"/>
    <w:rsid w:val="003F4C40"/>
    <w:rsid w:val="003F52FE"/>
    <w:rsid w:val="003F580D"/>
    <w:rsid w:val="003F61D7"/>
    <w:rsid w:val="00401F3A"/>
    <w:rsid w:val="0040272E"/>
    <w:rsid w:val="00402EA0"/>
    <w:rsid w:val="004041C9"/>
    <w:rsid w:val="004079CC"/>
    <w:rsid w:val="004106A7"/>
    <w:rsid w:val="00412823"/>
    <w:rsid w:val="0041382E"/>
    <w:rsid w:val="00413D00"/>
    <w:rsid w:val="00414410"/>
    <w:rsid w:val="00414992"/>
    <w:rsid w:val="0041506E"/>
    <w:rsid w:val="00416ED0"/>
    <w:rsid w:val="004175B0"/>
    <w:rsid w:val="00421C9B"/>
    <w:rsid w:val="00426041"/>
    <w:rsid w:val="00426CBC"/>
    <w:rsid w:val="0043002F"/>
    <w:rsid w:val="004303B3"/>
    <w:rsid w:val="00430927"/>
    <w:rsid w:val="0043308A"/>
    <w:rsid w:val="00433113"/>
    <w:rsid w:val="0043673C"/>
    <w:rsid w:val="00437DA0"/>
    <w:rsid w:val="004412CE"/>
    <w:rsid w:val="00442603"/>
    <w:rsid w:val="00444898"/>
    <w:rsid w:val="00445E88"/>
    <w:rsid w:val="00447FD0"/>
    <w:rsid w:val="00453254"/>
    <w:rsid w:val="0045366F"/>
    <w:rsid w:val="00453891"/>
    <w:rsid w:val="00453F4D"/>
    <w:rsid w:val="00455D49"/>
    <w:rsid w:val="00455DF1"/>
    <w:rsid w:val="00460F22"/>
    <w:rsid w:val="004624E7"/>
    <w:rsid w:val="0046446A"/>
    <w:rsid w:val="004645D0"/>
    <w:rsid w:val="00464A97"/>
    <w:rsid w:val="00464FA6"/>
    <w:rsid w:val="004651E5"/>
    <w:rsid w:val="00466053"/>
    <w:rsid w:val="004676E4"/>
    <w:rsid w:val="0046796E"/>
    <w:rsid w:val="004707EC"/>
    <w:rsid w:val="00470F11"/>
    <w:rsid w:val="0047173F"/>
    <w:rsid w:val="004722FE"/>
    <w:rsid w:val="00472A2C"/>
    <w:rsid w:val="00473397"/>
    <w:rsid w:val="004739B2"/>
    <w:rsid w:val="004761F8"/>
    <w:rsid w:val="0047624F"/>
    <w:rsid w:val="00476551"/>
    <w:rsid w:val="00476764"/>
    <w:rsid w:val="00477506"/>
    <w:rsid w:val="00477994"/>
    <w:rsid w:val="00480ED0"/>
    <w:rsid w:val="00481CB0"/>
    <w:rsid w:val="00482CC2"/>
    <w:rsid w:val="004835E4"/>
    <w:rsid w:val="00484CF0"/>
    <w:rsid w:val="004856F7"/>
    <w:rsid w:val="00487169"/>
    <w:rsid w:val="00490539"/>
    <w:rsid w:val="004907EE"/>
    <w:rsid w:val="004910C2"/>
    <w:rsid w:val="00491342"/>
    <w:rsid w:val="00491B25"/>
    <w:rsid w:val="004925DF"/>
    <w:rsid w:val="004929D1"/>
    <w:rsid w:val="00492F40"/>
    <w:rsid w:val="004939CA"/>
    <w:rsid w:val="00497D5C"/>
    <w:rsid w:val="004A243A"/>
    <w:rsid w:val="004A2756"/>
    <w:rsid w:val="004A49CD"/>
    <w:rsid w:val="004A4AED"/>
    <w:rsid w:val="004A58D1"/>
    <w:rsid w:val="004A5E88"/>
    <w:rsid w:val="004A65C0"/>
    <w:rsid w:val="004A6C11"/>
    <w:rsid w:val="004B1E66"/>
    <w:rsid w:val="004B4001"/>
    <w:rsid w:val="004B4B39"/>
    <w:rsid w:val="004B6A4D"/>
    <w:rsid w:val="004B6EA9"/>
    <w:rsid w:val="004B735F"/>
    <w:rsid w:val="004B77FF"/>
    <w:rsid w:val="004C0F0C"/>
    <w:rsid w:val="004C1C90"/>
    <w:rsid w:val="004C49FA"/>
    <w:rsid w:val="004C4C9B"/>
    <w:rsid w:val="004C7C47"/>
    <w:rsid w:val="004D0388"/>
    <w:rsid w:val="004D0478"/>
    <w:rsid w:val="004D0A93"/>
    <w:rsid w:val="004D20F5"/>
    <w:rsid w:val="004D34DD"/>
    <w:rsid w:val="004D382B"/>
    <w:rsid w:val="004D3B10"/>
    <w:rsid w:val="004D6E8F"/>
    <w:rsid w:val="004D73A7"/>
    <w:rsid w:val="004D7BA3"/>
    <w:rsid w:val="004E3C6A"/>
    <w:rsid w:val="004E645B"/>
    <w:rsid w:val="004F3AC9"/>
    <w:rsid w:val="004F3E60"/>
    <w:rsid w:val="004F46F0"/>
    <w:rsid w:val="004F4F78"/>
    <w:rsid w:val="004F55EC"/>
    <w:rsid w:val="004F6EFB"/>
    <w:rsid w:val="005013A2"/>
    <w:rsid w:val="0050386F"/>
    <w:rsid w:val="00510526"/>
    <w:rsid w:val="00510823"/>
    <w:rsid w:val="0051208D"/>
    <w:rsid w:val="005156DD"/>
    <w:rsid w:val="00515789"/>
    <w:rsid w:val="00516DA1"/>
    <w:rsid w:val="005201F1"/>
    <w:rsid w:val="00520ACC"/>
    <w:rsid w:val="00520B0B"/>
    <w:rsid w:val="005212D4"/>
    <w:rsid w:val="0052415B"/>
    <w:rsid w:val="005266CB"/>
    <w:rsid w:val="00527FBD"/>
    <w:rsid w:val="0053069A"/>
    <w:rsid w:val="005308B0"/>
    <w:rsid w:val="0053429F"/>
    <w:rsid w:val="0053444E"/>
    <w:rsid w:val="0053510C"/>
    <w:rsid w:val="005362B4"/>
    <w:rsid w:val="0053633A"/>
    <w:rsid w:val="0053722E"/>
    <w:rsid w:val="005400DC"/>
    <w:rsid w:val="00540475"/>
    <w:rsid w:val="00542CCA"/>
    <w:rsid w:val="0054309D"/>
    <w:rsid w:val="005436F3"/>
    <w:rsid w:val="00544451"/>
    <w:rsid w:val="005449D5"/>
    <w:rsid w:val="00544A6C"/>
    <w:rsid w:val="00551427"/>
    <w:rsid w:val="00551C0A"/>
    <w:rsid w:val="00554430"/>
    <w:rsid w:val="00554BE4"/>
    <w:rsid w:val="00560551"/>
    <w:rsid w:val="00561FE9"/>
    <w:rsid w:val="00562804"/>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C4D"/>
    <w:rsid w:val="00597498"/>
    <w:rsid w:val="0059767A"/>
    <w:rsid w:val="005A6007"/>
    <w:rsid w:val="005A6752"/>
    <w:rsid w:val="005A6DE4"/>
    <w:rsid w:val="005A7236"/>
    <w:rsid w:val="005B08B3"/>
    <w:rsid w:val="005B0F07"/>
    <w:rsid w:val="005B12CC"/>
    <w:rsid w:val="005B16D7"/>
    <w:rsid w:val="005B1BB5"/>
    <w:rsid w:val="005B3AC2"/>
    <w:rsid w:val="005B62FA"/>
    <w:rsid w:val="005B6576"/>
    <w:rsid w:val="005B77A9"/>
    <w:rsid w:val="005C09F1"/>
    <w:rsid w:val="005C153E"/>
    <w:rsid w:val="005C1CF3"/>
    <w:rsid w:val="005C37A8"/>
    <w:rsid w:val="005C3B0D"/>
    <w:rsid w:val="005C4B2D"/>
    <w:rsid w:val="005C5BC2"/>
    <w:rsid w:val="005C72E9"/>
    <w:rsid w:val="005C79F4"/>
    <w:rsid w:val="005D4D03"/>
    <w:rsid w:val="005D5292"/>
    <w:rsid w:val="005D5470"/>
    <w:rsid w:val="005D637B"/>
    <w:rsid w:val="005E14F6"/>
    <w:rsid w:val="005E162C"/>
    <w:rsid w:val="005E26A1"/>
    <w:rsid w:val="005E2D33"/>
    <w:rsid w:val="005E3431"/>
    <w:rsid w:val="005E494F"/>
    <w:rsid w:val="005E5312"/>
    <w:rsid w:val="005E588E"/>
    <w:rsid w:val="005E5F0F"/>
    <w:rsid w:val="005F0E22"/>
    <w:rsid w:val="005F1604"/>
    <w:rsid w:val="005F24F4"/>
    <w:rsid w:val="005F2903"/>
    <w:rsid w:val="005F31D7"/>
    <w:rsid w:val="005F3AA3"/>
    <w:rsid w:val="005F537F"/>
    <w:rsid w:val="005F7D07"/>
    <w:rsid w:val="0060020D"/>
    <w:rsid w:val="006008D6"/>
    <w:rsid w:val="00602794"/>
    <w:rsid w:val="00604135"/>
    <w:rsid w:val="006058CB"/>
    <w:rsid w:val="0060733C"/>
    <w:rsid w:val="006110AA"/>
    <w:rsid w:val="0061140B"/>
    <w:rsid w:val="00613453"/>
    <w:rsid w:val="0061470B"/>
    <w:rsid w:val="00615C2B"/>
    <w:rsid w:val="006164EC"/>
    <w:rsid w:val="00616AE1"/>
    <w:rsid w:val="00617F6B"/>
    <w:rsid w:val="0062067C"/>
    <w:rsid w:val="006214AD"/>
    <w:rsid w:val="0062249F"/>
    <w:rsid w:val="00625863"/>
    <w:rsid w:val="006260E5"/>
    <w:rsid w:val="006279DA"/>
    <w:rsid w:val="00627B69"/>
    <w:rsid w:val="00633754"/>
    <w:rsid w:val="00635E85"/>
    <w:rsid w:val="006371FF"/>
    <w:rsid w:val="00640718"/>
    <w:rsid w:val="00644A75"/>
    <w:rsid w:val="006472A0"/>
    <w:rsid w:val="006504C7"/>
    <w:rsid w:val="00651512"/>
    <w:rsid w:val="00654956"/>
    <w:rsid w:val="00654DE7"/>
    <w:rsid w:val="0065533C"/>
    <w:rsid w:val="00656A9D"/>
    <w:rsid w:val="00656F5E"/>
    <w:rsid w:val="00662CBC"/>
    <w:rsid w:val="0067038D"/>
    <w:rsid w:val="00671A6A"/>
    <w:rsid w:val="0067345B"/>
    <w:rsid w:val="00673F0C"/>
    <w:rsid w:val="00676A38"/>
    <w:rsid w:val="00680098"/>
    <w:rsid w:val="00680957"/>
    <w:rsid w:val="00686325"/>
    <w:rsid w:val="00686EC4"/>
    <w:rsid w:val="00687063"/>
    <w:rsid w:val="006877B3"/>
    <w:rsid w:val="006905D3"/>
    <w:rsid w:val="00691425"/>
    <w:rsid w:val="00694307"/>
    <w:rsid w:val="00695E17"/>
    <w:rsid w:val="00696763"/>
    <w:rsid w:val="0069734A"/>
    <w:rsid w:val="006A139A"/>
    <w:rsid w:val="006A1939"/>
    <w:rsid w:val="006A303A"/>
    <w:rsid w:val="006A45A4"/>
    <w:rsid w:val="006A5102"/>
    <w:rsid w:val="006B0367"/>
    <w:rsid w:val="006B147C"/>
    <w:rsid w:val="006B202A"/>
    <w:rsid w:val="006B4802"/>
    <w:rsid w:val="006B5097"/>
    <w:rsid w:val="006B5516"/>
    <w:rsid w:val="006B5D36"/>
    <w:rsid w:val="006B7A09"/>
    <w:rsid w:val="006C42CE"/>
    <w:rsid w:val="006C5486"/>
    <w:rsid w:val="006C592D"/>
    <w:rsid w:val="006C74B3"/>
    <w:rsid w:val="006D3791"/>
    <w:rsid w:val="006D465F"/>
    <w:rsid w:val="006D7209"/>
    <w:rsid w:val="006E11C9"/>
    <w:rsid w:val="006E31AE"/>
    <w:rsid w:val="006E4984"/>
    <w:rsid w:val="006E5E71"/>
    <w:rsid w:val="006F10AA"/>
    <w:rsid w:val="006F32BF"/>
    <w:rsid w:val="006F38F6"/>
    <w:rsid w:val="006F3989"/>
    <w:rsid w:val="006F4219"/>
    <w:rsid w:val="006F575A"/>
    <w:rsid w:val="006F6F12"/>
    <w:rsid w:val="00700A73"/>
    <w:rsid w:val="007015E9"/>
    <w:rsid w:val="00702A10"/>
    <w:rsid w:val="00704ED8"/>
    <w:rsid w:val="0070601C"/>
    <w:rsid w:val="00707008"/>
    <w:rsid w:val="0070730B"/>
    <w:rsid w:val="00710993"/>
    <w:rsid w:val="00712884"/>
    <w:rsid w:val="00713C6D"/>
    <w:rsid w:val="00715090"/>
    <w:rsid w:val="00715379"/>
    <w:rsid w:val="0071587A"/>
    <w:rsid w:val="007159EB"/>
    <w:rsid w:val="007160E0"/>
    <w:rsid w:val="00716E3F"/>
    <w:rsid w:val="00717DE7"/>
    <w:rsid w:val="007203E5"/>
    <w:rsid w:val="00720629"/>
    <w:rsid w:val="00720B16"/>
    <w:rsid w:val="007219C5"/>
    <w:rsid w:val="007223FC"/>
    <w:rsid w:val="00725F23"/>
    <w:rsid w:val="007267EB"/>
    <w:rsid w:val="0072737A"/>
    <w:rsid w:val="00730159"/>
    <w:rsid w:val="00730C0D"/>
    <w:rsid w:val="0073129C"/>
    <w:rsid w:val="00732053"/>
    <w:rsid w:val="0073226D"/>
    <w:rsid w:val="007324D2"/>
    <w:rsid w:val="007339DB"/>
    <w:rsid w:val="007356FC"/>
    <w:rsid w:val="00735CE3"/>
    <w:rsid w:val="0074101E"/>
    <w:rsid w:val="0074150A"/>
    <w:rsid w:val="00741FEC"/>
    <w:rsid w:val="00742F74"/>
    <w:rsid w:val="007433D3"/>
    <w:rsid w:val="00743F1B"/>
    <w:rsid w:val="0074430F"/>
    <w:rsid w:val="007448B9"/>
    <w:rsid w:val="007468E9"/>
    <w:rsid w:val="00746BED"/>
    <w:rsid w:val="00747D71"/>
    <w:rsid w:val="00750288"/>
    <w:rsid w:val="00751BF1"/>
    <w:rsid w:val="007537F1"/>
    <w:rsid w:val="007567FF"/>
    <w:rsid w:val="00756DA9"/>
    <w:rsid w:val="0075794D"/>
    <w:rsid w:val="007608C8"/>
    <w:rsid w:val="00761696"/>
    <w:rsid w:val="00761834"/>
    <w:rsid w:val="00761D56"/>
    <w:rsid w:val="007620D8"/>
    <w:rsid w:val="007631A8"/>
    <w:rsid w:val="007634BC"/>
    <w:rsid w:val="0076420A"/>
    <w:rsid w:val="0076492F"/>
    <w:rsid w:val="00764D0F"/>
    <w:rsid w:val="00764ED5"/>
    <w:rsid w:val="007665AE"/>
    <w:rsid w:val="007665E7"/>
    <w:rsid w:val="00773845"/>
    <w:rsid w:val="0077605D"/>
    <w:rsid w:val="00780896"/>
    <w:rsid w:val="00780E48"/>
    <w:rsid w:val="00780FF2"/>
    <w:rsid w:val="007815A1"/>
    <w:rsid w:val="00783133"/>
    <w:rsid w:val="00783BF6"/>
    <w:rsid w:val="0078501F"/>
    <w:rsid w:val="00785229"/>
    <w:rsid w:val="00790EF1"/>
    <w:rsid w:val="0079186B"/>
    <w:rsid w:val="007919EE"/>
    <w:rsid w:val="00793312"/>
    <w:rsid w:val="00796A9E"/>
    <w:rsid w:val="00797687"/>
    <w:rsid w:val="00797E0F"/>
    <w:rsid w:val="007A0BE3"/>
    <w:rsid w:val="007A25AF"/>
    <w:rsid w:val="007A263C"/>
    <w:rsid w:val="007A30A5"/>
    <w:rsid w:val="007A5FB9"/>
    <w:rsid w:val="007A6788"/>
    <w:rsid w:val="007A70C6"/>
    <w:rsid w:val="007B11D0"/>
    <w:rsid w:val="007B1CB5"/>
    <w:rsid w:val="007B27E9"/>
    <w:rsid w:val="007B2987"/>
    <w:rsid w:val="007B6A8F"/>
    <w:rsid w:val="007B70D3"/>
    <w:rsid w:val="007C1116"/>
    <w:rsid w:val="007C3AA6"/>
    <w:rsid w:val="007C4EF2"/>
    <w:rsid w:val="007C55D4"/>
    <w:rsid w:val="007C6164"/>
    <w:rsid w:val="007D093F"/>
    <w:rsid w:val="007D0BE8"/>
    <w:rsid w:val="007D2EDB"/>
    <w:rsid w:val="007D36CA"/>
    <w:rsid w:val="007D4C02"/>
    <w:rsid w:val="007D5920"/>
    <w:rsid w:val="007D6731"/>
    <w:rsid w:val="007D6837"/>
    <w:rsid w:val="007D7001"/>
    <w:rsid w:val="007D782F"/>
    <w:rsid w:val="007D7E87"/>
    <w:rsid w:val="007E1ECC"/>
    <w:rsid w:val="007E2A09"/>
    <w:rsid w:val="007E40DD"/>
    <w:rsid w:val="007E4D5F"/>
    <w:rsid w:val="007E7C73"/>
    <w:rsid w:val="007F0225"/>
    <w:rsid w:val="007F0268"/>
    <w:rsid w:val="007F0AC8"/>
    <w:rsid w:val="007F10CE"/>
    <w:rsid w:val="007F167C"/>
    <w:rsid w:val="007F2066"/>
    <w:rsid w:val="007F2B93"/>
    <w:rsid w:val="007F4005"/>
    <w:rsid w:val="007F64E9"/>
    <w:rsid w:val="007F7EFE"/>
    <w:rsid w:val="0080100B"/>
    <w:rsid w:val="00802684"/>
    <w:rsid w:val="00804380"/>
    <w:rsid w:val="00804490"/>
    <w:rsid w:val="00806B2A"/>
    <w:rsid w:val="00810DA4"/>
    <w:rsid w:val="008111B9"/>
    <w:rsid w:val="00813597"/>
    <w:rsid w:val="00814A29"/>
    <w:rsid w:val="008259B8"/>
    <w:rsid w:val="00825ADA"/>
    <w:rsid w:val="00825DEA"/>
    <w:rsid w:val="00827860"/>
    <w:rsid w:val="008279A8"/>
    <w:rsid w:val="00827E59"/>
    <w:rsid w:val="0083160C"/>
    <w:rsid w:val="0083338A"/>
    <w:rsid w:val="00833923"/>
    <w:rsid w:val="00834CDA"/>
    <w:rsid w:val="00835871"/>
    <w:rsid w:val="008362EF"/>
    <w:rsid w:val="008367C0"/>
    <w:rsid w:val="00836853"/>
    <w:rsid w:val="00840F68"/>
    <w:rsid w:val="00843EBB"/>
    <w:rsid w:val="008443EB"/>
    <w:rsid w:val="00844E1C"/>
    <w:rsid w:val="00855674"/>
    <w:rsid w:val="0085753E"/>
    <w:rsid w:val="0086291A"/>
    <w:rsid w:val="00862D4F"/>
    <w:rsid w:val="00871456"/>
    <w:rsid w:val="00872ABA"/>
    <w:rsid w:val="00872FCE"/>
    <w:rsid w:val="00874EBD"/>
    <w:rsid w:val="008761FC"/>
    <w:rsid w:val="00877D2F"/>
    <w:rsid w:val="008800C1"/>
    <w:rsid w:val="00881137"/>
    <w:rsid w:val="00883A75"/>
    <w:rsid w:val="00883F98"/>
    <w:rsid w:val="00884396"/>
    <w:rsid w:val="008843FC"/>
    <w:rsid w:val="00884D8C"/>
    <w:rsid w:val="008862BD"/>
    <w:rsid w:val="008917E7"/>
    <w:rsid w:val="008962E9"/>
    <w:rsid w:val="0089653C"/>
    <w:rsid w:val="008A0DE6"/>
    <w:rsid w:val="008A1FF5"/>
    <w:rsid w:val="008A233D"/>
    <w:rsid w:val="008A237E"/>
    <w:rsid w:val="008A447D"/>
    <w:rsid w:val="008A4AF5"/>
    <w:rsid w:val="008A62A5"/>
    <w:rsid w:val="008A7E2E"/>
    <w:rsid w:val="008A7F55"/>
    <w:rsid w:val="008B3124"/>
    <w:rsid w:val="008B6744"/>
    <w:rsid w:val="008B72A5"/>
    <w:rsid w:val="008B7762"/>
    <w:rsid w:val="008C0421"/>
    <w:rsid w:val="008C1918"/>
    <w:rsid w:val="008C1A51"/>
    <w:rsid w:val="008C2A4A"/>
    <w:rsid w:val="008C2F29"/>
    <w:rsid w:val="008C4AD0"/>
    <w:rsid w:val="008C4D41"/>
    <w:rsid w:val="008C6B30"/>
    <w:rsid w:val="008C7E05"/>
    <w:rsid w:val="008D3033"/>
    <w:rsid w:val="008D493B"/>
    <w:rsid w:val="008D4A7C"/>
    <w:rsid w:val="008D51DA"/>
    <w:rsid w:val="008D53A9"/>
    <w:rsid w:val="008D5615"/>
    <w:rsid w:val="008D5F0D"/>
    <w:rsid w:val="008D683A"/>
    <w:rsid w:val="008E0359"/>
    <w:rsid w:val="008E0805"/>
    <w:rsid w:val="008E0FFB"/>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6B8"/>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17A9"/>
    <w:rsid w:val="00922F29"/>
    <w:rsid w:val="009231E6"/>
    <w:rsid w:val="00924ED9"/>
    <w:rsid w:val="00927589"/>
    <w:rsid w:val="0093042C"/>
    <w:rsid w:val="00931316"/>
    <w:rsid w:val="00933086"/>
    <w:rsid w:val="009345FE"/>
    <w:rsid w:val="00934A0F"/>
    <w:rsid w:val="00936E55"/>
    <w:rsid w:val="00937ED6"/>
    <w:rsid w:val="009406E7"/>
    <w:rsid w:val="00940B04"/>
    <w:rsid w:val="00944AB3"/>
    <w:rsid w:val="00950141"/>
    <w:rsid w:val="00950FC7"/>
    <w:rsid w:val="00953FB3"/>
    <w:rsid w:val="00954542"/>
    <w:rsid w:val="0095455D"/>
    <w:rsid w:val="0095482D"/>
    <w:rsid w:val="009563AA"/>
    <w:rsid w:val="0095779A"/>
    <w:rsid w:val="00957E0C"/>
    <w:rsid w:val="009623A4"/>
    <w:rsid w:val="00962FDB"/>
    <w:rsid w:val="0096515A"/>
    <w:rsid w:val="00965C79"/>
    <w:rsid w:val="00966601"/>
    <w:rsid w:val="00967094"/>
    <w:rsid w:val="00970079"/>
    <w:rsid w:val="009700A9"/>
    <w:rsid w:val="00970A79"/>
    <w:rsid w:val="00973C9C"/>
    <w:rsid w:val="009752BD"/>
    <w:rsid w:val="009758CF"/>
    <w:rsid w:val="00981235"/>
    <w:rsid w:val="009812AF"/>
    <w:rsid w:val="00982894"/>
    <w:rsid w:val="00983893"/>
    <w:rsid w:val="0098672A"/>
    <w:rsid w:val="00990141"/>
    <w:rsid w:val="00990D6F"/>
    <w:rsid w:val="0099157D"/>
    <w:rsid w:val="00993A67"/>
    <w:rsid w:val="00994D7F"/>
    <w:rsid w:val="009962A0"/>
    <w:rsid w:val="00996341"/>
    <w:rsid w:val="0099644E"/>
    <w:rsid w:val="00996F8C"/>
    <w:rsid w:val="009A0627"/>
    <w:rsid w:val="009A1575"/>
    <w:rsid w:val="009A44CB"/>
    <w:rsid w:val="009A454D"/>
    <w:rsid w:val="009A472B"/>
    <w:rsid w:val="009A5C14"/>
    <w:rsid w:val="009A6E1F"/>
    <w:rsid w:val="009A7763"/>
    <w:rsid w:val="009A7B95"/>
    <w:rsid w:val="009B05E8"/>
    <w:rsid w:val="009B05F1"/>
    <w:rsid w:val="009B126C"/>
    <w:rsid w:val="009B2CF2"/>
    <w:rsid w:val="009B45E7"/>
    <w:rsid w:val="009B493A"/>
    <w:rsid w:val="009B4DE3"/>
    <w:rsid w:val="009B6612"/>
    <w:rsid w:val="009B6A55"/>
    <w:rsid w:val="009C158C"/>
    <w:rsid w:val="009C196E"/>
    <w:rsid w:val="009C3B52"/>
    <w:rsid w:val="009C3BEE"/>
    <w:rsid w:val="009C4A6F"/>
    <w:rsid w:val="009C6025"/>
    <w:rsid w:val="009D0371"/>
    <w:rsid w:val="009D18A0"/>
    <w:rsid w:val="009D1EF0"/>
    <w:rsid w:val="009D2B0D"/>
    <w:rsid w:val="009D478F"/>
    <w:rsid w:val="009D479C"/>
    <w:rsid w:val="009D5125"/>
    <w:rsid w:val="009D705F"/>
    <w:rsid w:val="009D7E79"/>
    <w:rsid w:val="009E1143"/>
    <w:rsid w:val="009E2925"/>
    <w:rsid w:val="009E3EA9"/>
    <w:rsid w:val="009E409E"/>
    <w:rsid w:val="009E4E0B"/>
    <w:rsid w:val="009E63C4"/>
    <w:rsid w:val="009E7131"/>
    <w:rsid w:val="009F0065"/>
    <w:rsid w:val="009F0651"/>
    <w:rsid w:val="009F0908"/>
    <w:rsid w:val="009F1BCB"/>
    <w:rsid w:val="009F2488"/>
    <w:rsid w:val="009F6E81"/>
    <w:rsid w:val="009F7321"/>
    <w:rsid w:val="00A00194"/>
    <w:rsid w:val="00A02BF2"/>
    <w:rsid w:val="00A031F9"/>
    <w:rsid w:val="00A05A0B"/>
    <w:rsid w:val="00A05E0C"/>
    <w:rsid w:val="00A12FE6"/>
    <w:rsid w:val="00A14944"/>
    <w:rsid w:val="00A2017E"/>
    <w:rsid w:val="00A2337E"/>
    <w:rsid w:val="00A24A28"/>
    <w:rsid w:val="00A24FA6"/>
    <w:rsid w:val="00A2547A"/>
    <w:rsid w:val="00A261BA"/>
    <w:rsid w:val="00A348AD"/>
    <w:rsid w:val="00A403A8"/>
    <w:rsid w:val="00A404B2"/>
    <w:rsid w:val="00A41901"/>
    <w:rsid w:val="00A428F3"/>
    <w:rsid w:val="00A446D4"/>
    <w:rsid w:val="00A4582E"/>
    <w:rsid w:val="00A466C5"/>
    <w:rsid w:val="00A472C5"/>
    <w:rsid w:val="00A50CD1"/>
    <w:rsid w:val="00A528CC"/>
    <w:rsid w:val="00A52EF0"/>
    <w:rsid w:val="00A5472F"/>
    <w:rsid w:val="00A54C4F"/>
    <w:rsid w:val="00A560DE"/>
    <w:rsid w:val="00A56F02"/>
    <w:rsid w:val="00A57FD5"/>
    <w:rsid w:val="00A60853"/>
    <w:rsid w:val="00A62028"/>
    <w:rsid w:val="00A6320B"/>
    <w:rsid w:val="00A64491"/>
    <w:rsid w:val="00A66DA4"/>
    <w:rsid w:val="00A7441C"/>
    <w:rsid w:val="00A75036"/>
    <w:rsid w:val="00A7606A"/>
    <w:rsid w:val="00A7702A"/>
    <w:rsid w:val="00A80332"/>
    <w:rsid w:val="00A80D18"/>
    <w:rsid w:val="00A810A5"/>
    <w:rsid w:val="00A84413"/>
    <w:rsid w:val="00A85069"/>
    <w:rsid w:val="00A851D3"/>
    <w:rsid w:val="00A85C99"/>
    <w:rsid w:val="00A86059"/>
    <w:rsid w:val="00A8682A"/>
    <w:rsid w:val="00A877EA"/>
    <w:rsid w:val="00A90434"/>
    <w:rsid w:val="00A90848"/>
    <w:rsid w:val="00A90D5D"/>
    <w:rsid w:val="00A919A8"/>
    <w:rsid w:val="00A95E04"/>
    <w:rsid w:val="00A9702D"/>
    <w:rsid w:val="00AA09CE"/>
    <w:rsid w:val="00AA109A"/>
    <w:rsid w:val="00AA184D"/>
    <w:rsid w:val="00AA3ADF"/>
    <w:rsid w:val="00AA3CD0"/>
    <w:rsid w:val="00AA4945"/>
    <w:rsid w:val="00AA4F18"/>
    <w:rsid w:val="00AA6274"/>
    <w:rsid w:val="00AA7490"/>
    <w:rsid w:val="00AA7EB9"/>
    <w:rsid w:val="00AB0321"/>
    <w:rsid w:val="00AB21EA"/>
    <w:rsid w:val="00AB29DA"/>
    <w:rsid w:val="00AB2D5C"/>
    <w:rsid w:val="00AB3A37"/>
    <w:rsid w:val="00AB51C0"/>
    <w:rsid w:val="00AB538D"/>
    <w:rsid w:val="00AB6DAC"/>
    <w:rsid w:val="00AB70F7"/>
    <w:rsid w:val="00AC12F5"/>
    <w:rsid w:val="00AC56CE"/>
    <w:rsid w:val="00AC59CF"/>
    <w:rsid w:val="00AC604F"/>
    <w:rsid w:val="00AC71B2"/>
    <w:rsid w:val="00AD2B07"/>
    <w:rsid w:val="00AD2F15"/>
    <w:rsid w:val="00AD4224"/>
    <w:rsid w:val="00AD4E75"/>
    <w:rsid w:val="00AD6DC7"/>
    <w:rsid w:val="00AD74C8"/>
    <w:rsid w:val="00AE3181"/>
    <w:rsid w:val="00AE357C"/>
    <w:rsid w:val="00AE7EDF"/>
    <w:rsid w:val="00AF07F9"/>
    <w:rsid w:val="00AF165B"/>
    <w:rsid w:val="00AF3257"/>
    <w:rsid w:val="00AF4186"/>
    <w:rsid w:val="00B01969"/>
    <w:rsid w:val="00B04BED"/>
    <w:rsid w:val="00B063DD"/>
    <w:rsid w:val="00B10470"/>
    <w:rsid w:val="00B10AEC"/>
    <w:rsid w:val="00B12515"/>
    <w:rsid w:val="00B16963"/>
    <w:rsid w:val="00B2044E"/>
    <w:rsid w:val="00B234B3"/>
    <w:rsid w:val="00B24FA2"/>
    <w:rsid w:val="00B25B08"/>
    <w:rsid w:val="00B25FE5"/>
    <w:rsid w:val="00B30BB7"/>
    <w:rsid w:val="00B320FF"/>
    <w:rsid w:val="00B32B9E"/>
    <w:rsid w:val="00B32FB1"/>
    <w:rsid w:val="00B33683"/>
    <w:rsid w:val="00B35AFE"/>
    <w:rsid w:val="00B366A5"/>
    <w:rsid w:val="00B40329"/>
    <w:rsid w:val="00B40B8D"/>
    <w:rsid w:val="00B4103B"/>
    <w:rsid w:val="00B41412"/>
    <w:rsid w:val="00B432A2"/>
    <w:rsid w:val="00B45440"/>
    <w:rsid w:val="00B5466A"/>
    <w:rsid w:val="00B546E5"/>
    <w:rsid w:val="00B54E07"/>
    <w:rsid w:val="00B565C8"/>
    <w:rsid w:val="00B57F78"/>
    <w:rsid w:val="00B62F9E"/>
    <w:rsid w:val="00B67ED0"/>
    <w:rsid w:val="00B70E53"/>
    <w:rsid w:val="00B71451"/>
    <w:rsid w:val="00B74278"/>
    <w:rsid w:val="00B74705"/>
    <w:rsid w:val="00B74730"/>
    <w:rsid w:val="00B75149"/>
    <w:rsid w:val="00B803D6"/>
    <w:rsid w:val="00B82DF0"/>
    <w:rsid w:val="00B83257"/>
    <w:rsid w:val="00B83350"/>
    <w:rsid w:val="00B903E3"/>
    <w:rsid w:val="00B911C2"/>
    <w:rsid w:val="00B91DF8"/>
    <w:rsid w:val="00B93396"/>
    <w:rsid w:val="00B95300"/>
    <w:rsid w:val="00B9543E"/>
    <w:rsid w:val="00B9594C"/>
    <w:rsid w:val="00B96F03"/>
    <w:rsid w:val="00B9734C"/>
    <w:rsid w:val="00B975B8"/>
    <w:rsid w:val="00BA0B05"/>
    <w:rsid w:val="00BA1C6F"/>
    <w:rsid w:val="00BA314C"/>
    <w:rsid w:val="00BA6C1F"/>
    <w:rsid w:val="00BB05FC"/>
    <w:rsid w:val="00BB1E94"/>
    <w:rsid w:val="00BB57F4"/>
    <w:rsid w:val="00BB64DA"/>
    <w:rsid w:val="00BB6685"/>
    <w:rsid w:val="00BB6E21"/>
    <w:rsid w:val="00BB7712"/>
    <w:rsid w:val="00BC0B66"/>
    <w:rsid w:val="00BC0F39"/>
    <w:rsid w:val="00BC177D"/>
    <w:rsid w:val="00BC1A41"/>
    <w:rsid w:val="00BC2114"/>
    <w:rsid w:val="00BC2908"/>
    <w:rsid w:val="00BC3FC3"/>
    <w:rsid w:val="00BC5224"/>
    <w:rsid w:val="00BC6BAB"/>
    <w:rsid w:val="00BC6FDF"/>
    <w:rsid w:val="00BC7299"/>
    <w:rsid w:val="00BC7AE4"/>
    <w:rsid w:val="00BC7D79"/>
    <w:rsid w:val="00BD02DD"/>
    <w:rsid w:val="00BD09E2"/>
    <w:rsid w:val="00BD1502"/>
    <w:rsid w:val="00BD223E"/>
    <w:rsid w:val="00BD4A4B"/>
    <w:rsid w:val="00BD4C27"/>
    <w:rsid w:val="00BD6E92"/>
    <w:rsid w:val="00BE0F25"/>
    <w:rsid w:val="00BE274E"/>
    <w:rsid w:val="00BE336C"/>
    <w:rsid w:val="00BE4D2C"/>
    <w:rsid w:val="00BE7F6B"/>
    <w:rsid w:val="00BF0382"/>
    <w:rsid w:val="00BF082E"/>
    <w:rsid w:val="00BF1E0A"/>
    <w:rsid w:val="00BF27E9"/>
    <w:rsid w:val="00BF6F76"/>
    <w:rsid w:val="00BF7FED"/>
    <w:rsid w:val="00C02978"/>
    <w:rsid w:val="00C034A9"/>
    <w:rsid w:val="00C03859"/>
    <w:rsid w:val="00C05A1D"/>
    <w:rsid w:val="00C05E01"/>
    <w:rsid w:val="00C05E42"/>
    <w:rsid w:val="00C063F1"/>
    <w:rsid w:val="00C078BD"/>
    <w:rsid w:val="00C108D8"/>
    <w:rsid w:val="00C13805"/>
    <w:rsid w:val="00C15CA6"/>
    <w:rsid w:val="00C16807"/>
    <w:rsid w:val="00C2025F"/>
    <w:rsid w:val="00C2167D"/>
    <w:rsid w:val="00C21BCC"/>
    <w:rsid w:val="00C2403A"/>
    <w:rsid w:val="00C24CC2"/>
    <w:rsid w:val="00C266D3"/>
    <w:rsid w:val="00C266DA"/>
    <w:rsid w:val="00C267A0"/>
    <w:rsid w:val="00C26FE9"/>
    <w:rsid w:val="00C27D03"/>
    <w:rsid w:val="00C31095"/>
    <w:rsid w:val="00C32321"/>
    <w:rsid w:val="00C326FF"/>
    <w:rsid w:val="00C33111"/>
    <w:rsid w:val="00C349F0"/>
    <w:rsid w:val="00C34A1E"/>
    <w:rsid w:val="00C3720B"/>
    <w:rsid w:val="00C41423"/>
    <w:rsid w:val="00C4334F"/>
    <w:rsid w:val="00C4434A"/>
    <w:rsid w:val="00C44974"/>
    <w:rsid w:val="00C44E9E"/>
    <w:rsid w:val="00C46098"/>
    <w:rsid w:val="00C46439"/>
    <w:rsid w:val="00C46B32"/>
    <w:rsid w:val="00C47A26"/>
    <w:rsid w:val="00C50E1F"/>
    <w:rsid w:val="00C516EC"/>
    <w:rsid w:val="00C53DC9"/>
    <w:rsid w:val="00C571A9"/>
    <w:rsid w:val="00C615A7"/>
    <w:rsid w:val="00C616BF"/>
    <w:rsid w:val="00C62C5D"/>
    <w:rsid w:val="00C64873"/>
    <w:rsid w:val="00C65A0A"/>
    <w:rsid w:val="00C66628"/>
    <w:rsid w:val="00C67D2F"/>
    <w:rsid w:val="00C7422F"/>
    <w:rsid w:val="00C751BF"/>
    <w:rsid w:val="00C7651A"/>
    <w:rsid w:val="00C77280"/>
    <w:rsid w:val="00C812AA"/>
    <w:rsid w:val="00C81AD1"/>
    <w:rsid w:val="00C83111"/>
    <w:rsid w:val="00C84265"/>
    <w:rsid w:val="00C84ED5"/>
    <w:rsid w:val="00C9070B"/>
    <w:rsid w:val="00C90B40"/>
    <w:rsid w:val="00C94791"/>
    <w:rsid w:val="00C96465"/>
    <w:rsid w:val="00C96D0A"/>
    <w:rsid w:val="00CA001B"/>
    <w:rsid w:val="00CA01AD"/>
    <w:rsid w:val="00CA2625"/>
    <w:rsid w:val="00CA3024"/>
    <w:rsid w:val="00CA3E46"/>
    <w:rsid w:val="00CA5475"/>
    <w:rsid w:val="00CA6FE3"/>
    <w:rsid w:val="00CB19DA"/>
    <w:rsid w:val="00CB1BF5"/>
    <w:rsid w:val="00CB1D8D"/>
    <w:rsid w:val="00CB44F6"/>
    <w:rsid w:val="00CB4923"/>
    <w:rsid w:val="00CB51FF"/>
    <w:rsid w:val="00CC0334"/>
    <w:rsid w:val="00CC1692"/>
    <w:rsid w:val="00CC1B8B"/>
    <w:rsid w:val="00CC1DF5"/>
    <w:rsid w:val="00CC2CB6"/>
    <w:rsid w:val="00CC3A59"/>
    <w:rsid w:val="00CC4253"/>
    <w:rsid w:val="00CC4804"/>
    <w:rsid w:val="00CC5133"/>
    <w:rsid w:val="00CC5F27"/>
    <w:rsid w:val="00CC63FE"/>
    <w:rsid w:val="00CC7437"/>
    <w:rsid w:val="00CD084A"/>
    <w:rsid w:val="00CD1386"/>
    <w:rsid w:val="00CD20E1"/>
    <w:rsid w:val="00CD3BBB"/>
    <w:rsid w:val="00CD3C54"/>
    <w:rsid w:val="00CE30B4"/>
    <w:rsid w:val="00CE3521"/>
    <w:rsid w:val="00CE5723"/>
    <w:rsid w:val="00CF1168"/>
    <w:rsid w:val="00CF1C88"/>
    <w:rsid w:val="00CF3FC7"/>
    <w:rsid w:val="00CF5493"/>
    <w:rsid w:val="00CF67D8"/>
    <w:rsid w:val="00CF694E"/>
    <w:rsid w:val="00CF6BF4"/>
    <w:rsid w:val="00CF7DE9"/>
    <w:rsid w:val="00D01398"/>
    <w:rsid w:val="00D0189D"/>
    <w:rsid w:val="00D04528"/>
    <w:rsid w:val="00D050BA"/>
    <w:rsid w:val="00D05E32"/>
    <w:rsid w:val="00D06FC6"/>
    <w:rsid w:val="00D11032"/>
    <w:rsid w:val="00D11CE7"/>
    <w:rsid w:val="00D12281"/>
    <w:rsid w:val="00D14D03"/>
    <w:rsid w:val="00D152C6"/>
    <w:rsid w:val="00D17296"/>
    <w:rsid w:val="00D2009E"/>
    <w:rsid w:val="00D216AA"/>
    <w:rsid w:val="00D2772F"/>
    <w:rsid w:val="00D3079F"/>
    <w:rsid w:val="00D30C5E"/>
    <w:rsid w:val="00D3100A"/>
    <w:rsid w:val="00D312EB"/>
    <w:rsid w:val="00D31848"/>
    <w:rsid w:val="00D31B88"/>
    <w:rsid w:val="00D32E38"/>
    <w:rsid w:val="00D3348F"/>
    <w:rsid w:val="00D3413F"/>
    <w:rsid w:val="00D3483B"/>
    <w:rsid w:val="00D3497A"/>
    <w:rsid w:val="00D373B0"/>
    <w:rsid w:val="00D4142C"/>
    <w:rsid w:val="00D4229B"/>
    <w:rsid w:val="00D45C32"/>
    <w:rsid w:val="00D462AD"/>
    <w:rsid w:val="00D46FF7"/>
    <w:rsid w:val="00D47AD5"/>
    <w:rsid w:val="00D518C3"/>
    <w:rsid w:val="00D51C09"/>
    <w:rsid w:val="00D532C6"/>
    <w:rsid w:val="00D5426B"/>
    <w:rsid w:val="00D5599A"/>
    <w:rsid w:val="00D55B21"/>
    <w:rsid w:val="00D569AD"/>
    <w:rsid w:val="00D605E5"/>
    <w:rsid w:val="00D62A8B"/>
    <w:rsid w:val="00D659FB"/>
    <w:rsid w:val="00D71595"/>
    <w:rsid w:val="00D71B33"/>
    <w:rsid w:val="00D740F4"/>
    <w:rsid w:val="00D802FD"/>
    <w:rsid w:val="00D869C5"/>
    <w:rsid w:val="00D91951"/>
    <w:rsid w:val="00D932E1"/>
    <w:rsid w:val="00D937A6"/>
    <w:rsid w:val="00D94A5A"/>
    <w:rsid w:val="00D95B09"/>
    <w:rsid w:val="00DA0427"/>
    <w:rsid w:val="00DA05B7"/>
    <w:rsid w:val="00DA266F"/>
    <w:rsid w:val="00DA2928"/>
    <w:rsid w:val="00DA3AE2"/>
    <w:rsid w:val="00DA3B33"/>
    <w:rsid w:val="00DA42A3"/>
    <w:rsid w:val="00DA5B4D"/>
    <w:rsid w:val="00DA5D00"/>
    <w:rsid w:val="00DA7075"/>
    <w:rsid w:val="00DA74A2"/>
    <w:rsid w:val="00DB39F6"/>
    <w:rsid w:val="00DB4F9B"/>
    <w:rsid w:val="00DB52FC"/>
    <w:rsid w:val="00DB6664"/>
    <w:rsid w:val="00DB73FB"/>
    <w:rsid w:val="00DB7CD4"/>
    <w:rsid w:val="00DC0DBE"/>
    <w:rsid w:val="00DC28C2"/>
    <w:rsid w:val="00DC3679"/>
    <w:rsid w:val="00DC429D"/>
    <w:rsid w:val="00DC6E17"/>
    <w:rsid w:val="00DC6F8F"/>
    <w:rsid w:val="00DD26B7"/>
    <w:rsid w:val="00DD35D4"/>
    <w:rsid w:val="00DD4DCA"/>
    <w:rsid w:val="00DD5CCB"/>
    <w:rsid w:val="00DD6003"/>
    <w:rsid w:val="00DD7B1D"/>
    <w:rsid w:val="00DE0F17"/>
    <w:rsid w:val="00DE1A4C"/>
    <w:rsid w:val="00DE285A"/>
    <w:rsid w:val="00DE2F3F"/>
    <w:rsid w:val="00DE5417"/>
    <w:rsid w:val="00DE5630"/>
    <w:rsid w:val="00DE7227"/>
    <w:rsid w:val="00DE76FC"/>
    <w:rsid w:val="00DF1FF6"/>
    <w:rsid w:val="00DF3789"/>
    <w:rsid w:val="00DF3F22"/>
    <w:rsid w:val="00DF4BAB"/>
    <w:rsid w:val="00DF5D14"/>
    <w:rsid w:val="00DF608E"/>
    <w:rsid w:val="00DF6CC5"/>
    <w:rsid w:val="00DF6FF1"/>
    <w:rsid w:val="00DF76E0"/>
    <w:rsid w:val="00E015A9"/>
    <w:rsid w:val="00E02883"/>
    <w:rsid w:val="00E04029"/>
    <w:rsid w:val="00E041D0"/>
    <w:rsid w:val="00E10861"/>
    <w:rsid w:val="00E120BC"/>
    <w:rsid w:val="00E13668"/>
    <w:rsid w:val="00E1376C"/>
    <w:rsid w:val="00E14F99"/>
    <w:rsid w:val="00E15635"/>
    <w:rsid w:val="00E16BEE"/>
    <w:rsid w:val="00E21B02"/>
    <w:rsid w:val="00E23869"/>
    <w:rsid w:val="00E26156"/>
    <w:rsid w:val="00E27323"/>
    <w:rsid w:val="00E3099D"/>
    <w:rsid w:val="00E333FB"/>
    <w:rsid w:val="00E3345C"/>
    <w:rsid w:val="00E35424"/>
    <w:rsid w:val="00E36F7B"/>
    <w:rsid w:val="00E40778"/>
    <w:rsid w:val="00E41FE9"/>
    <w:rsid w:val="00E43F90"/>
    <w:rsid w:val="00E4501A"/>
    <w:rsid w:val="00E4586E"/>
    <w:rsid w:val="00E46BFA"/>
    <w:rsid w:val="00E4763A"/>
    <w:rsid w:val="00E477BE"/>
    <w:rsid w:val="00E47B62"/>
    <w:rsid w:val="00E51517"/>
    <w:rsid w:val="00E51F74"/>
    <w:rsid w:val="00E54533"/>
    <w:rsid w:val="00E55868"/>
    <w:rsid w:val="00E60C14"/>
    <w:rsid w:val="00E61815"/>
    <w:rsid w:val="00E62E3D"/>
    <w:rsid w:val="00E651EB"/>
    <w:rsid w:val="00E65D86"/>
    <w:rsid w:val="00E66967"/>
    <w:rsid w:val="00E67E1C"/>
    <w:rsid w:val="00E70E2A"/>
    <w:rsid w:val="00E72C1A"/>
    <w:rsid w:val="00E74BBE"/>
    <w:rsid w:val="00E7629F"/>
    <w:rsid w:val="00E763CD"/>
    <w:rsid w:val="00E76A0F"/>
    <w:rsid w:val="00E7711B"/>
    <w:rsid w:val="00E8114F"/>
    <w:rsid w:val="00E813BE"/>
    <w:rsid w:val="00E82B64"/>
    <w:rsid w:val="00E83E08"/>
    <w:rsid w:val="00E84C8B"/>
    <w:rsid w:val="00E850A3"/>
    <w:rsid w:val="00E8528B"/>
    <w:rsid w:val="00E86A15"/>
    <w:rsid w:val="00E87034"/>
    <w:rsid w:val="00E90733"/>
    <w:rsid w:val="00E90F26"/>
    <w:rsid w:val="00E931A2"/>
    <w:rsid w:val="00E93D9A"/>
    <w:rsid w:val="00E96340"/>
    <w:rsid w:val="00EA10C5"/>
    <w:rsid w:val="00EA38D5"/>
    <w:rsid w:val="00EA4363"/>
    <w:rsid w:val="00EA5409"/>
    <w:rsid w:val="00EA5F10"/>
    <w:rsid w:val="00EA5F30"/>
    <w:rsid w:val="00EA6F59"/>
    <w:rsid w:val="00EA789A"/>
    <w:rsid w:val="00EB219C"/>
    <w:rsid w:val="00EB321E"/>
    <w:rsid w:val="00EB64FC"/>
    <w:rsid w:val="00EB7B3E"/>
    <w:rsid w:val="00EC0FC7"/>
    <w:rsid w:val="00EC3466"/>
    <w:rsid w:val="00EC37C6"/>
    <w:rsid w:val="00EC3CEA"/>
    <w:rsid w:val="00EC6A61"/>
    <w:rsid w:val="00EC744B"/>
    <w:rsid w:val="00EC778D"/>
    <w:rsid w:val="00EC7B5A"/>
    <w:rsid w:val="00ED0479"/>
    <w:rsid w:val="00ED1573"/>
    <w:rsid w:val="00ED1966"/>
    <w:rsid w:val="00ED419B"/>
    <w:rsid w:val="00ED4DA5"/>
    <w:rsid w:val="00ED5AF3"/>
    <w:rsid w:val="00ED6E55"/>
    <w:rsid w:val="00ED7419"/>
    <w:rsid w:val="00EE050F"/>
    <w:rsid w:val="00EE081A"/>
    <w:rsid w:val="00EE1EB5"/>
    <w:rsid w:val="00EE243B"/>
    <w:rsid w:val="00EE60DB"/>
    <w:rsid w:val="00EE7E38"/>
    <w:rsid w:val="00EE7EEA"/>
    <w:rsid w:val="00EF1D7E"/>
    <w:rsid w:val="00EF39FC"/>
    <w:rsid w:val="00EF4CEE"/>
    <w:rsid w:val="00EF5638"/>
    <w:rsid w:val="00EF6801"/>
    <w:rsid w:val="00EF7F09"/>
    <w:rsid w:val="00F016CA"/>
    <w:rsid w:val="00F01E4F"/>
    <w:rsid w:val="00F04143"/>
    <w:rsid w:val="00F0482C"/>
    <w:rsid w:val="00F05318"/>
    <w:rsid w:val="00F070F6"/>
    <w:rsid w:val="00F0740D"/>
    <w:rsid w:val="00F07750"/>
    <w:rsid w:val="00F07780"/>
    <w:rsid w:val="00F106C0"/>
    <w:rsid w:val="00F10988"/>
    <w:rsid w:val="00F12149"/>
    <w:rsid w:val="00F13587"/>
    <w:rsid w:val="00F1455C"/>
    <w:rsid w:val="00F152E4"/>
    <w:rsid w:val="00F16387"/>
    <w:rsid w:val="00F203C7"/>
    <w:rsid w:val="00F210E0"/>
    <w:rsid w:val="00F21646"/>
    <w:rsid w:val="00F21917"/>
    <w:rsid w:val="00F27A4B"/>
    <w:rsid w:val="00F27BB1"/>
    <w:rsid w:val="00F32B0E"/>
    <w:rsid w:val="00F3317D"/>
    <w:rsid w:val="00F33DC4"/>
    <w:rsid w:val="00F35946"/>
    <w:rsid w:val="00F359C0"/>
    <w:rsid w:val="00F36CF9"/>
    <w:rsid w:val="00F37DBE"/>
    <w:rsid w:val="00F430AC"/>
    <w:rsid w:val="00F451E9"/>
    <w:rsid w:val="00F462D5"/>
    <w:rsid w:val="00F46975"/>
    <w:rsid w:val="00F477B9"/>
    <w:rsid w:val="00F51B7B"/>
    <w:rsid w:val="00F53604"/>
    <w:rsid w:val="00F54A39"/>
    <w:rsid w:val="00F54B2D"/>
    <w:rsid w:val="00F55625"/>
    <w:rsid w:val="00F55FAE"/>
    <w:rsid w:val="00F60171"/>
    <w:rsid w:val="00F6086F"/>
    <w:rsid w:val="00F613FA"/>
    <w:rsid w:val="00F64D8D"/>
    <w:rsid w:val="00F65813"/>
    <w:rsid w:val="00F6631F"/>
    <w:rsid w:val="00F72112"/>
    <w:rsid w:val="00F723D6"/>
    <w:rsid w:val="00F724AB"/>
    <w:rsid w:val="00F77E87"/>
    <w:rsid w:val="00F806A9"/>
    <w:rsid w:val="00F81620"/>
    <w:rsid w:val="00F8217F"/>
    <w:rsid w:val="00F83113"/>
    <w:rsid w:val="00F83C22"/>
    <w:rsid w:val="00F84521"/>
    <w:rsid w:val="00F87451"/>
    <w:rsid w:val="00F906AB"/>
    <w:rsid w:val="00F91766"/>
    <w:rsid w:val="00F91A6E"/>
    <w:rsid w:val="00F94B2E"/>
    <w:rsid w:val="00F96B7D"/>
    <w:rsid w:val="00FA0465"/>
    <w:rsid w:val="00FA0537"/>
    <w:rsid w:val="00FA25EA"/>
    <w:rsid w:val="00FA2ECA"/>
    <w:rsid w:val="00FA2FA8"/>
    <w:rsid w:val="00FA65E5"/>
    <w:rsid w:val="00FA6A63"/>
    <w:rsid w:val="00FB1348"/>
    <w:rsid w:val="00FB1EA0"/>
    <w:rsid w:val="00FB2144"/>
    <w:rsid w:val="00FB2DA4"/>
    <w:rsid w:val="00FB45C2"/>
    <w:rsid w:val="00FB4D20"/>
    <w:rsid w:val="00FB6B51"/>
    <w:rsid w:val="00FC2786"/>
    <w:rsid w:val="00FC36CB"/>
    <w:rsid w:val="00FC3779"/>
    <w:rsid w:val="00FC3A7F"/>
    <w:rsid w:val="00FC400D"/>
    <w:rsid w:val="00FC58AA"/>
    <w:rsid w:val="00FC7979"/>
    <w:rsid w:val="00FC7CE2"/>
    <w:rsid w:val="00FD1489"/>
    <w:rsid w:val="00FD15A5"/>
    <w:rsid w:val="00FD2169"/>
    <w:rsid w:val="00FD24D9"/>
    <w:rsid w:val="00FD2B4A"/>
    <w:rsid w:val="00FD43CA"/>
    <w:rsid w:val="00FD6DF3"/>
    <w:rsid w:val="00FD7C6C"/>
    <w:rsid w:val="00FE54A8"/>
    <w:rsid w:val="00FE6741"/>
    <w:rsid w:val="00FE6B1A"/>
    <w:rsid w:val="00FF06F9"/>
    <w:rsid w:val="00FF0FB4"/>
    <w:rsid w:val="00FF1A88"/>
    <w:rsid w:val="00FF2B2A"/>
    <w:rsid w:val="00FF2B97"/>
    <w:rsid w:val="00FF4EE6"/>
    <w:rsid w:val="00FF56A1"/>
    <w:rsid w:val="00FF683E"/>
    <w:rsid w:val="01121497"/>
    <w:rsid w:val="015E4ACC"/>
    <w:rsid w:val="01C730F2"/>
    <w:rsid w:val="01E43CBF"/>
    <w:rsid w:val="020141DF"/>
    <w:rsid w:val="02C07E4D"/>
    <w:rsid w:val="02E37ABF"/>
    <w:rsid w:val="02FB592B"/>
    <w:rsid w:val="030D521D"/>
    <w:rsid w:val="03170A01"/>
    <w:rsid w:val="03283731"/>
    <w:rsid w:val="03733F9F"/>
    <w:rsid w:val="037F0BBF"/>
    <w:rsid w:val="038A5633"/>
    <w:rsid w:val="03A15972"/>
    <w:rsid w:val="03C921F3"/>
    <w:rsid w:val="03D21BAC"/>
    <w:rsid w:val="03D57463"/>
    <w:rsid w:val="03F16F68"/>
    <w:rsid w:val="040A0EAD"/>
    <w:rsid w:val="043B6855"/>
    <w:rsid w:val="04520C0B"/>
    <w:rsid w:val="045673B4"/>
    <w:rsid w:val="04960483"/>
    <w:rsid w:val="04AE6833"/>
    <w:rsid w:val="04B25C1F"/>
    <w:rsid w:val="04EF1AD4"/>
    <w:rsid w:val="054F2D29"/>
    <w:rsid w:val="05503AC8"/>
    <w:rsid w:val="05630093"/>
    <w:rsid w:val="06015ED2"/>
    <w:rsid w:val="06332485"/>
    <w:rsid w:val="065307D7"/>
    <w:rsid w:val="06AE1485"/>
    <w:rsid w:val="06B412C4"/>
    <w:rsid w:val="06B663DD"/>
    <w:rsid w:val="06DB0936"/>
    <w:rsid w:val="071855DF"/>
    <w:rsid w:val="07987386"/>
    <w:rsid w:val="07AF16EA"/>
    <w:rsid w:val="07AF7507"/>
    <w:rsid w:val="07C077AF"/>
    <w:rsid w:val="07CC09E0"/>
    <w:rsid w:val="07CE6FF4"/>
    <w:rsid w:val="07E44547"/>
    <w:rsid w:val="0815348B"/>
    <w:rsid w:val="086F1AF9"/>
    <w:rsid w:val="089C2F2F"/>
    <w:rsid w:val="0903750C"/>
    <w:rsid w:val="09292A93"/>
    <w:rsid w:val="094974E2"/>
    <w:rsid w:val="09931BA1"/>
    <w:rsid w:val="09A76713"/>
    <w:rsid w:val="09C360E6"/>
    <w:rsid w:val="09D232AC"/>
    <w:rsid w:val="09F85AAA"/>
    <w:rsid w:val="0A690D01"/>
    <w:rsid w:val="0A9642EF"/>
    <w:rsid w:val="0AC31CF6"/>
    <w:rsid w:val="0ADF7CF2"/>
    <w:rsid w:val="0B154424"/>
    <w:rsid w:val="0B187D40"/>
    <w:rsid w:val="0B44322A"/>
    <w:rsid w:val="0B763970"/>
    <w:rsid w:val="0B7A0295"/>
    <w:rsid w:val="0BCC3CF8"/>
    <w:rsid w:val="0BD073E6"/>
    <w:rsid w:val="0C2A4705"/>
    <w:rsid w:val="0C453D35"/>
    <w:rsid w:val="0C8C56A3"/>
    <w:rsid w:val="0CAD11F0"/>
    <w:rsid w:val="0D1E3320"/>
    <w:rsid w:val="0D81039E"/>
    <w:rsid w:val="0D886840"/>
    <w:rsid w:val="0DB51EB2"/>
    <w:rsid w:val="0DBA2892"/>
    <w:rsid w:val="0DC230DA"/>
    <w:rsid w:val="0DFC43EE"/>
    <w:rsid w:val="0E071751"/>
    <w:rsid w:val="0E155DCE"/>
    <w:rsid w:val="0EF3581F"/>
    <w:rsid w:val="0FC11C86"/>
    <w:rsid w:val="0FE963AA"/>
    <w:rsid w:val="100030CD"/>
    <w:rsid w:val="1013466D"/>
    <w:rsid w:val="10400C73"/>
    <w:rsid w:val="10541F0B"/>
    <w:rsid w:val="109426A4"/>
    <w:rsid w:val="109E6CEA"/>
    <w:rsid w:val="10B81550"/>
    <w:rsid w:val="10D4332C"/>
    <w:rsid w:val="10E31E45"/>
    <w:rsid w:val="10E55ACF"/>
    <w:rsid w:val="10E91AC8"/>
    <w:rsid w:val="10EA39CE"/>
    <w:rsid w:val="11F76665"/>
    <w:rsid w:val="120F1D9B"/>
    <w:rsid w:val="122B7BDE"/>
    <w:rsid w:val="12353C53"/>
    <w:rsid w:val="12424D64"/>
    <w:rsid w:val="12CD58ED"/>
    <w:rsid w:val="1341040F"/>
    <w:rsid w:val="13422CD3"/>
    <w:rsid w:val="137974FF"/>
    <w:rsid w:val="13923D70"/>
    <w:rsid w:val="13D5154C"/>
    <w:rsid w:val="141E1459"/>
    <w:rsid w:val="149937AD"/>
    <w:rsid w:val="14A565F8"/>
    <w:rsid w:val="14E90996"/>
    <w:rsid w:val="14EA08AB"/>
    <w:rsid w:val="150B2214"/>
    <w:rsid w:val="152C4152"/>
    <w:rsid w:val="153F6DF8"/>
    <w:rsid w:val="154D23DD"/>
    <w:rsid w:val="157D01A5"/>
    <w:rsid w:val="15CB25BB"/>
    <w:rsid w:val="15CE7AD3"/>
    <w:rsid w:val="15F806FD"/>
    <w:rsid w:val="16163B4D"/>
    <w:rsid w:val="163376F8"/>
    <w:rsid w:val="166F4214"/>
    <w:rsid w:val="167666C0"/>
    <w:rsid w:val="16875A75"/>
    <w:rsid w:val="169671CF"/>
    <w:rsid w:val="17123FA4"/>
    <w:rsid w:val="17581C3A"/>
    <w:rsid w:val="17850FE4"/>
    <w:rsid w:val="178A4950"/>
    <w:rsid w:val="179E4EFF"/>
    <w:rsid w:val="17BB3FD7"/>
    <w:rsid w:val="17EB6EB9"/>
    <w:rsid w:val="1831222E"/>
    <w:rsid w:val="186B13F7"/>
    <w:rsid w:val="186F7073"/>
    <w:rsid w:val="188E5563"/>
    <w:rsid w:val="18A72CC1"/>
    <w:rsid w:val="18B85BA9"/>
    <w:rsid w:val="191531C5"/>
    <w:rsid w:val="197367E7"/>
    <w:rsid w:val="19C870A3"/>
    <w:rsid w:val="19FB511C"/>
    <w:rsid w:val="1A1F2EB6"/>
    <w:rsid w:val="1A2D7F56"/>
    <w:rsid w:val="1A313033"/>
    <w:rsid w:val="1A3D1C5D"/>
    <w:rsid w:val="1A4B2F42"/>
    <w:rsid w:val="1B3308F9"/>
    <w:rsid w:val="1B477AD1"/>
    <w:rsid w:val="1B612829"/>
    <w:rsid w:val="1B9528E2"/>
    <w:rsid w:val="1C603632"/>
    <w:rsid w:val="1D215739"/>
    <w:rsid w:val="1D6A28DA"/>
    <w:rsid w:val="1D97563C"/>
    <w:rsid w:val="1DAA6790"/>
    <w:rsid w:val="1DAB3183"/>
    <w:rsid w:val="1E2C349B"/>
    <w:rsid w:val="1E761E86"/>
    <w:rsid w:val="1E78331A"/>
    <w:rsid w:val="1EDD5919"/>
    <w:rsid w:val="1EEF1D6D"/>
    <w:rsid w:val="1F1548BF"/>
    <w:rsid w:val="1FA71BE0"/>
    <w:rsid w:val="1FAF1515"/>
    <w:rsid w:val="1FBA1788"/>
    <w:rsid w:val="1FFC0970"/>
    <w:rsid w:val="200238BF"/>
    <w:rsid w:val="20263848"/>
    <w:rsid w:val="206F2DBA"/>
    <w:rsid w:val="20911C84"/>
    <w:rsid w:val="20A33E2E"/>
    <w:rsid w:val="20AC3427"/>
    <w:rsid w:val="20B46EB2"/>
    <w:rsid w:val="20B545E2"/>
    <w:rsid w:val="20BE2C75"/>
    <w:rsid w:val="20E24722"/>
    <w:rsid w:val="210B4D02"/>
    <w:rsid w:val="211D776A"/>
    <w:rsid w:val="21F330B9"/>
    <w:rsid w:val="221F1203"/>
    <w:rsid w:val="22606D54"/>
    <w:rsid w:val="2263692C"/>
    <w:rsid w:val="22A45C0C"/>
    <w:rsid w:val="22B42013"/>
    <w:rsid w:val="233E1350"/>
    <w:rsid w:val="234209B3"/>
    <w:rsid w:val="23D6622B"/>
    <w:rsid w:val="23EC7071"/>
    <w:rsid w:val="23ED1FA2"/>
    <w:rsid w:val="242E3C98"/>
    <w:rsid w:val="244F1925"/>
    <w:rsid w:val="248C3D5E"/>
    <w:rsid w:val="249C2E19"/>
    <w:rsid w:val="24E95FC5"/>
    <w:rsid w:val="252A56C1"/>
    <w:rsid w:val="253F34C7"/>
    <w:rsid w:val="256A6EF1"/>
    <w:rsid w:val="257655F3"/>
    <w:rsid w:val="260F1BFD"/>
    <w:rsid w:val="26290D8F"/>
    <w:rsid w:val="26532B50"/>
    <w:rsid w:val="269C7E9A"/>
    <w:rsid w:val="269E25CF"/>
    <w:rsid w:val="26B433AC"/>
    <w:rsid w:val="26C72E54"/>
    <w:rsid w:val="26DF3370"/>
    <w:rsid w:val="26F66237"/>
    <w:rsid w:val="27614E87"/>
    <w:rsid w:val="277419C1"/>
    <w:rsid w:val="27AD7C6B"/>
    <w:rsid w:val="27E02339"/>
    <w:rsid w:val="27F86513"/>
    <w:rsid w:val="280F6774"/>
    <w:rsid w:val="2817271F"/>
    <w:rsid w:val="282720DB"/>
    <w:rsid w:val="284B2757"/>
    <w:rsid w:val="28994637"/>
    <w:rsid w:val="29556B72"/>
    <w:rsid w:val="296C600A"/>
    <w:rsid w:val="29970716"/>
    <w:rsid w:val="29A4706D"/>
    <w:rsid w:val="29C72495"/>
    <w:rsid w:val="2A7C7CFB"/>
    <w:rsid w:val="2A9A2A79"/>
    <w:rsid w:val="2AC114E7"/>
    <w:rsid w:val="2AD1024F"/>
    <w:rsid w:val="2AE1038D"/>
    <w:rsid w:val="2B120212"/>
    <w:rsid w:val="2B332CF5"/>
    <w:rsid w:val="2BAC7C5C"/>
    <w:rsid w:val="2BC66E25"/>
    <w:rsid w:val="2BDA47A4"/>
    <w:rsid w:val="2C4A71B7"/>
    <w:rsid w:val="2CA775D1"/>
    <w:rsid w:val="2CE41CD8"/>
    <w:rsid w:val="2D05228B"/>
    <w:rsid w:val="2DF96666"/>
    <w:rsid w:val="2DF96DE2"/>
    <w:rsid w:val="2E4771D2"/>
    <w:rsid w:val="2E57579D"/>
    <w:rsid w:val="2E7C33AF"/>
    <w:rsid w:val="2E804350"/>
    <w:rsid w:val="2EF860E1"/>
    <w:rsid w:val="2FA21269"/>
    <w:rsid w:val="2FAE7E11"/>
    <w:rsid w:val="2FE90968"/>
    <w:rsid w:val="2FF62652"/>
    <w:rsid w:val="30071E06"/>
    <w:rsid w:val="303061EE"/>
    <w:rsid w:val="30517B26"/>
    <w:rsid w:val="30542480"/>
    <w:rsid w:val="3092573B"/>
    <w:rsid w:val="30C31602"/>
    <w:rsid w:val="30CD0CA4"/>
    <w:rsid w:val="31561413"/>
    <w:rsid w:val="319D46A0"/>
    <w:rsid w:val="31DC3098"/>
    <w:rsid w:val="31E62224"/>
    <w:rsid w:val="32135324"/>
    <w:rsid w:val="321A0F82"/>
    <w:rsid w:val="323B53E8"/>
    <w:rsid w:val="323C0475"/>
    <w:rsid w:val="325470B4"/>
    <w:rsid w:val="325B1CAF"/>
    <w:rsid w:val="3293668C"/>
    <w:rsid w:val="32E20C51"/>
    <w:rsid w:val="331678BB"/>
    <w:rsid w:val="333977DF"/>
    <w:rsid w:val="335C5734"/>
    <w:rsid w:val="339A00B5"/>
    <w:rsid w:val="33DA33B5"/>
    <w:rsid w:val="33EB6F0B"/>
    <w:rsid w:val="34186F10"/>
    <w:rsid w:val="34591CB0"/>
    <w:rsid w:val="345B6845"/>
    <w:rsid w:val="346202B8"/>
    <w:rsid w:val="34745FBD"/>
    <w:rsid w:val="35614329"/>
    <w:rsid w:val="362B5D0F"/>
    <w:rsid w:val="364702E4"/>
    <w:rsid w:val="36643D58"/>
    <w:rsid w:val="368A2987"/>
    <w:rsid w:val="3694371B"/>
    <w:rsid w:val="36D069F3"/>
    <w:rsid w:val="36DE7D55"/>
    <w:rsid w:val="371074F3"/>
    <w:rsid w:val="381C5B91"/>
    <w:rsid w:val="382755B1"/>
    <w:rsid w:val="38E404FD"/>
    <w:rsid w:val="38FB6A2D"/>
    <w:rsid w:val="39153E37"/>
    <w:rsid w:val="393206E7"/>
    <w:rsid w:val="395E44C1"/>
    <w:rsid w:val="398E0DC2"/>
    <w:rsid w:val="399B43FA"/>
    <w:rsid w:val="39B437E8"/>
    <w:rsid w:val="39C26FED"/>
    <w:rsid w:val="39D50F0F"/>
    <w:rsid w:val="39D670F4"/>
    <w:rsid w:val="39F741B1"/>
    <w:rsid w:val="3AA92720"/>
    <w:rsid w:val="3AE86A88"/>
    <w:rsid w:val="3AEC1C37"/>
    <w:rsid w:val="3B82196C"/>
    <w:rsid w:val="3B871DDC"/>
    <w:rsid w:val="3B8D18D7"/>
    <w:rsid w:val="3BC90D38"/>
    <w:rsid w:val="3BD93952"/>
    <w:rsid w:val="3BE028B3"/>
    <w:rsid w:val="3C541E60"/>
    <w:rsid w:val="3C6E3EB5"/>
    <w:rsid w:val="3C841D58"/>
    <w:rsid w:val="3CAF682D"/>
    <w:rsid w:val="3D08605E"/>
    <w:rsid w:val="3D130A9B"/>
    <w:rsid w:val="3D741660"/>
    <w:rsid w:val="3DDC6B80"/>
    <w:rsid w:val="3DDD1BE8"/>
    <w:rsid w:val="3DFF348B"/>
    <w:rsid w:val="3E0C6883"/>
    <w:rsid w:val="3E2C300D"/>
    <w:rsid w:val="3E382B6B"/>
    <w:rsid w:val="3E507B57"/>
    <w:rsid w:val="3E526AD0"/>
    <w:rsid w:val="3E5F54D0"/>
    <w:rsid w:val="3EA83660"/>
    <w:rsid w:val="3EBA30DE"/>
    <w:rsid w:val="3EC62501"/>
    <w:rsid w:val="3EFA6D1F"/>
    <w:rsid w:val="3F223E25"/>
    <w:rsid w:val="3F702284"/>
    <w:rsid w:val="3FD27EA7"/>
    <w:rsid w:val="401471BB"/>
    <w:rsid w:val="403E2824"/>
    <w:rsid w:val="40CD3EC6"/>
    <w:rsid w:val="40CF69F1"/>
    <w:rsid w:val="41195E4D"/>
    <w:rsid w:val="41213C23"/>
    <w:rsid w:val="41A51DC8"/>
    <w:rsid w:val="42A009F3"/>
    <w:rsid w:val="42CA019D"/>
    <w:rsid w:val="42FB2AE8"/>
    <w:rsid w:val="435239B8"/>
    <w:rsid w:val="43852216"/>
    <w:rsid w:val="439D0744"/>
    <w:rsid w:val="43A6005A"/>
    <w:rsid w:val="43A62A6E"/>
    <w:rsid w:val="43B3055F"/>
    <w:rsid w:val="43C3343F"/>
    <w:rsid w:val="43FA63DF"/>
    <w:rsid w:val="440316DD"/>
    <w:rsid w:val="447F5EC2"/>
    <w:rsid w:val="44B74548"/>
    <w:rsid w:val="44C83118"/>
    <w:rsid w:val="44DE7878"/>
    <w:rsid w:val="44E12B8C"/>
    <w:rsid w:val="458610A1"/>
    <w:rsid w:val="45BE54D0"/>
    <w:rsid w:val="46064560"/>
    <w:rsid w:val="460A6120"/>
    <w:rsid w:val="462F25D6"/>
    <w:rsid w:val="464A709F"/>
    <w:rsid w:val="465771CD"/>
    <w:rsid w:val="465E73DB"/>
    <w:rsid w:val="468C126C"/>
    <w:rsid w:val="46F41277"/>
    <w:rsid w:val="471B3203"/>
    <w:rsid w:val="47516290"/>
    <w:rsid w:val="47766E68"/>
    <w:rsid w:val="47782A02"/>
    <w:rsid w:val="47F861C1"/>
    <w:rsid w:val="48145C48"/>
    <w:rsid w:val="487B6332"/>
    <w:rsid w:val="48B41258"/>
    <w:rsid w:val="49627604"/>
    <w:rsid w:val="49B75F2A"/>
    <w:rsid w:val="49C271A3"/>
    <w:rsid w:val="4A0B4352"/>
    <w:rsid w:val="4A2319E6"/>
    <w:rsid w:val="4B142850"/>
    <w:rsid w:val="4B1A7826"/>
    <w:rsid w:val="4B4F092F"/>
    <w:rsid w:val="4B524604"/>
    <w:rsid w:val="4B5651EC"/>
    <w:rsid w:val="4B603B7B"/>
    <w:rsid w:val="4B9F0768"/>
    <w:rsid w:val="4BBC6AA5"/>
    <w:rsid w:val="4BF24EAD"/>
    <w:rsid w:val="4BFC3F7E"/>
    <w:rsid w:val="4C2164FD"/>
    <w:rsid w:val="4C3731E4"/>
    <w:rsid w:val="4C67718C"/>
    <w:rsid w:val="4C7C4B9E"/>
    <w:rsid w:val="4C81399F"/>
    <w:rsid w:val="4CB93147"/>
    <w:rsid w:val="4CBE7F77"/>
    <w:rsid w:val="4CC95F50"/>
    <w:rsid w:val="4CD45FCC"/>
    <w:rsid w:val="4CF75481"/>
    <w:rsid w:val="4D41354B"/>
    <w:rsid w:val="4D452A31"/>
    <w:rsid w:val="4D4E0B28"/>
    <w:rsid w:val="4D670211"/>
    <w:rsid w:val="4E3727B8"/>
    <w:rsid w:val="4E4A0AB9"/>
    <w:rsid w:val="4E586596"/>
    <w:rsid w:val="4E85035F"/>
    <w:rsid w:val="4E8F0FC1"/>
    <w:rsid w:val="4E966553"/>
    <w:rsid w:val="4EBE184A"/>
    <w:rsid w:val="4ED43585"/>
    <w:rsid w:val="4EDE4757"/>
    <w:rsid w:val="4F611A5A"/>
    <w:rsid w:val="4FD2423D"/>
    <w:rsid w:val="4FDE4E36"/>
    <w:rsid w:val="50665C75"/>
    <w:rsid w:val="508D0734"/>
    <w:rsid w:val="50A82E1E"/>
    <w:rsid w:val="511E2279"/>
    <w:rsid w:val="511F6FA8"/>
    <w:rsid w:val="51612C25"/>
    <w:rsid w:val="518838DB"/>
    <w:rsid w:val="52276A66"/>
    <w:rsid w:val="523F4E28"/>
    <w:rsid w:val="524203A6"/>
    <w:rsid w:val="524E6042"/>
    <w:rsid w:val="52513BB2"/>
    <w:rsid w:val="529D1751"/>
    <w:rsid w:val="52BE2804"/>
    <w:rsid w:val="52DA1BBD"/>
    <w:rsid w:val="52EB6FC6"/>
    <w:rsid w:val="52F23C47"/>
    <w:rsid w:val="537B4387"/>
    <w:rsid w:val="539A2935"/>
    <w:rsid w:val="541B3592"/>
    <w:rsid w:val="544862AB"/>
    <w:rsid w:val="546078A2"/>
    <w:rsid w:val="54794500"/>
    <w:rsid w:val="549A6D5F"/>
    <w:rsid w:val="54AB1A25"/>
    <w:rsid w:val="54CF07B4"/>
    <w:rsid w:val="55020271"/>
    <w:rsid w:val="553A2DC7"/>
    <w:rsid w:val="5594039F"/>
    <w:rsid w:val="562C1112"/>
    <w:rsid w:val="56584EE3"/>
    <w:rsid w:val="56795557"/>
    <w:rsid w:val="56D57081"/>
    <w:rsid w:val="570609F1"/>
    <w:rsid w:val="57555C04"/>
    <w:rsid w:val="576D77F2"/>
    <w:rsid w:val="578A7A3C"/>
    <w:rsid w:val="57A630C3"/>
    <w:rsid w:val="57DD092D"/>
    <w:rsid w:val="5801123A"/>
    <w:rsid w:val="581B1208"/>
    <w:rsid w:val="58210238"/>
    <w:rsid w:val="58561607"/>
    <w:rsid w:val="586512FC"/>
    <w:rsid w:val="586E66A0"/>
    <w:rsid w:val="58DA7055"/>
    <w:rsid w:val="597B35AF"/>
    <w:rsid w:val="59C82244"/>
    <w:rsid w:val="59CC7EBA"/>
    <w:rsid w:val="59F36B5D"/>
    <w:rsid w:val="5A0C4519"/>
    <w:rsid w:val="5AB82206"/>
    <w:rsid w:val="5ADE7381"/>
    <w:rsid w:val="5AE042FB"/>
    <w:rsid w:val="5B081B97"/>
    <w:rsid w:val="5B170624"/>
    <w:rsid w:val="5B6078B5"/>
    <w:rsid w:val="5BA01879"/>
    <w:rsid w:val="5BD7080F"/>
    <w:rsid w:val="5BEE0310"/>
    <w:rsid w:val="5C163158"/>
    <w:rsid w:val="5C425A9D"/>
    <w:rsid w:val="5C457717"/>
    <w:rsid w:val="5C8728B4"/>
    <w:rsid w:val="5CCE2FD6"/>
    <w:rsid w:val="5CE330EC"/>
    <w:rsid w:val="5D385380"/>
    <w:rsid w:val="5D475B2E"/>
    <w:rsid w:val="5D773C39"/>
    <w:rsid w:val="5D83060D"/>
    <w:rsid w:val="5DD43000"/>
    <w:rsid w:val="5DEF5B5C"/>
    <w:rsid w:val="5E4E6E51"/>
    <w:rsid w:val="5E5A17C7"/>
    <w:rsid w:val="5EA505EB"/>
    <w:rsid w:val="5EA86711"/>
    <w:rsid w:val="5EAB5E7A"/>
    <w:rsid w:val="5EC11CBE"/>
    <w:rsid w:val="5F1D3F91"/>
    <w:rsid w:val="5F351803"/>
    <w:rsid w:val="5F774A68"/>
    <w:rsid w:val="5F83386E"/>
    <w:rsid w:val="5F8C60DC"/>
    <w:rsid w:val="5FA6219D"/>
    <w:rsid w:val="5FAB0129"/>
    <w:rsid w:val="5FB2533A"/>
    <w:rsid w:val="5FF73BFE"/>
    <w:rsid w:val="5FF74192"/>
    <w:rsid w:val="601D10A3"/>
    <w:rsid w:val="60227A27"/>
    <w:rsid w:val="604A54B0"/>
    <w:rsid w:val="608841E1"/>
    <w:rsid w:val="60B72341"/>
    <w:rsid w:val="60C804CA"/>
    <w:rsid w:val="60CA364F"/>
    <w:rsid w:val="60CB6517"/>
    <w:rsid w:val="611761ED"/>
    <w:rsid w:val="617C4FE3"/>
    <w:rsid w:val="61AF02EA"/>
    <w:rsid w:val="61BE75EA"/>
    <w:rsid w:val="61DA4DB5"/>
    <w:rsid w:val="62093DC7"/>
    <w:rsid w:val="621B30FC"/>
    <w:rsid w:val="62C60519"/>
    <w:rsid w:val="63846254"/>
    <w:rsid w:val="63A1662B"/>
    <w:rsid w:val="63C07086"/>
    <w:rsid w:val="63C434FD"/>
    <w:rsid w:val="642F0CE7"/>
    <w:rsid w:val="64511AEF"/>
    <w:rsid w:val="64892BE8"/>
    <w:rsid w:val="64A72D12"/>
    <w:rsid w:val="64C47847"/>
    <w:rsid w:val="64DD3107"/>
    <w:rsid w:val="64FB7AD7"/>
    <w:rsid w:val="652F67A3"/>
    <w:rsid w:val="65770E56"/>
    <w:rsid w:val="65834E5D"/>
    <w:rsid w:val="65CD1750"/>
    <w:rsid w:val="66070BD7"/>
    <w:rsid w:val="66096EDE"/>
    <w:rsid w:val="665A7C67"/>
    <w:rsid w:val="66D91C48"/>
    <w:rsid w:val="66D9725C"/>
    <w:rsid w:val="67134E38"/>
    <w:rsid w:val="6719501E"/>
    <w:rsid w:val="67230891"/>
    <w:rsid w:val="67F4369A"/>
    <w:rsid w:val="68621ACF"/>
    <w:rsid w:val="688D7022"/>
    <w:rsid w:val="68A64D18"/>
    <w:rsid w:val="68D96CEE"/>
    <w:rsid w:val="68EF417F"/>
    <w:rsid w:val="68F30D22"/>
    <w:rsid w:val="69205385"/>
    <w:rsid w:val="693E0C75"/>
    <w:rsid w:val="69991B27"/>
    <w:rsid w:val="69CD45A5"/>
    <w:rsid w:val="69CF6739"/>
    <w:rsid w:val="69F44C97"/>
    <w:rsid w:val="6A0C46C7"/>
    <w:rsid w:val="6A102852"/>
    <w:rsid w:val="6A1E6992"/>
    <w:rsid w:val="6A4526D3"/>
    <w:rsid w:val="6A7B79A9"/>
    <w:rsid w:val="6ADD43E2"/>
    <w:rsid w:val="6AE421D3"/>
    <w:rsid w:val="6B303BF1"/>
    <w:rsid w:val="6B794260"/>
    <w:rsid w:val="6B7D5091"/>
    <w:rsid w:val="6B7E0C5D"/>
    <w:rsid w:val="6B885D4F"/>
    <w:rsid w:val="6B990EC3"/>
    <w:rsid w:val="6C2E088C"/>
    <w:rsid w:val="6C367E96"/>
    <w:rsid w:val="6C6509E5"/>
    <w:rsid w:val="6C706150"/>
    <w:rsid w:val="6CC23729"/>
    <w:rsid w:val="6CE54260"/>
    <w:rsid w:val="6D162C9B"/>
    <w:rsid w:val="6D336DC6"/>
    <w:rsid w:val="6D692A81"/>
    <w:rsid w:val="6E090332"/>
    <w:rsid w:val="6E0948CB"/>
    <w:rsid w:val="6EC45F46"/>
    <w:rsid w:val="6F3D0CD1"/>
    <w:rsid w:val="6F994F6C"/>
    <w:rsid w:val="6F9E4F77"/>
    <w:rsid w:val="6FEA58BE"/>
    <w:rsid w:val="70057F62"/>
    <w:rsid w:val="700B1AE0"/>
    <w:rsid w:val="702A6268"/>
    <w:rsid w:val="70907E6E"/>
    <w:rsid w:val="70E64F1F"/>
    <w:rsid w:val="70EB6D27"/>
    <w:rsid w:val="711602FE"/>
    <w:rsid w:val="714939A4"/>
    <w:rsid w:val="715D0235"/>
    <w:rsid w:val="71E03AE9"/>
    <w:rsid w:val="71FA6D8D"/>
    <w:rsid w:val="720803D1"/>
    <w:rsid w:val="721414FE"/>
    <w:rsid w:val="72832C68"/>
    <w:rsid w:val="72E61A09"/>
    <w:rsid w:val="72EB4117"/>
    <w:rsid w:val="72FE3595"/>
    <w:rsid w:val="7366709D"/>
    <w:rsid w:val="73A264BE"/>
    <w:rsid w:val="73A90ADD"/>
    <w:rsid w:val="73C0618E"/>
    <w:rsid w:val="74112622"/>
    <w:rsid w:val="743C7FB1"/>
    <w:rsid w:val="74423276"/>
    <w:rsid w:val="744E4297"/>
    <w:rsid w:val="74734C4D"/>
    <w:rsid w:val="74B1689C"/>
    <w:rsid w:val="74B97D5D"/>
    <w:rsid w:val="74E12958"/>
    <w:rsid w:val="74F708D7"/>
    <w:rsid w:val="75040949"/>
    <w:rsid w:val="750477ED"/>
    <w:rsid w:val="758E223D"/>
    <w:rsid w:val="75914FC5"/>
    <w:rsid w:val="75AA0B8D"/>
    <w:rsid w:val="75BD203C"/>
    <w:rsid w:val="75C735CB"/>
    <w:rsid w:val="75E51528"/>
    <w:rsid w:val="75FB0EF0"/>
    <w:rsid w:val="766607C9"/>
    <w:rsid w:val="766D4F2B"/>
    <w:rsid w:val="76C74554"/>
    <w:rsid w:val="77561F4A"/>
    <w:rsid w:val="776D6D58"/>
    <w:rsid w:val="778E18B2"/>
    <w:rsid w:val="779B2CF7"/>
    <w:rsid w:val="77E77FA4"/>
    <w:rsid w:val="78462278"/>
    <w:rsid w:val="788F373B"/>
    <w:rsid w:val="78C16A0F"/>
    <w:rsid w:val="78CF46C8"/>
    <w:rsid w:val="78D25331"/>
    <w:rsid w:val="78FD7BCD"/>
    <w:rsid w:val="790430E5"/>
    <w:rsid w:val="791C3F30"/>
    <w:rsid w:val="79345466"/>
    <w:rsid w:val="79566C8A"/>
    <w:rsid w:val="79665098"/>
    <w:rsid w:val="79B91302"/>
    <w:rsid w:val="79CF5664"/>
    <w:rsid w:val="7A004C29"/>
    <w:rsid w:val="7A0D0584"/>
    <w:rsid w:val="7A2902FC"/>
    <w:rsid w:val="7A483E77"/>
    <w:rsid w:val="7AAA43F7"/>
    <w:rsid w:val="7AB514DB"/>
    <w:rsid w:val="7AD52994"/>
    <w:rsid w:val="7B036984"/>
    <w:rsid w:val="7B9874E5"/>
    <w:rsid w:val="7BE56054"/>
    <w:rsid w:val="7BF978CD"/>
    <w:rsid w:val="7BFE209F"/>
    <w:rsid w:val="7C0E7DE9"/>
    <w:rsid w:val="7C112C6C"/>
    <w:rsid w:val="7C812685"/>
    <w:rsid w:val="7CC82660"/>
    <w:rsid w:val="7D1D2865"/>
    <w:rsid w:val="7D1E15D4"/>
    <w:rsid w:val="7D2230A3"/>
    <w:rsid w:val="7D5224E3"/>
    <w:rsid w:val="7D523B0E"/>
    <w:rsid w:val="7D714DF0"/>
    <w:rsid w:val="7D721B23"/>
    <w:rsid w:val="7D8D7692"/>
    <w:rsid w:val="7DFA3729"/>
    <w:rsid w:val="7E161025"/>
    <w:rsid w:val="7E4C5101"/>
    <w:rsid w:val="7EA81185"/>
    <w:rsid w:val="7EB535C8"/>
    <w:rsid w:val="7EF127D4"/>
    <w:rsid w:val="7F344B79"/>
    <w:rsid w:val="7F460233"/>
    <w:rsid w:val="7F556D49"/>
    <w:rsid w:val="7F69293C"/>
    <w:rsid w:val="7F9A2386"/>
    <w:rsid w:val="7FA73F44"/>
    <w:rsid w:val="7FD413BB"/>
    <w:rsid w:val="7FE63F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36">
    <w:name w:val="批注文字 字符"/>
    <w:qFormat/>
    <w:uiPriority w:val="99"/>
    <w:rPr>
      <w:kern w:val="2"/>
      <w:sz w:val="21"/>
      <w:szCs w:val="22"/>
    </w:rPr>
  </w:style>
  <w:style w:type="character" w:customStyle="1" w:styleId="37">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24158</Words>
  <Characters>24948</Characters>
  <Lines>217</Lines>
  <Paragraphs>61</Paragraphs>
  <TotalTime>0</TotalTime>
  <ScaleCrop>false</ScaleCrop>
  <LinksUpToDate>false</LinksUpToDate>
  <CharactersWithSpaces>25251</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2021-10-29T09:09:00Z</dcterms:created>
  <dc:creator>JSYH</dc:creator>
  <cp:lastModifiedBy>lhy</cp:lastModifiedBy>
  <cp:lastPrinted>2022-07-29T03:17:00Z</cp:lastPrinted>
  <dcterms:modified xsi:type="dcterms:W3CDTF">2026-02-11T03:18:08Z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21632DC19FB4436799520AB8CDC530E3</vt:lpwstr>
  </property>
</Properties>
</file>