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lang w:eastAsia="zh-CN"/>
        </w:rPr>
      </w:pPr>
      <w:r>
        <w:rPr>
          <w:rFonts w:hint="eastAsia" w:ascii="楷体" w:hAnsi="楷体" w:eastAsia="楷体"/>
          <w:b/>
          <w:color w:val="auto"/>
          <w:sz w:val="28"/>
          <w:szCs w:val="28"/>
          <w:highlight w:val="none"/>
          <w:lang w:eastAsia="zh-CN"/>
        </w:rPr>
        <w:t>“苏银理财恒源月开放2号”理财产品说明书</w:t>
      </w:r>
    </w:p>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lang w:eastAsia="zh-CN"/>
        </w:rPr>
      </w:pPr>
      <w:r>
        <w:rPr>
          <w:rFonts w:hint="eastAsia" w:ascii="楷体" w:hAnsi="楷体" w:eastAsia="楷体" w:cs="Times New Roman"/>
          <w:kern w:val="2"/>
          <w:sz w:val="21"/>
          <w:szCs w:val="21"/>
          <w:highlight w:val="none"/>
          <w:lang w:val="en-US" w:eastAsia="zh-CN" w:bidi="ar-SA"/>
        </w:rPr>
        <w:t>（2026年2月版）</w:t>
      </w:r>
    </w:p>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lang w:eastAsia="zh-CN"/>
        </w:rPr>
      </w:pPr>
      <w:r>
        <w:rPr>
          <w:rFonts w:hint="eastAsia" w:ascii="楷体" w:hAnsi="楷体" w:eastAsia="楷体"/>
          <w:b/>
          <w:color w:val="auto"/>
          <w:sz w:val="28"/>
          <w:szCs w:val="28"/>
          <w:highlight w:val="none"/>
          <w:lang w:eastAsia="zh-CN"/>
        </w:rPr>
        <w:t>理财非存款、产品有风险、投资须谨慎</w:t>
      </w:r>
    </w:p>
    <w:p>
      <w:pPr>
        <w:rPr>
          <w:rFonts w:hint="eastAsia" w:ascii="楷体" w:hAnsi="楷体" w:eastAsia="楷体"/>
          <w:b/>
          <w:sz w:val="21"/>
          <w:szCs w:val="21"/>
          <w:highlight w:val="none"/>
          <w:lang w:val="en-US" w:eastAsia="zh-CN"/>
        </w:rPr>
      </w:pPr>
      <w:r>
        <w:rPr>
          <w:rFonts w:hint="eastAsia" w:ascii="楷体" w:hAnsi="楷体" w:eastAsia="楷体"/>
          <w:b/>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w:t>
      </w:r>
      <w:r>
        <w:rPr>
          <w:rFonts w:hint="eastAsia" w:ascii="楷体" w:hAnsi="楷体" w:eastAsia="楷体"/>
          <w:sz w:val="21"/>
          <w:szCs w:val="21"/>
          <w:highlight w:val="none"/>
          <w:lang w:val="en-US" w:eastAsia="zh-CN"/>
        </w:rPr>
        <w:t>苏银理财恒源月开放2号</w:t>
      </w:r>
      <w:r>
        <w:rPr>
          <w:rFonts w:hint="eastAsia" w:ascii="楷体" w:hAnsi="楷体" w:eastAsia="楷体"/>
          <w:sz w:val="21"/>
          <w:szCs w:val="21"/>
          <w:highlight w:val="none"/>
        </w:rPr>
        <w:t>”理财产品风险揭示书》的“风险揭示”部分。</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default"/>
          <w:highlight w:val="none"/>
          <w:lang w:val="en-US" w:eastAsia="zh-CN"/>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firstLine="422" w:firstLineChars="200"/>
        <w:outlineLvl w:val="1"/>
        <w:rPr>
          <w:rFonts w:hint="eastAsia" w:ascii="楷体" w:hAnsi="楷体" w:eastAsia="楷体"/>
          <w:b/>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4"/>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1"/>
              <w:ind w:left="2"/>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6622" w:type="dxa"/>
            <w:vAlign w:val="center"/>
          </w:tcPr>
          <w:p>
            <w:pPr>
              <w:pStyle w:val="35"/>
              <w:kinsoku w:val="0"/>
              <w:overflowPunct w:val="0"/>
              <w:spacing w:before="13"/>
              <w:ind w:left="59" w:right="88" w:rightChars="42"/>
              <w:rPr>
                <w:rFonts w:hint="eastAsia" w:ascii="楷体" w:hAnsi="楷体" w:eastAsia="楷体" w:cs="Times New Roman"/>
                <w:kern w:val="2"/>
                <w:sz w:val="18"/>
                <w:szCs w:val="18"/>
                <w:highlight w:val="none"/>
                <w:lang w:val="en-US" w:eastAsia="zh-CN" w:bidi="ar-SA"/>
              </w:rPr>
            </w:pPr>
            <w:r>
              <w:rPr>
                <w:rFonts w:hint="eastAsia" w:ascii="楷体" w:hAnsi="楷体" w:eastAsia="楷体" w:cs="Times New Roman"/>
                <w:kern w:val="2"/>
                <w:sz w:val="18"/>
                <w:szCs w:val="18"/>
                <w:highlight w:val="none"/>
                <w:lang w:val="en-US" w:eastAsia="zh-CN" w:bidi="ar-SA"/>
              </w:rPr>
              <w:t>苏银理财恒源月开放2号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ind w:left="6"/>
              <w:jc w:val="both"/>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6622" w:type="dxa"/>
            <w:vAlign w:val="center"/>
          </w:tcPr>
          <w:p>
            <w:pPr>
              <w:pStyle w:val="35"/>
              <w:kinsoku w:val="0"/>
              <w:overflowPunct w:val="0"/>
              <w:spacing w:line="260" w:lineRule="exact"/>
              <w:ind w:left="59" w:right="88" w:rightChars="42"/>
              <w:jc w:val="both"/>
              <w:rPr>
                <w:rFonts w:hint="eastAsia" w:ascii="楷体" w:hAnsi="楷体" w:eastAsia="楷体" w:cs="Times New Roman"/>
                <w:kern w:val="2"/>
                <w:sz w:val="18"/>
                <w:szCs w:val="18"/>
                <w:highlight w:val="none"/>
                <w:lang w:val="en-US" w:eastAsia="zh-CN" w:bidi="ar-SA"/>
              </w:rPr>
            </w:pPr>
            <w:r>
              <w:rPr>
                <w:rFonts w:hint="eastAsia" w:ascii="楷体" w:hAnsi="楷体" w:eastAsia="楷体" w:cs="宋体"/>
                <w:spacing w:val="-2"/>
                <w:sz w:val="18"/>
                <w:szCs w:val="18"/>
                <w:highlight w:val="none"/>
              </w:rPr>
              <w:t>Z7003120000002</w:t>
            </w:r>
            <w:r>
              <w:rPr>
                <w:rFonts w:hint="eastAsia" w:ascii="楷体" w:hAnsi="楷体" w:eastAsia="楷体" w:cs="宋体"/>
                <w:color w:val="auto"/>
                <w:spacing w:val="-2"/>
                <w:sz w:val="18"/>
                <w:szCs w:val="18"/>
                <w:highlight w:val="none"/>
                <w:lang w:val="en-US"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3"/>
              <w:ind w:left="2"/>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6622" w:type="dxa"/>
            <w:vAlign w:val="center"/>
          </w:tcPr>
          <w:p>
            <w:pPr>
              <w:pStyle w:val="35"/>
              <w:kinsoku w:val="0"/>
              <w:overflowPunct w:val="0"/>
              <w:spacing w:before="12"/>
              <w:ind w:left="59" w:right="88" w:rightChars="42"/>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A2份额：苏银理财恒源月开放2号A2/J172411SA801</w:t>
            </w:r>
          </w:p>
          <w:p>
            <w:pPr>
              <w:pStyle w:val="35"/>
              <w:kinsoku w:val="0"/>
              <w:overflowPunct w:val="0"/>
              <w:spacing w:before="12"/>
              <w:ind w:left="59" w:right="88" w:rightChars="42"/>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代发专享2份额：苏银理财恒源月开放2号（代发专享2）/J172411SA80B</w:t>
            </w:r>
          </w:p>
          <w:p>
            <w:pPr>
              <w:pStyle w:val="35"/>
              <w:kinsoku w:val="0"/>
              <w:overflowPunct w:val="0"/>
              <w:spacing w:before="12"/>
              <w:ind w:left="59" w:right="88" w:rightChars="42"/>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C2份额：苏银理财恒源月开放2号C2/J00308</w:t>
            </w:r>
          </w:p>
          <w:p>
            <w:pPr>
              <w:pStyle w:val="35"/>
              <w:kinsoku w:val="0"/>
              <w:overflowPunct w:val="0"/>
              <w:spacing w:before="12"/>
              <w:ind w:left="59" w:right="88" w:rightChars="42"/>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E2份额：苏银理财恒源月开放2号E2/J172411SA80C</w:t>
            </w:r>
          </w:p>
          <w:p>
            <w:pPr>
              <w:pStyle w:val="35"/>
              <w:kinsoku w:val="0"/>
              <w:overflowPunct w:val="0"/>
              <w:spacing w:before="12"/>
              <w:ind w:left="59" w:right="88" w:rightChars="42"/>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F2份额：苏银理财恒源月开放2号F2/J01997</w:t>
            </w:r>
          </w:p>
          <w:p>
            <w:pPr>
              <w:pStyle w:val="35"/>
              <w:kinsoku w:val="0"/>
              <w:overflowPunct w:val="0"/>
              <w:spacing w:before="12"/>
              <w:ind w:left="59" w:right="88" w:rightChars="42"/>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G2份额：苏银理财恒源月开放2号G2/J03474</w:t>
            </w:r>
          </w:p>
          <w:p>
            <w:pPr>
              <w:pStyle w:val="35"/>
              <w:kinsoku w:val="0"/>
              <w:overflowPunct w:val="0"/>
              <w:spacing w:before="12"/>
              <w:ind w:left="59" w:right="88" w:rightChars="42"/>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H2份额：苏银理财恒源月开放2号H2/J03607</w:t>
            </w:r>
          </w:p>
          <w:p>
            <w:pPr>
              <w:pStyle w:val="35"/>
              <w:kinsoku w:val="0"/>
              <w:overflowPunct w:val="0"/>
              <w:spacing w:before="12"/>
              <w:ind w:left="59" w:right="88" w:rightChars="42"/>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W2份额：苏银理财恒源月开放2号W2/J06082</w:t>
            </w:r>
          </w:p>
          <w:p>
            <w:pPr>
              <w:pStyle w:val="35"/>
              <w:kinsoku w:val="0"/>
              <w:overflowPunct w:val="0"/>
              <w:spacing w:before="12"/>
              <w:ind w:left="59" w:right="88" w:rightChars="42"/>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J2份额：苏银理财恒源月开放2号J2/J10905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3"/>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6622" w:type="dxa"/>
            <w:vAlign w:val="center"/>
          </w:tcPr>
          <w:p>
            <w:pPr>
              <w:pStyle w:val="35"/>
              <w:kinsoku w:val="0"/>
              <w:overflowPunct w:val="0"/>
              <w:spacing w:before="12"/>
              <w:ind w:left="59" w:leftChars="0" w:right="88" w:rightChars="42"/>
              <w:rPr>
                <w:rFonts w:hint="eastAsia" w:ascii="楷体" w:hAnsi="楷体" w:eastAsia="楷体" w:cs="Times New Roman"/>
                <w:kern w:val="2"/>
                <w:sz w:val="18"/>
                <w:szCs w:val="18"/>
                <w:highlight w:val="non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3"/>
              <w:ind w:left="4"/>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6622" w:type="dxa"/>
            <w:vAlign w:val="center"/>
          </w:tcPr>
          <w:p>
            <w:pPr>
              <w:numPr>
                <w:ilvl w:val="-1"/>
                <w:numId w:val="0"/>
              </w:numPr>
              <w:spacing w:before="6"/>
              <w:ind w:right="57"/>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241"/>
              <w:gridCol w:w="1692"/>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autoSpaceDE/>
                    <w:autoSpaceDN/>
                    <w:adjustRightInd/>
                    <w:spacing w:before="6" w:line="0" w:lineRule="atLeast"/>
                    <w:ind w:left="0" w:right="0" w:firstLine="0" w:firstLineChars="0"/>
                    <w:jc w:val="center"/>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autoSpaceDE/>
                    <w:autoSpaceDN/>
                    <w:adjustRightInd/>
                    <w:spacing w:before="6" w:line="0" w:lineRule="atLeast"/>
                    <w:ind w:left="0" w:right="0" w:firstLine="0" w:firstLineChars="0"/>
                    <w:jc w:val="center"/>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autoSpaceDE/>
                    <w:autoSpaceDN/>
                    <w:adjustRightInd/>
                    <w:spacing w:before="6" w:line="0" w:lineRule="atLeast"/>
                    <w:ind w:left="0" w:right="0" w:firstLine="0" w:firstLineChars="0"/>
                    <w:jc w:val="center"/>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autoSpaceDE/>
                    <w:autoSpaceDN/>
                    <w:adjustRightInd/>
                    <w:spacing w:before="6" w:line="0" w:lineRule="atLeast"/>
                    <w:ind w:left="0" w:right="0" w:firstLine="0" w:firstLineChars="0"/>
                    <w:jc w:val="center"/>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autoSpaceDE/>
                    <w:autoSpaceDN/>
                    <w:adjustRightInd/>
                    <w:spacing w:before="6" w:line="0" w:lineRule="atLeast"/>
                    <w:ind w:left="0" w:right="0" w:firstLine="0" w:firstLineChars="0"/>
                    <w:jc w:val="center"/>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numPr>
                <w:ilvl w:val="-1"/>
                <w:numId w:val="0"/>
              </w:numPr>
              <w:spacing w:before="6"/>
              <w:ind w:right="57"/>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5"/>
              <w:kinsoku w:val="0"/>
              <w:overflowPunct w:val="0"/>
              <w:spacing w:before="13"/>
              <w:ind w:right="88" w:rightChars="42"/>
              <w:jc w:val="both"/>
              <w:rPr>
                <w:rFonts w:ascii="楷体" w:hAnsi="楷体" w:eastAsia="楷体" w:cs="宋体"/>
                <w:spacing w:val="-2"/>
                <w:sz w:val="21"/>
                <w:szCs w:val="21"/>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jc w:val="both"/>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6622" w:type="dxa"/>
            <w:vAlign w:val="center"/>
          </w:tcPr>
          <w:p>
            <w:pPr>
              <w:pStyle w:val="35"/>
              <w:kinsoku w:val="0"/>
              <w:overflowPunct w:val="0"/>
              <w:spacing w:before="12"/>
              <w:ind w:left="59" w:right="88" w:rightChars="42"/>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C2份额面向个人投资者销售，G2份额面向机构投资者销售，其他面向个人和机构投资者销售。</w:t>
            </w:r>
          </w:p>
          <w:p>
            <w:pPr>
              <w:pStyle w:val="35"/>
              <w:kinsoku w:val="0"/>
              <w:overflowPunct w:val="0"/>
              <w:spacing w:before="12"/>
              <w:ind w:left="59" w:right="88" w:rightChars="42"/>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其中代发专享2份额销售机构江苏银行仅限代发工资客户。</w:t>
            </w:r>
          </w:p>
          <w:p>
            <w:pPr>
              <w:pStyle w:val="35"/>
              <w:kinsoku w:val="0"/>
              <w:overflowPunct w:val="0"/>
              <w:spacing w:before="12"/>
              <w:ind w:left="59" w:right="88" w:rightChars="42"/>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2份额销售机构江苏银行个人投资者仅限新资金客户及新客户，新资金的达标条件为“客户前一日资产时点余额”较“前一月末资产月日均余额”的新增额大于5万元；新客户是指首次购买苏银理财理财产品的客户。</w:t>
            </w:r>
          </w:p>
          <w:p>
            <w:pPr>
              <w:pStyle w:val="35"/>
              <w:kinsoku w:val="0"/>
              <w:overflowPunct w:val="0"/>
              <w:spacing w:before="12"/>
              <w:ind w:left="59" w:right="88" w:rightChars="42"/>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E2份额</w:t>
            </w:r>
            <w:r>
              <w:rPr>
                <w:rFonts w:hint="default" w:ascii="楷体" w:hAnsi="楷体" w:eastAsia="楷体" w:cs="宋体"/>
                <w:spacing w:val="-2"/>
                <w:sz w:val="18"/>
                <w:szCs w:val="18"/>
                <w:highlight w:val="none"/>
                <w:lang w:val="en-US" w:eastAsia="zh-CN"/>
              </w:rPr>
              <w:t>销售机构江苏银行个人投资者仅限私行客户购买，江苏银行私行客户指在江苏银行日均资产大于等于600万元的个人客户；机构投资者具体以销售机构设置为准</w:t>
            </w:r>
            <w:r>
              <w:rPr>
                <w:rFonts w:hint="eastAsia" w:ascii="楷体" w:hAnsi="楷体" w:eastAsia="楷体" w:cs="宋体"/>
                <w:spacing w:val="-2"/>
                <w:sz w:val="18"/>
                <w:szCs w:val="18"/>
                <w:highlight w:val="none"/>
                <w:lang w:val="en-US" w:eastAsia="zh-CN"/>
              </w:rPr>
              <w:t>。</w:t>
            </w:r>
          </w:p>
          <w:p>
            <w:pPr>
              <w:pStyle w:val="35"/>
              <w:kinsoku w:val="0"/>
              <w:overflowPunct w:val="0"/>
              <w:spacing w:before="12"/>
              <w:ind w:left="59" w:right="88" w:rightChars="42"/>
              <w:jc w:val="both"/>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H2份额销售机构深圳农商银行仅限社区及私行客户，具体以销售机构设置为准。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3"/>
              <w:ind w:left="2" w:leftChars="0"/>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币种</w:t>
            </w:r>
          </w:p>
        </w:tc>
        <w:tc>
          <w:tcPr>
            <w:tcW w:w="6622" w:type="dxa"/>
            <w:vAlign w:val="center"/>
          </w:tcPr>
          <w:p>
            <w:pPr>
              <w:pStyle w:val="35"/>
              <w:kinsoku w:val="0"/>
              <w:overflowPunct w:val="0"/>
              <w:spacing w:before="13"/>
              <w:ind w:left="59" w:leftChars="0" w:right="88" w:rightChars="42"/>
              <w:rPr>
                <w:rFonts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3"/>
              <w:jc w:val="both"/>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份额面值</w:t>
            </w:r>
          </w:p>
        </w:tc>
        <w:tc>
          <w:tcPr>
            <w:tcW w:w="6622" w:type="dxa"/>
            <w:vAlign w:val="center"/>
          </w:tcPr>
          <w:p>
            <w:pPr>
              <w:pStyle w:val="35"/>
              <w:kinsoku w:val="0"/>
              <w:overflowPunct w:val="0"/>
              <w:spacing w:before="12"/>
              <w:ind w:left="59" w:leftChars="0" w:right="73" w:rightChars="35"/>
              <w:jc w:val="both"/>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2"/>
              <w:ind w:left="2" w:leftChars="0"/>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b/>
                <w:spacing w:val="-2"/>
                <w:sz w:val="18"/>
                <w:szCs w:val="18"/>
                <w:highlight w:val="none"/>
              </w:rPr>
              <w:t>投资周期</w:t>
            </w:r>
          </w:p>
        </w:tc>
        <w:tc>
          <w:tcPr>
            <w:tcW w:w="6622" w:type="dxa"/>
            <w:vAlign w:val="center"/>
          </w:tcPr>
          <w:p>
            <w:pPr>
              <w:pStyle w:val="35"/>
              <w:kinsoku w:val="0"/>
              <w:overflowPunct w:val="0"/>
              <w:spacing w:before="12"/>
              <w:ind w:left="59" w:leftChars="0" w:right="88" w:rightChars="42"/>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每月为一个投资周期，</w:t>
            </w:r>
            <w:r>
              <w:rPr>
                <w:rFonts w:hint="eastAsia" w:ascii="楷体" w:hAnsi="楷体" w:eastAsia="楷体" w:cs="宋体"/>
                <w:spacing w:val="-2"/>
                <w:sz w:val="18"/>
                <w:szCs w:val="18"/>
                <w:highlight w:val="none"/>
                <w:lang w:val="en-US" w:eastAsia="zh-CN"/>
              </w:rPr>
              <w:t>具体天数以实际投资为准</w:t>
            </w:r>
            <w:r>
              <w:rPr>
                <w:rFonts w:hint="eastAsia" w:ascii="楷体" w:hAnsi="楷体" w:eastAsia="楷体" w:cs="宋体"/>
                <w:spacing w:val="-2"/>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3"/>
              <w:ind w:left="2" w:leftChars="0"/>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b/>
                <w:spacing w:val="-2"/>
                <w:sz w:val="18"/>
                <w:szCs w:val="18"/>
                <w:highlight w:val="none"/>
              </w:rPr>
              <w:t>计划发行规模</w:t>
            </w:r>
          </w:p>
        </w:tc>
        <w:tc>
          <w:tcPr>
            <w:tcW w:w="6622" w:type="dxa"/>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本产品计划发行规模为1700亿元，管理人有权根据实际需要调整计划发行规模。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eepNext w:val="0"/>
              <w:keepLines w:val="0"/>
              <w:pageBreakBefore w:val="0"/>
              <w:widowControl w:val="0"/>
              <w:kinsoku w:val="0"/>
              <w:wordWrap/>
              <w:overflowPunct w:val="0"/>
              <w:topLinePunct w:val="0"/>
              <w:autoSpaceDE w:val="0"/>
              <w:autoSpaceDN w:val="0"/>
              <w:bidi w:val="0"/>
              <w:adjustRightInd w:val="0"/>
              <w:ind w:left="2"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最低发行规模</w:t>
            </w:r>
          </w:p>
        </w:tc>
        <w:tc>
          <w:tcPr>
            <w:tcW w:w="6622" w:type="dxa"/>
            <w:vAlign w:val="center"/>
          </w:tcPr>
          <w:p>
            <w:pPr>
              <w:keepNext w:val="0"/>
              <w:keepLines w:val="0"/>
              <w:pageBreakBefore w:val="0"/>
              <w:widowControl w:val="0"/>
              <w:wordWrap/>
              <w:topLinePunct w:val="0"/>
              <w:bidi w:val="0"/>
              <w:snapToGrid/>
              <w:spacing w:line="240" w:lineRule="auto"/>
              <w:ind w:left="42" w:leftChars="20" w:right="42" w:rightChars="20"/>
              <w:jc w:val="left"/>
              <w:textAlignment w:val="auto"/>
              <w:rPr>
                <w:rFonts w:hint="eastAsia" w:ascii="楷体" w:hAnsi="楷体" w:eastAsia="楷体" w:cs="Times New Roman"/>
                <w:kern w:val="2"/>
                <w:sz w:val="18"/>
                <w:szCs w:val="18"/>
                <w:highlight w:val="none"/>
                <w:lang w:val="en-US" w:eastAsia="zh-CN" w:bidi="ar-SA"/>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8"/>
              <w:ind w:left="4"/>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6622" w:type="dxa"/>
            <w:vAlign w:val="center"/>
          </w:tcPr>
          <w:p>
            <w:pPr>
              <w:ind w:left="59" w:leftChars="0" w:right="44" w:rightChars="21"/>
              <w:jc w:val="left"/>
              <w:rPr>
                <w:rFonts w:hint="eastAsia" w:ascii="楷体" w:hAnsi="楷体" w:eastAsia="楷体"/>
                <w:sz w:val="18"/>
                <w:szCs w:val="18"/>
                <w:highlight w:val="none"/>
              </w:rPr>
            </w:pPr>
            <w:r>
              <w:rPr>
                <w:rFonts w:hint="eastAsia" w:ascii="楷体" w:hAnsi="楷体" w:eastAsia="楷体"/>
                <w:sz w:val="18"/>
                <w:szCs w:val="18"/>
                <w:highlight w:val="none"/>
                <w:lang w:val="en-US" w:eastAsia="zh-CN"/>
              </w:rPr>
              <w:t>A2</w:t>
            </w:r>
            <w:r>
              <w:rPr>
                <w:rFonts w:hint="eastAsia" w:ascii="楷体" w:hAnsi="楷体" w:eastAsia="楷体"/>
                <w:sz w:val="18"/>
                <w:szCs w:val="18"/>
                <w:highlight w:val="none"/>
              </w:rPr>
              <w:t>份额：购买起点金额为1元，追加金额为1元的整数倍；</w:t>
            </w:r>
          </w:p>
          <w:p>
            <w:pPr>
              <w:ind w:left="59" w:leftChars="0" w:right="44" w:rightChars="21"/>
              <w:jc w:val="left"/>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代发专享2份额：个人投资者购买起点金额为1元，追加金额为0.01元的整数倍；机构投资者购买起点金额为100万元,追加金额为1万元的整数倍；</w:t>
            </w:r>
          </w:p>
          <w:p>
            <w:pPr>
              <w:ind w:left="59" w:leftChars="0" w:right="44" w:rightChars="21"/>
              <w:jc w:val="left"/>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C2份额：购买起点金额为1万元，追加金额为1万元的整数倍；</w:t>
            </w:r>
          </w:p>
          <w:p>
            <w:pPr>
              <w:ind w:left="59" w:leftChars="0" w:right="44" w:rightChars="21"/>
              <w:jc w:val="left"/>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E2份额：个人投资者购买起点金额为50万元，追加金额为1万元的整数倍;机构投资者购买起点金额为1亿元，追加金额为1万元的整数倍</w:t>
            </w:r>
            <w:r>
              <w:rPr>
                <w:rFonts w:hint="eastAsia" w:ascii="楷体" w:hAnsi="楷体" w:eastAsia="楷体"/>
                <w:sz w:val="18"/>
                <w:szCs w:val="18"/>
                <w:highlight w:val="none"/>
              </w:rPr>
              <w:t>；</w:t>
            </w:r>
          </w:p>
          <w:p>
            <w:pPr>
              <w:ind w:left="59" w:leftChars="0" w:right="44" w:rightChars="21"/>
              <w:jc w:val="left"/>
              <w:rPr>
                <w:rFonts w:hint="eastAsia" w:ascii="楷体" w:hAnsi="楷体" w:eastAsia="楷体"/>
                <w:sz w:val="18"/>
                <w:szCs w:val="18"/>
                <w:highlight w:val="none"/>
              </w:rPr>
            </w:pPr>
            <w:r>
              <w:rPr>
                <w:rFonts w:hint="eastAsia" w:ascii="楷体" w:hAnsi="楷体" w:eastAsia="楷体"/>
                <w:sz w:val="18"/>
                <w:szCs w:val="18"/>
                <w:highlight w:val="none"/>
                <w:lang w:val="en-US" w:eastAsia="zh-CN"/>
              </w:rPr>
              <w:t>F2</w:t>
            </w:r>
            <w:r>
              <w:rPr>
                <w:rFonts w:hint="eastAsia" w:ascii="楷体" w:hAnsi="楷体" w:eastAsia="楷体"/>
                <w:sz w:val="18"/>
                <w:szCs w:val="18"/>
                <w:highlight w:val="none"/>
              </w:rPr>
              <w:t>份额：购买起点金额为1元，追加金额为1元的整数倍；</w:t>
            </w:r>
          </w:p>
          <w:p>
            <w:pPr>
              <w:ind w:left="59" w:leftChars="0" w:right="44" w:rightChars="21"/>
              <w:jc w:val="left"/>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G2份额：购买起点金额为1元，追加金额为1元的整数倍；</w:t>
            </w:r>
          </w:p>
          <w:p>
            <w:pPr>
              <w:ind w:left="59" w:leftChars="0" w:right="44" w:rightChars="21"/>
              <w:jc w:val="left"/>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H2份额：购买起点金额为1元，追加金额为1元的整数倍；</w:t>
            </w:r>
          </w:p>
          <w:p>
            <w:pPr>
              <w:ind w:left="59" w:leftChars="0" w:right="44" w:rightChars="21"/>
              <w:jc w:val="left"/>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W2份额：购买起点金额为1元，追加金额为1元的整数倍；</w:t>
            </w:r>
          </w:p>
          <w:p>
            <w:pPr>
              <w:ind w:left="59" w:leftChars="0" w:right="44" w:rightChars="21"/>
              <w:jc w:val="left"/>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J2份额：购买起点金额为1元，追加金额为1元的整数倍。</w:t>
            </w:r>
          </w:p>
          <w:p>
            <w:pPr>
              <w:ind w:left="59" w:leftChars="0" w:right="44" w:rightChars="21"/>
              <w:jc w:val="left"/>
              <w:rPr>
                <w:rFonts w:ascii="楷体" w:hAnsi="楷体" w:eastAsia="楷体" w:cs="宋体"/>
                <w:spacing w:val="-2"/>
                <w:sz w:val="18"/>
                <w:szCs w:val="18"/>
                <w:highlight w:val="none"/>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3"/>
              <w:ind w:left="2"/>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6622" w:type="dxa"/>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2017年11月20日到2017年11月23日。</w:t>
            </w:r>
          </w:p>
          <w:p>
            <w:pPr>
              <w:pStyle w:val="35"/>
              <w:keepNext w:val="0"/>
              <w:keepLines w:val="0"/>
              <w:pageBreakBefore w:val="0"/>
              <w:widowControl w:val="0"/>
              <w:kinsoku w:val="0"/>
              <w:wordWrap/>
              <w:overflowPunct w:val="0"/>
              <w:topLinePunct w:val="0"/>
              <w:bidi w:val="0"/>
              <w:snapToGrid/>
              <w:spacing w:line="240" w:lineRule="auto"/>
              <w:ind w:left="21" w:leftChars="10" w:right="71" w:rightChars="34"/>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3"/>
              <w:ind w:left="2"/>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6622" w:type="dxa"/>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2017年11月24日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2"/>
              <w:ind w:left="2"/>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封闭运作期</w:t>
            </w:r>
          </w:p>
        </w:tc>
        <w:tc>
          <w:tcPr>
            <w:tcW w:w="6622" w:type="dxa"/>
            <w:vAlign w:val="center"/>
          </w:tcPr>
          <w:p>
            <w:pPr>
              <w:pStyle w:val="35"/>
              <w:kinsoku w:val="0"/>
              <w:overflowPunct w:val="0"/>
              <w:spacing w:before="12"/>
              <w:ind w:left="59" w:leftChars="0" w:right="44" w:rightChars="21"/>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2017年11月24日-2018年1月11日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spacing w:before="12" w:line="0" w:lineRule="atLeast"/>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5"/>
              <w:kinsoku w:val="0"/>
              <w:overflowPunct w:val="0"/>
              <w:spacing w:before="12"/>
              <w:ind w:left="2" w:leftChars="0"/>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color w:val="auto"/>
                <w:spacing w:val="-2"/>
                <w:sz w:val="18"/>
                <w:szCs w:val="18"/>
                <w:highlight w:val="none"/>
              </w:rPr>
              <w:t>到期日</w:t>
            </w:r>
          </w:p>
        </w:tc>
        <w:tc>
          <w:tcPr>
            <w:tcW w:w="6622" w:type="dxa"/>
            <w:vAlign w:val="center"/>
          </w:tcPr>
          <w:p>
            <w:pPr>
              <w:pStyle w:val="35"/>
              <w:kinsoku w:val="0"/>
              <w:overflowPunct w:val="0"/>
              <w:spacing w:before="12"/>
              <w:ind w:left="59" w:leftChars="0" w:right="88" w:rightChars="42"/>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rPr>
              <w:t>2040年11月23日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insoku w:val="0"/>
              <w:overflowPunct w:val="0"/>
              <w:spacing w:before="12"/>
              <w:ind w:left="2"/>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6622" w:type="dxa"/>
            <w:vAlign w:val="center"/>
          </w:tcPr>
          <w:p>
            <w:pPr>
              <w:pStyle w:val="35"/>
              <w:kinsoku w:val="0"/>
              <w:overflowPunct w:val="0"/>
              <w:spacing w:before="12"/>
              <w:ind w:right="88" w:rightChars="42"/>
              <w:jc w:val="both"/>
              <w:rPr>
                <w:rFonts w:hint="eastAsia" w:ascii="楷体" w:hAnsi="楷体" w:eastAsia="楷体" w:cs="宋体"/>
                <w:spacing w:val="-2"/>
                <w:kern w:val="0"/>
                <w:sz w:val="18"/>
                <w:szCs w:val="18"/>
                <w:highlight w:val="none"/>
                <w:lang w:eastAsia="zh-CN"/>
              </w:rPr>
            </w:pPr>
            <w:r>
              <w:rPr>
                <w:rFonts w:hint="eastAsia" w:ascii="楷体" w:hAnsi="楷体" w:eastAsia="楷体" w:cs="宋体"/>
                <w:b/>
                <w:spacing w:val="-2"/>
                <w:sz w:val="18"/>
                <w:szCs w:val="18"/>
                <w:highlight w:val="none"/>
                <w:u w:val="single"/>
              </w:rPr>
              <w:t>1.</w:t>
            </w:r>
            <w:r>
              <w:rPr>
                <w:rFonts w:hint="eastAsia" w:ascii="楷体" w:hAnsi="楷体" w:eastAsia="楷体" w:cs="宋体"/>
                <w:spacing w:val="-2"/>
                <w:sz w:val="18"/>
                <w:szCs w:val="18"/>
                <w:highlight w:val="none"/>
              </w:rPr>
              <w:t>本产品封闭运作期结束后按</w:t>
            </w:r>
            <w:r>
              <w:rPr>
                <w:rFonts w:hint="eastAsia" w:ascii="楷体" w:hAnsi="楷体" w:eastAsia="楷体" w:cs="宋体"/>
                <w:spacing w:val="-2"/>
                <w:sz w:val="18"/>
                <w:szCs w:val="18"/>
                <w:highlight w:val="none"/>
                <w:lang w:val="en-US" w:eastAsia="zh-CN"/>
              </w:rPr>
              <w:t>月</w:t>
            </w:r>
            <w:r>
              <w:rPr>
                <w:rFonts w:hint="eastAsia" w:ascii="楷体" w:hAnsi="楷体" w:eastAsia="楷体" w:cs="宋体"/>
                <w:spacing w:val="-2"/>
                <w:sz w:val="18"/>
                <w:szCs w:val="18"/>
                <w:highlight w:val="none"/>
              </w:rPr>
              <w:t>开放，</w:t>
            </w:r>
            <w:r>
              <w:rPr>
                <w:rFonts w:hint="eastAsia" w:ascii="楷体" w:hAnsi="楷体" w:eastAsia="楷体" w:cs="宋体"/>
                <w:b/>
                <w:bCs/>
                <w:spacing w:val="-2"/>
                <w:kern w:val="0"/>
                <w:sz w:val="18"/>
                <w:szCs w:val="18"/>
                <w:highlight w:val="none"/>
                <w:u w:val="single"/>
                <w:lang w:val="en-US" w:eastAsia="zh-CN" w:bidi="ar-SA"/>
              </w:rPr>
              <w:t>若10日与11日为工作日，则10日为开放日、11日为确认日</w:t>
            </w:r>
            <w:r>
              <w:rPr>
                <w:rFonts w:hint="eastAsia" w:ascii="楷体" w:hAnsi="楷体" w:eastAsia="楷体" w:cs="宋体"/>
                <w:spacing w:val="-2"/>
                <w:sz w:val="18"/>
                <w:szCs w:val="18"/>
                <w:highlight w:val="none"/>
              </w:rPr>
              <w:t>。开放日前</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个工作日（含开放日）开放申购/赎回，</w:t>
            </w:r>
            <w:r>
              <w:rPr>
                <w:rFonts w:hint="eastAsia" w:ascii="楷体" w:hAnsi="楷体" w:eastAsia="楷体" w:cs="宋体"/>
                <w:spacing w:val="-2"/>
                <w:kern w:val="0"/>
                <w:sz w:val="18"/>
                <w:szCs w:val="18"/>
                <w:highlight w:val="none"/>
              </w:rPr>
              <w:t>投资者在非开放日的申购/赎回申请行为统一视为在开放日提交申购/赎回申请。申购/赎回截止时间不晚于产品开放日</w:t>
            </w:r>
            <w:r>
              <w:rPr>
                <w:rFonts w:hint="eastAsia" w:ascii="楷体" w:hAnsi="楷体" w:eastAsia="楷体" w:cs="宋体"/>
                <w:spacing w:val="-2"/>
                <w:kern w:val="0"/>
                <w:sz w:val="18"/>
                <w:szCs w:val="18"/>
                <w:highlight w:val="none"/>
                <w:lang w:val="en-US" w:eastAsia="zh-CN"/>
              </w:rPr>
              <w:t>闭市时间（</w:t>
            </w:r>
            <w:r>
              <w:rPr>
                <w:rFonts w:hint="eastAsia" w:ascii="楷体" w:hAnsi="楷体" w:eastAsia="楷体" w:cs="宋体"/>
                <w:spacing w:val="-2"/>
                <w:kern w:val="0"/>
                <w:sz w:val="18"/>
                <w:szCs w:val="18"/>
                <w:highlight w:val="none"/>
              </w:rPr>
              <w:t>17:00</w:t>
            </w:r>
            <w:r>
              <w:rPr>
                <w:rFonts w:hint="eastAsia" w:ascii="楷体" w:hAnsi="楷体" w:eastAsia="楷体" w:cs="宋体"/>
                <w:spacing w:val="-2"/>
                <w:kern w:val="0"/>
                <w:sz w:val="18"/>
                <w:szCs w:val="18"/>
                <w:highlight w:val="none"/>
                <w:lang w:eastAsia="zh-CN"/>
              </w:rPr>
              <w:t>）</w:t>
            </w:r>
            <w:r>
              <w:rPr>
                <w:rFonts w:hint="eastAsia" w:ascii="楷体" w:hAnsi="楷体" w:eastAsia="楷体" w:cs="宋体"/>
                <w:spacing w:val="-2"/>
                <w:kern w:val="0"/>
                <w:sz w:val="18"/>
                <w:szCs w:val="18"/>
                <w:highlight w:val="none"/>
              </w:rPr>
              <w:t>，开放日</w:t>
            </w:r>
            <w:r>
              <w:rPr>
                <w:rFonts w:hint="eastAsia" w:ascii="楷体" w:hAnsi="楷体" w:eastAsia="楷体" w:cs="宋体"/>
                <w:spacing w:val="-2"/>
                <w:kern w:val="0"/>
                <w:sz w:val="18"/>
                <w:szCs w:val="18"/>
                <w:highlight w:val="none"/>
                <w:lang w:val="en-US" w:eastAsia="zh-CN"/>
              </w:rPr>
              <w:t>闭市时间</w:t>
            </w:r>
            <w:r>
              <w:rPr>
                <w:rFonts w:hint="eastAsia" w:ascii="楷体" w:hAnsi="楷体" w:eastAsia="楷体" w:cs="宋体"/>
                <w:spacing w:val="-2"/>
                <w:kern w:val="0"/>
                <w:sz w:val="18"/>
                <w:szCs w:val="18"/>
                <w:highlight w:val="none"/>
              </w:rPr>
              <w:t>前客户提交的申购/赎回申请均可以申请撤单（</w:t>
            </w:r>
            <w:r>
              <w:rPr>
                <w:rFonts w:hint="eastAsia" w:ascii="楷体" w:hAnsi="楷体" w:eastAsia="楷体" w:cs="宋体"/>
                <w:spacing w:val="-2"/>
                <w:kern w:val="0"/>
                <w:sz w:val="18"/>
                <w:szCs w:val="18"/>
                <w:highlight w:val="none"/>
                <w:lang w:val="en-US" w:eastAsia="zh-CN"/>
              </w:rPr>
              <w:t>开放</w:t>
            </w:r>
            <w:r>
              <w:rPr>
                <w:rFonts w:hint="eastAsia" w:ascii="楷体" w:hAnsi="楷体" w:eastAsia="楷体" w:cs="宋体"/>
                <w:spacing w:val="-2"/>
                <w:kern w:val="0"/>
                <w:sz w:val="18"/>
                <w:szCs w:val="18"/>
                <w:highlight w:val="none"/>
              </w:rPr>
              <w:t>申购/赎回</w:t>
            </w:r>
            <w:r>
              <w:rPr>
                <w:rFonts w:hint="eastAsia" w:ascii="楷体" w:hAnsi="楷体" w:eastAsia="楷体" w:cs="宋体"/>
                <w:spacing w:val="-2"/>
                <w:kern w:val="0"/>
                <w:sz w:val="18"/>
                <w:szCs w:val="18"/>
                <w:highlight w:val="none"/>
                <w:lang w:val="en-US" w:eastAsia="zh-CN"/>
              </w:rPr>
              <w:t>时间和闭市时间</w:t>
            </w:r>
            <w:r>
              <w:rPr>
                <w:rFonts w:hint="eastAsia" w:ascii="楷体" w:hAnsi="楷体" w:eastAsia="楷体" w:cs="宋体"/>
                <w:spacing w:val="-2"/>
                <w:kern w:val="0"/>
                <w:sz w:val="18"/>
                <w:szCs w:val="18"/>
                <w:highlight w:val="none"/>
              </w:rPr>
              <w:t>以各销售机构设置为准）</w:t>
            </w:r>
            <w:r>
              <w:rPr>
                <w:rFonts w:hint="eastAsia" w:ascii="楷体" w:hAnsi="楷体" w:eastAsia="楷体" w:cs="宋体"/>
                <w:spacing w:val="-2"/>
                <w:kern w:val="0"/>
                <w:sz w:val="18"/>
                <w:szCs w:val="18"/>
                <w:highlight w:val="none"/>
                <w:lang w:eastAsia="zh-CN"/>
              </w:rPr>
              <w:t>。</w:t>
            </w:r>
          </w:p>
          <w:p>
            <w:pPr>
              <w:pStyle w:val="35"/>
              <w:kinsoku w:val="0"/>
              <w:overflowPunct w:val="0"/>
              <w:spacing w:before="12"/>
              <w:ind w:right="88" w:rightChars="42"/>
              <w:jc w:val="both"/>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2</w:t>
            </w:r>
            <w:r>
              <w:rPr>
                <w:rFonts w:hint="eastAsia" w:ascii="楷体" w:hAnsi="楷体" w:eastAsia="楷体" w:cs="宋体"/>
                <w:b/>
                <w:spacing w:val="-2"/>
                <w:sz w:val="18"/>
                <w:szCs w:val="18"/>
                <w:highlight w:val="none"/>
                <w:u w:val="single"/>
              </w:rPr>
              <w:t>.</w:t>
            </w:r>
            <w:r>
              <w:rPr>
                <w:rFonts w:hint="eastAsia" w:ascii="楷体" w:hAnsi="楷体" w:eastAsia="楷体" w:cs="宋体"/>
                <w:b/>
                <w:bCs/>
                <w:spacing w:val="-2"/>
                <w:kern w:val="0"/>
                <w:sz w:val="18"/>
                <w:szCs w:val="18"/>
                <w:highlight w:val="none"/>
                <w:u w:val="single"/>
                <w:lang w:val="en-US" w:eastAsia="zh-CN" w:bidi="ar-SA"/>
              </w:rPr>
              <w:t>若10日或11日为非工作日，则开放日、确认日、投资周期作相应调整</w:t>
            </w:r>
            <w:r>
              <w:rPr>
                <w:rFonts w:hint="eastAsia" w:ascii="楷体" w:hAnsi="楷体" w:eastAsia="楷体" w:cs="宋体"/>
                <w:spacing w:val="-2"/>
                <w:sz w:val="18"/>
                <w:szCs w:val="18"/>
                <w:highlight w:val="none"/>
              </w:rPr>
              <w:t>，苏银理财将按说明书约定的信息披露方式予以披露，以相关披露内容为准。其他时间苏银理财不接受客户申购/赎回申请。</w:t>
            </w:r>
          </w:p>
          <w:p>
            <w:pPr>
              <w:pStyle w:val="35"/>
              <w:kinsoku w:val="0"/>
              <w:overflowPunct w:val="0"/>
              <w:spacing w:before="12"/>
              <w:ind w:right="88" w:rightChars="42"/>
              <w:jc w:val="both"/>
              <w:rPr>
                <w:rFonts w:hint="eastAsia" w:ascii="楷体" w:hAnsi="楷体" w:eastAsia="楷体" w:cs="宋体"/>
                <w:spacing w:val="-2"/>
                <w:sz w:val="18"/>
                <w:szCs w:val="18"/>
                <w:highlight w:val="none"/>
              </w:rPr>
            </w:pPr>
            <w:r>
              <w:rPr>
                <w:rFonts w:hint="eastAsia" w:ascii="楷体" w:hAnsi="楷体" w:eastAsia="楷体" w:cs="宋体"/>
                <w:i w:val="0"/>
                <w:iCs w:val="0"/>
                <w:caps w:val="0"/>
                <w:spacing w:val="-2"/>
                <w:sz w:val="18"/>
                <w:szCs w:val="18"/>
                <w:highlight w:val="none"/>
                <w:shd w:val="clear"/>
              </w:rPr>
              <w:t>管理人有权根据资产运作情况、节假日安排调整开放计划</w:t>
            </w:r>
            <w:r>
              <w:rPr>
                <w:rFonts w:hint="eastAsia" w:ascii="楷体" w:hAnsi="楷体" w:eastAsia="楷体" w:cs="宋体"/>
                <w:spacing w:val="-2"/>
                <w:sz w:val="18"/>
                <w:szCs w:val="18"/>
                <w:highlight w:val="none"/>
              </w:rPr>
              <w:t>，并在调整前进行公告。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eepNext w:val="0"/>
              <w:keepLines w:val="0"/>
              <w:pageBreakBefore w:val="0"/>
              <w:widowControl w:val="0"/>
              <w:kinsoku w:val="0"/>
              <w:wordWrap/>
              <w:overflowPunct w:val="0"/>
              <w:topLinePunct w:val="0"/>
              <w:autoSpaceDE w:val="0"/>
              <w:autoSpaceDN w:val="0"/>
              <w:bidi w:val="0"/>
              <w:adjustRightInd w:val="0"/>
              <w:ind w:right="65" w:rightChars="31"/>
              <w:jc w:val="left"/>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6622" w:type="dxa"/>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sz w:val="18"/>
                <w:szCs w:val="18"/>
                <w:highlight w:val="none"/>
                <w:lang w:val="en-US" w:eastAsia="zh-CN"/>
              </w:rPr>
              <w:t>E2份额暂无，其他份额1亿元</w:t>
            </w:r>
            <w:r>
              <w:rPr>
                <w:rFonts w:hint="eastAsia" w:ascii="楷体" w:hAnsi="楷体" w:eastAsia="楷体" w:cs="宋体"/>
                <w:spacing w:val="-2"/>
                <w:sz w:val="18"/>
                <w:szCs w:val="18"/>
                <w:highlight w:val="none"/>
              </w:rPr>
              <w:t>。超过购买上限时，管理人有权拒绝投资者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eepNext w:val="0"/>
              <w:keepLines w:val="0"/>
              <w:pageBreakBefore w:val="0"/>
              <w:widowControl w:val="0"/>
              <w:kinsoku w:val="0"/>
              <w:wordWrap/>
              <w:overflowPunct w:val="0"/>
              <w:topLinePunct w:val="0"/>
              <w:autoSpaceDE w:val="0"/>
              <w:autoSpaceDN w:val="0"/>
              <w:bidi w:val="0"/>
              <w:adjustRightInd w:val="0"/>
              <w:ind w:right="65" w:rightChars="31"/>
              <w:jc w:val="left"/>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6622" w:type="dxa"/>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val="en-US" w:eastAsia="zh-CN"/>
              </w:rPr>
              <w:t>1</w:t>
            </w:r>
            <w:r>
              <w:rPr>
                <w:rFonts w:hint="eastAsia" w:ascii="楷体" w:hAnsi="楷体" w:eastAsia="楷体" w:cs="宋体"/>
                <w:spacing w:val="-2"/>
                <w:sz w:val="18"/>
                <w:szCs w:val="18"/>
                <w:highlight w:val="none"/>
              </w:rPr>
              <w:t>亿份。超过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vAlign w:val="center"/>
          </w:tcPr>
          <w:p>
            <w:pPr>
              <w:pStyle w:val="35"/>
              <w:keepNext w:val="0"/>
              <w:keepLines w:val="0"/>
              <w:pageBreakBefore w:val="0"/>
              <w:widowControl w:val="0"/>
              <w:kinsoku w:val="0"/>
              <w:wordWrap/>
              <w:overflowPunct w:val="0"/>
              <w:topLinePunct w:val="0"/>
              <w:autoSpaceDE w:val="0"/>
              <w:autoSpaceDN w:val="0"/>
              <w:bidi w:val="0"/>
              <w:adjustRightInd w:val="0"/>
              <w:ind w:right="65" w:rightChars="31"/>
              <w:jc w:val="left"/>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6622" w:type="dxa"/>
            <w:vAlign w:val="center"/>
          </w:tcPr>
          <w:p>
            <w:pPr>
              <w:pStyle w:val="35"/>
              <w:keepNext w:val="0"/>
              <w:keepLines w:val="0"/>
              <w:pageBreakBefore w:val="0"/>
              <w:widowControl w:val="0"/>
              <w:kinsoku w:val="0"/>
              <w:wordWrap/>
              <w:overflowPunct w:val="0"/>
              <w:topLinePunct w:val="0"/>
              <w:bidi w:val="0"/>
              <w:snapToGrid/>
              <w:spacing w:line="240" w:lineRule="auto"/>
              <w:ind w:left="42" w:leftChars="20" w:right="42" w:rightChars="2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278" w:type="dxa"/>
            <w:vAlign w:val="center"/>
          </w:tcPr>
          <w:p>
            <w:pPr>
              <w:pStyle w:val="35"/>
              <w:kinsoku w:val="0"/>
              <w:overflowPunct w:val="0"/>
              <w:spacing w:before="14"/>
              <w:jc w:val="both"/>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巨额申购</w:t>
            </w:r>
          </w:p>
        </w:tc>
        <w:tc>
          <w:tcPr>
            <w:tcW w:w="6622" w:type="dxa"/>
            <w:vAlign w:val="center"/>
          </w:tcPr>
          <w:p>
            <w:pPr>
              <w:pStyle w:val="35"/>
              <w:kinsoku w:val="0"/>
              <w:overflowPunct w:val="0"/>
              <w:spacing w:before="14"/>
              <w:ind w:left="59" w:leftChars="0" w:right="73" w:rightChars="35"/>
              <w:jc w:val="both"/>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spacing w:val="-2"/>
                <w:sz w:val="18"/>
                <w:szCs w:val="18"/>
                <w:highlight w:val="none"/>
              </w:rPr>
              <w:t>本产品单个开放日投资者净</w:t>
            </w:r>
            <w:r>
              <w:rPr>
                <w:rFonts w:hint="eastAsia" w:ascii="楷体" w:hAnsi="楷体" w:eastAsia="楷体" w:cs="宋体"/>
                <w:spacing w:val="-2"/>
                <w:sz w:val="18"/>
                <w:szCs w:val="18"/>
                <w:highlight w:val="none"/>
                <w:lang w:val="en-US" w:eastAsia="zh-CN"/>
              </w:rPr>
              <w:t>申购</w:t>
            </w:r>
            <w:r>
              <w:rPr>
                <w:rFonts w:hint="eastAsia" w:ascii="楷体" w:hAnsi="楷体" w:eastAsia="楷体" w:cs="宋体"/>
                <w:spacing w:val="-2"/>
                <w:sz w:val="18"/>
                <w:szCs w:val="18"/>
                <w:highlight w:val="none"/>
              </w:rPr>
              <w:t>额（申购申请份额总数扣除赎回申请份额总数）超过上一日</w:t>
            </w:r>
            <w:r>
              <w:rPr>
                <w:rFonts w:hint="eastAsia" w:ascii="楷体" w:hAnsi="楷体" w:eastAsia="楷体" w:cs="宋体"/>
                <w:spacing w:val="-2"/>
                <w:sz w:val="18"/>
                <w:szCs w:val="18"/>
                <w:highlight w:val="none"/>
                <w:lang w:val="en-US" w:eastAsia="zh-CN"/>
              </w:rPr>
              <w:t>日终</w:t>
            </w:r>
            <w:r>
              <w:rPr>
                <w:rFonts w:hint="eastAsia" w:ascii="楷体" w:hAnsi="楷体" w:eastAsia="楷体" w:cs="宋体"/>
                <w:spacing w:val="-2"/>
                <w:sz w:val="18"/>
                <w:szCs w:val="18"/>
                <w:highlight w:val="none"/>
              </w:rPr>
              <w:t>份额20%时，即认为发生了巨额申购。</w:t>
            </w:r>
            <w:r>
              <w:rPr>
                <w:rFonts w:hint="eastAsia" w:ascii="楷体" w:hAnsi="楷体" w:eastAsia="楷体" w:cs="宋体"/>
                <w:b/>
                <w:bCs/>
                <w:spacing w:val="-2"/>
                <w:sz w:val="18"/>
                <w:szCs w:val="18"/>
                <w:highlight w:val="none"/>
                <w:u w:val="single"/>
              </w:rPr>
              <w:t>当出现巨额申购时，管理人有权拒绝</w:t>
            </w:r>
            <w:r>
              <w:rPr>
                <w:rFonts w:hint="eastAsia" w:ascii="楷体" w:hAnsi="楷体" w:eastAsia="楷体" w:cs="宋体"/>
                <w:b/>
                <w:bCs/>
                <w:spacing w:val="-2"/>
                <w:sz w:val="18"/>
                <w:szCs w:val="18"/>
                <w:highlight w:val="none"/>
                <w:u w:val="single"/>
                <w:lang w:val="en-US" w:eastAsia="zh-CN"/>
              </w:rPr>
              <w:t>投资者</w:t>
            </w:r>
            <w:r>
              <w:rPr>
                <w:rFonts w:hint="eastAsia" w:ascii="楷体" w:hAnsi="楷体" w:eastAsia="楷体" w:cs="宋体"/>
                <w:b/>
                <w:bCs/>
                <w:spacing w:val="-2"/>
                <w:sz w:val="18"/>
                <w:szCs w:val="18"/>
                <w:highlight w:val="none"/>
                <w:u w:val="single"/>
              </w:rPr>
              <w:t>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278" w:type="dxa"/>
            <w:vAlign w:val="center"/>
          </w:tcPr>
          <w:p>
            <w:pPr>
              <w:pStyle w:val="35"/>
              <w:kinsoku w:val="0"/>
              <w:overflowPunct w:val="0"/>
              <w:spacing w:before="18"/>
              <w:jc w:val="both"/>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巨额赎回</w:t>
            </w:r>
          </w:p>
        </w:tc>
        <w:tc>
          <w:tcPr>
            <w:tcW w:w="6622" w:type="dxa"/>
            <w:vAlign w:val="center"/>
          </w:tcPr>
          <w:p>
            <w:pPr>
              <w:ind w:right="115" w:rightChars="55"/>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个开放日投资者净赎回额（赎回申请份额总数扣除申购申请份额总数）超过上一日日终份额10%时，即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jc w:val="both"/>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w:t>
            </w:r>
            <w:r>
              <w:rPr>
                <w:rFonts w:hint="eastAsia" w:ascii="楷体" w:hAnsi="楷体" w:eastAsia="楷体" w:cs="宋体"/>
                <w:b w:val="0"/>
                <w:bCs/>
                <w:spacing w:val="-2"/>
                <w:sz w:val="18"/>
                <w:szCs w:val="18"/>
                <w:highlight w:val="none"/>
                <w:u w:val="none"/>
                <w:lang w:eastAsia="zh-CN"/>
              </w:rPr>
              <w:t>管理人</w:t>
            </w:r>
            <w:r>
              <w:rPr>
                <w:rFonts w:hint="eastAsia" w:ascii="楷体" w:hAnsi="楷体" w:eastAsia="楷体" w:cs="宋体"/>
                <w:b w:val="0"/>
                <w:bCs/>
                <w:spacing w:val="-2"/>
                <w:sz w:val="18"/>
                <w:szCs w:val="18"/>
                <w:highlight w:val="none"/>
                <w:u w:val="none"/>
              </w:rPr>
              <w:t>有能力兑付投资者的全部赎回申请时，将在申请确认日按投资者申请赎回份额执行正常赎回程序。</w:t>
            </w:r>
          </w:p>
          <w:p>
            <w:pPr>
              <w:jc w:val="both"/>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b w:val="0"/>
                <w:bCs/>
                <w:spacing w:val="-2"/>
                <w:sz w:val="18"/>
                <w:szCs w:val="18"/>
                <w:highlight w:val="none"/>
                <w:u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b w:val="0"/>
                <w:bCs/>
                <w:spacing w:val="-2"/>
                <w:sz w:val="18"/>
                <w:szCs w:val="18"/>
                <w:highlight w:val="none"/>
                <w:u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示例：某投资者当日申请赎回份额5万份，当日全部赎回申请10000万份，假设前一日日终总份额50000万份，发生巨额赎回，管理人当日办理的赎回份额5000万份，则该投资者当日确认办理的份额为5/10000*5000=2.5万份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ind w:right="73" w:rightChars="35"/>
              <w:jc w:val="both"/>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ind w:right="73" w:rightChars="35"/>
              <w:jc w:val="both"/>
              <w:rPr>
                <w:rFonts w:hint="eastAsia" w:ascii="楷体" w:hAnsi="楷体" w:eastAsia="楷体" w:cs="宋体"/>
                <w:b/>
                <w:spacing w:val="-2"/>
                <w:kern w:val="2"/>
                <w:sz w:val="18"/>
                <w:szCs w:val="18"/>
                <w:highlight w:val="none"/>
                <w:u w:val="single"/>
                <w:lang w:val="en-US" w:eastAsia="zh-CN" w:bidi="ar-SA"/>
              </w:rPr>
            </w:pPr>
            <w:r>
              <w:rPr>
                <w:rFonts w:hint="eastAsia" w:ascii="楷体" w:hAnsi="楷体" w:eastAsia="楷体" w:cs="宋体"/>
                <w:b w:val="0"/>
                <w:bCs/>
                <w:spacing w:val="-2"/>
                <w:sz w:val="18"/>
                <w:szCs w:val="18"/>
                <w:highlight w:val="none"/>
                <w:u w:val="none"/>
                <w:lang w:val="en-US" w:eastAsia="zh-CN"/>
              </w:rPr>
              <w:t>3.</w:t>
            </w:r>
            <w:r>
              <w:rPr>
                <w:rFonts w:hint="eastAsia" w:ascii="楷体" w:hAnsi="楷体" w:eastAsia="楷体" w:cs="宋体"/>
                <w:b w:val="0"/>
                <w:bCs/>
                <w:spacing w:val="-2"/>
                <w:sz w:val="18"/>
                <w:szCs w:val="18"/>
                <w:highlight w:val="none"/>
                <w:u w:val="none"/>
              </w:rPr>
              <w:t>延缓支付赎回款项</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rPr>
              <w:t>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tcBorders>
              <w:bottom w:val="single" w:color="auto" w:sz="4" w:space="0"/>
            </w:tcBorders>
            <w:vAlign w:val="center"/>
          </w:tcPr>
          <w:p>
            <w:pPr>
              <w:pStyle w:val="35"/>
              <w:kinsoku w:val="0"/>
              <w:overflowPunct w:val="0"/>
              <w:spacing w:before="162"/>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5"/>
              <w:kinsoku w:val="0"/>
              <w:overflowPunct w:val="0"/>
              <w:spacing w:before="37"/>
              <w:ind w:left="2"/>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6622" w:type="dxa"/>
            <w:tcBorders>
              <w:bottom w:val="single" w:color="auto" w:sz="4" w:space="0"/>
            </w:tcBorders>
            <w:vAlign w:val="center"/>
          </w:tcPr>
          <w:p>
            <w:pPr>
              <w:pStyle w:val="35"/>
              <w:keepNext w:val="0"/>
              <w:keepLines w:val="0"/>
              <w:pageBreakBefore w:val="0"/>
              <w:widowControl w:val="0"/>
              <w:numPr>
                <w:ilvl w:val="0"/>
                <w:numId w:val="0"/>
              </w:numPr>
              <w:kinsoku w:val="0"/>
              <w:wordWrap/>
              <w:overflowPunct w:val="0"/>
              <w:topLinePunct w:val="0"/>
              <w:bidi w:val="0"/>
              <w:snapToGrid/>
              <w:spacing w:line="240" w:lineRule="auto"/>
              <w:ind w:left="21" w:leftChars="10" w:right="71" w:rightChars="34"/>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w:t>
            </w:r>
            <w:r>
              <w:rPr>
                <w:rFonts w:hint="eastAsia" w:ascii="楷体" w:hAnsi="楷体" w:eastAsia="楷体" w:cs="宋体"/>
                <w:b/>
                <w:bCs/>
                <w:spacing w:val="-2"/>
                <w:sz w:val="18"/>
                <w:szCs w:val="18"/>
                <w:highlight w:val="none"/>
                <w:u w:val="single"/>
                <w:lang w:val="en-US" w:eastAsia="zh-CN"/>
              </w:rPr>
              <w:t>货币市场工具、债券</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5"/>
              <w:keepNext w:val="0"/>
              <w:keepLines w:val="0"/>
              <w:pageBreakBefore w:val="0"/>
              <w:widowControl w:val="0"/>
              <w:numPr>
                <w:ilvl w:val="0"/>
                <w:numId w:val="0"/>
              </w:numPr>
              <w:kinsoku w:val="0"/>
              <w:wordWrap/>
              <w:overflowPunct w:val="0"/>
              <w:topLinePunct w:val="0"/>
              <w:bidi w:val="0"/>
              <w:snapToGrid/>
              <w:spacing w:line="240" w:lineRule="auto"/>
              <w:ind w:left="21" w:leftChars="10" w:right="71" w:rightChars="34"/>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eastAsia="zh-CN"/>
              </w:rPr>
              <w:t>各类份额</w:t>
            </w:r>
            <w:r>
              <w:rPr>
                <w:rFonts w:hint="eastAsia" w:ascii="楷体" w:hAnsi="楷体" w:eastAsia="楷体" w:cs="宋体"/>
                <w:b/>
                <w:bCs/>
                <w:spacing w:val="-2"/>
                <w:sz w:val="18"/>
                <w:szCs w:val="18"/>
                <w:highlight w:val="none"/>
                <w:u w:val="single"/>
                <w:lang w:val="en-US" w:eastAsia="zh-CN"/>
              </w:rPr>
              <w:t>可能</w:t>
            </w:r>
            <w:r>
              <w:rPr>
                <w:rFonts w:hint="eastAsia" w:ascii="楷体" w:hAnsi="楷体" w:eastAsia="楷体" w:cs="宋体"/>
                <w:b/>
                <w:bCs/>
                <w:spacing w:val="-2"/>
                <w:sz w:val="18"/>
                <w:szCs w:val="18"/>
                <w:highlight w:val="none"/>
                <w:u w:val="single"/>
              </w:rPr>
              <w:t>因收取的销售服务费和投资管理费存在差异，业绩比较基准设置有所不同。</w:t>
            </w:r>
            <w:r>
              <w:rPr>
                <w:rFonts w:hint="eastAsia" w:ascii="楷体" w:hAnsi="楷体" w:eastAsia="楷体" w:cs="宋体"/>
                <w:spacing w:val="-2"/>
                <w:kern w:val="0"/>
                <w:sz w:val="18"/>
                <w:szCs w:val="18"/>
                <w:highlight w:val="none"/>
                <w:lang w:val="en-US" w:eastAsia="zh-CN" w:bidi="ar-SA"/>
              </w:rPr>
              <w:t>各类份额业绩比较基准如下：中债-高信用等级中期票据全价(1年以下)指数收益率+0.10%。</w:t>
            </w:r>
          </w:p>
          <w:p>
            <w:pPr>
              <w:keepNext w:val="0"/>
              <w:keepLines w:val="0"/>
              <w:pageBreakBefore w:val="0"/>
              <w:widowControl w:val="0"/>
              <w:wordWrap/>
              <w:topLinePunct w:val="0"/>
              <w:bidi w:val="0"/>
              <w:snapToGrid/>
              <w:spacing w:line="240" w:lineRule="auto"/>
              <w:ind w:left="21" w:leftChars="10" w:right="71" w:rightChars="34"/>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pStyle w:val="35"/>
              <w:kinsoku w:val="0"/>
              <w:overflowPunct w:val="0"/>
              <w:spacing w:before="37"/>
              <w:ind w:left="57" w:right="88" w:rightChars="42"/>
              <w:rPr>
                <w:rFonts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35"/>
              <w:kinsoku w:val="0"/>
              <w:overflowPunct w:val="0"/>
              <w:spacing w:before="18"/>
              <w:ind w:left="4"/>
              <w:rPr>
                <w:rFonts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66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wordWrap/>
              <w:topLinePunct w:val="0"/>
              <w:bidi w:val="0"/>
              <w:snapToGrid/>
              <w:spacing w:line="240" w:lineRule="auto"/>
              <w:ind w:left="21" w:leftChars="10" w:right="71" w:rightChars="34"/>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本产品费用包括托管费、销售服务费、投资管理费、超额业绩报酬（如有）以及产品运作和清算中产生的其他费用等</w:t>
            </w:r>
            <w:r>
              <w:rPr>
                <w:rFonts w:hint="eastAsia" w:ascii="楷体" w:hAnsi="楷体" w:eastAsia="楷体" w:cs="宋体"/>
                <w:color w:val="auto"/>
                <w:spacing w:val="-2"/>
                <w:sz w:val="18"/>
                <w:szCs w:val="18"/>
                <w:highlight w:val="none"/>
                <w:lang w:val="en-US" w:eastAsia="zh-CN"/>
              </w:rPr>
              <w:t>。</w:t>
            </w:r>
          </w:p>
          <w:p>
            <w:pPr>
              <w:keepNext w:val="0"/>
              <w:keepLines w:val="0"/>
              <w:pageBreakBefore w:val="0"/>
              <w:widowControl w:val="0"/>
              <w:wordWrap/>
              <w:topLinePunct w:val="0"/>
              <w:bidi w:val="0"/>
              <w:snapToGrid/>
              <w:spacing w:line="240" w:lineRule="auto"/>
              <w:ind w:left="21" w:leftChars="10" w:right="71" w:rightChars="34"/>
              <w:textAlignment w:val="auto"/>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rPr>
              <w:t>1.托管费率</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年化）</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0.02</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eastAsia="zh-CN"/>
              </w:rPr>
              <w:t>。</w:t>
            </w:r>
          </w:p>
          <w:p>
            <w:pPr>
              <w:keepNext w:val="0"/>
              <w:keepLines w:val="0"/>
              <w:pageBreakBefore w:val="0"/>
              <w:widowControl w:val="0"/>
              <w:wordWrap/>
              <w:topLinePunct w:val="0"/>
              <w:bidi w:val="0"/>
              <w:snapToGrid/>
              <w:spacing w:line="240" w:lineRule="auto"/>
              <w:ind w:left="21" w:leftChars="10" w:right="71" w:rightChars="34"/>
              <w:textAlignment w:val="auto"/>
              <w:rPr>
                <w:rFonts w:hint="default" w:ascii="楷体" w:hAnsi="楷体" w:eastAsia="楷体" w:cs="宋体"/>
                <w:color w:val="auto"/>
                <w:spacing w:val="-2"/>
                <w:sz w:val="18"/>
                <w:szCs w:val="18"/>
                <w:highlight w:val="none"/>
                <w:lang w:val="en-US"/>
              </w:rPr>
            </w:pPr>
            <w:r>
              <w:rPr>
                <w:rFonts w:hint="eastAsia" w:ascii="楷体" w:hAnsi="楷体" w:eastAsia="楷体" w:cs="宋体"/>
                <w:color w:val="auto"/>
                <w:spacing w:val="-2"/>
                <w:sz w:val="18"/>
                <w:szCs w:val="18"/>
                <w:highlight w:val="none"/>
              </w:rPr>
              <w:t>2.销售服务费率</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年化）</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W2份额0.40%，F2/J2份额0.30%，其他份额0.20%。</w:t>
            </w:r>
          </w:p>
          <w:p>
            <w:pPr>
              <w:keepNext w:val="0"/>
              <w:keepLines w:val="0"/>
              <w:pageBreakBefore w:val="0"/>
              <w:widowControl w:val="0"/>
              <w:wordWrap/>
              <w:topLinePunct w:val="0"/>
              <w:bidi w:val="0"/>
              <w:snapToGrid/>
              <w:spacing w:line="240" w:lineRule="auto"/>
              <w:ind w:left="21" w:leftChars="10" w:right="71" w:rightChars="34"/>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3.投资管理费率</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年化）</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A2</w:t>
            </w:r>
            <w:r>
              <w:rPr>
                <w:rFonts w:hint="eastAsia" w:ascii="楷体" w:hAnsi="楷体" w:eastAsia="楷体" w:cs="宋体"/>
                <w:color w:val="auto"/>
                <w:spacing w:val="-2"/>
                <w:sz w:val="18"/>
                <w:szCs w:val="18"/>
                <w:highlight w:val="none"/>
              </w:rPr>
              <w:t>份额</w:t>
            </w:r>
            <w:r>
              <w:rPr>
                <w:rFonts w:hint="eastAsia" w:ascii="楷体" w:hAnsi="楷体" w:eastAsia="楷体" w:cs="宋体"/>
                <w:color w:val="auto"/>
                <w:spacing w:val="-2"/>
                <w:sz w:val="18"/>
                <w:szCs w:val="18"/>
                <w:highlight w:val="none"/>
                <w:lang w:val="en-US" w:eastAsia="zh-CN"/>
              </w:rPr>
              <w:t>0.60</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代发专享2</w:t>
            </w:r>
            <w:r>
              <w:rPr>
                <w:rFonts w:hint="eastAsia" w:ascii="楷体" w:hAnsi="楷体" w:eastAsia="楷体" w:cs="宋体"/>
                <w:color w:val="auto"/>
                <w:spacing w:val="-2"/>
                <w:sz w:val="18"/>
                <w:szCs w:val="18"/>
                <w:highlight w:val="none"/>
              </w:rPr>
              <w:t>份额</w:t>
            </w:r>
            <w:r>
              <w:rPr>
                <w:rFonts w:hint="eastAsia" w:ascii="楷体" w:hAnsi="楷体" w:eastAsia="楷体" w:cs="宋体"/>
                <w:color w:val="auto"/>
                <w:spacing w:val="-2"/>
                <w:sz w:val="18"/>
                <w:szCs w:val="18"/>
                <w:highlight w:val="none"/>
                <w:lang w:val="en-US" w:eastAsia="zh-CN"/>
              </w:rPr>
              <w:t>0.55</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C2</w:t>
            </w:r>
            <w:r>
              <w:rPr>
                <w:rFonts w:hint="eastAsia" w:ascii="楷体" w:hAnsi="楷体" w:eastAsia="楷体" w:cs="宋体"/>
                <w:color w:val="auto"/>
                <w:spacing w:val="-2"/>
                <w:sz w:val="18"/>
                <w:szCs w:val="18"/>
                <w:highlight w:val="none"/>
              </w:rPr>
              <w:t>份额</w:t>
            </w:r>
            <w:r>
              <w:rPr>
                <w:rFonts w:hint="eastAsia" w:ascii="楷体" w:hAnsi="楷体" w:eastAsia="楷体" w:cs="宋体"/>
                <w:color w:val="auto"/>
                <w:spacing w:val="-2"/>
                <w:sz w:val="18"/>
                <w:szCs w:val="18"/>
                <w:highlight w:val="none"/>
                <w:lang w:val="en-US" w:eastAsia="zh-CN"/>
              </w:rPr>
              <w:t>0.55</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E2</w:t>
            </w:r>
            <w:r>
              <w:rPr>
                <w:rFonts w:hint="eastAsia" w:ascii="楷体" w:hAnsi="楷体" w:eastAsia="楷体" w:cs="宋体"/>
                <w:color w:val="auto"/>
                <w:spacing w:val="-2"/>
                <w:sz w:val="18"/>
                <w:szCs w:val="18"/>
                <w:highlight w:val="none"/>
              </w:rPr>
              <w:t>份额</w:t>
            </w:r>
            <w:r>
              <w:rPr>
                <w:rFonts w:hint="eastAsia" w:ascii="楷体" w:hAnsi="楷体" w:eastAsia="楷体" w:cs="宋体"/>
                <w:color w:val="auto"/>
                <w:spacing w:val="-2"/>
                <w:sz w:val="18"/>
                <w:szCs w:val="18"/>
                <w:highlight w:val="none"/>
                <w:lang w:val="en-US" w:eastAsia="zh-CN"/>
              </w:rPr>
              <w:t>0.35</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F2</w:t>
            </w:r>
            <w:r>
              <w:rPr>
                <w:rFonts w:hint="eastAsia" w:ascii="楷体" w:hAnsi="楷体" w:eastAsia="楷体" w:cs="宋体"/>
                <w:color w:val="auto"/>
                <w:spacing w:val="-2"/>
                <w:sz w:val="18"/>
                <w:szCs w:val="18"/>
                <w:highlight w:val="none"/>
              </w:rPr>
              <w:t>份额</w:t>
            </w:r>
            <w:r>
              <w:rPr>
                <w:rFonts w:hint="eastAsia" w:ascii="楷体" w:hAnsi="楷体" w:eastAsia="楷体" w:cs="宋体"/>
                <w:color w:val="auto"/>
                <w:spacing w:val="-2"/>
                <w:sz w:val="18"/>
                <w:szCs w:val="18"/>
                <w:highlight w:val="none"/>
                <w:lang w:val="en-US" w:eastAsia="zh-CN"/>
              </w:rPr>
              <w:t>0.60</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G2</w:t>
            </w:r>
            <w:r>
              <w:rPr>
                <w:rFonts w:hint="eastAsia" w:ascii="楷体" w:hAnsi="楷体" w:eastAsia="楷体" w:cs="宋体"/>
                <w:color w:val="auto"/>
                <w:spacing w:val="-2"/>
                <w:sz w:val="18"/>
                <w:szCs w:val="18"/>
                <w:highlight w:val="none"/>
              </w:rPr>
              <w:t>份额</w:t>
            </w:r>
            <w:r>
              <w:rPr>
                <w:rFonts w:hint="eastAsia" w:ascii="楷体" w:hAnsi="楷体" w:eastAsia="楷体" w:cs="宋体"/>
                <w:color w:val="auto"/>
                <w:spacing w:val="-2"/>
                <w:sz w:val="18"/>
                <w:szCs w:val="18"/>
                <w:highlight w:val="none"/>
                <w:lang w:val="en-US" w:eastAsia="zh-CN"/>
              </w:rPr>
              <w:t>0.60</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H2</w:t>
            </w:r>
            <w:r>
              <w:rPr>
                <w:rFonts w:hint="eastAsia" w:ascii="楷体" w:hAnsi="楷体" w:eastAsia="楷体" w:cs="宋体"/>
                <w:color w:val="auto"/>
                <w:spacing w:val="-2"/>
                <w:sz w:val="18"/>
                <w:szCs w:val="18"/>
                <w:highlight w:val="none"/>
              </w:rPr>
              <w:t>份额</w:t>
            </w:r>
            <w:r>
              <w:rPr>
                <w:rFonts w:hint="eastAsia" w:ascii="楷体" w:hAnsi="楷体" w:eastAsia="楷体" w:cs="宋体"/>
                <w:color w:val="auto"/>
                <w:spacing w:val="-2"/>
                <w:sz w:val="18"/>
                <w:szCs w:val="18"/>
                <w:highlight w:val="none"/>
                <w:lang w:val="en-US" w:eastAsia="zh-CN"/>
              </w:rPr>
              <w:t>0.50</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val="en-US" w:eastAsia="zh-CN"/>
              </w:rPr>
              <w:t>W2</w:t>
            </w:r>
            <w:r>
              <w:rPr>
                <w:rFonts w:hint="eastAsia" w:ascii="楷体" w:hAnsi="楷体" w:eastAsia="楷体" w:cs="宋体"/>
                <w:color w:val="auto"/>
                <w:spacing w:val="-2"/>
                <w:sz w:val="18"/>
                <w:szCs w:val="18"/>
                <w:highlight w:val="none"/>
              </w:rPr>
              <w:t>份额</w:t>
            </w:r>
            <w:r>
              <w:rPr>
                <w:rFonts w:hint="eastAsia" w:ascii="楷体" w:hAnsi="楷体" w:eastAsia="楷体" w:cs="宋体"/>
                <w:color w:val="auto"/>
                <w:spacing w:val="-2"/>
                <w:sz w:val="18"/>
                <w:szCs w:val="18"/>
                <w:highlight w:val="none"/>
                <w:lang w:val="en-US" w:eastAsia="zh-CN"/>
              </w:rPr>
              <w:t>0.50</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J2份额0.50%。</w:t>
            </w:r>
          </w:p>
          <w:p>
            <w:pPr>
              <w:keepNext w:val="0"/>
              <w:keepLines w:val="0"/>
              <w:pageBreakBefore w:val="0"/>
              <w:widowControl w:val="0"/>
              <w:wordWrap/>
              <w:topLinePunct w:val="0"/>
              <w:bidi w:val="0"/>
              <w:snapToGrid/>
              <w:spacing w:line="240" w:lineRule="auto"/>
              <w:ind w:left="21" w:leftChars="10" w:right="71" w:rightChars="34"/>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val="en-US" w:eastAsia="zh-CN"/>
              </w:rPr>
              <w:t>暂无</w:t>
            </w:r>
          </w:p>
          <w:p>
            <w:pPr>
              <w:ind w:right="73" w:rightChars="35"/>
              <w:rPr>
                <w:rFonts w:hint="eastAsia" w:ascii="楷体" w:hAnsi="楷体" w:eastAsia="楷体" w:cs="宋体"/>
                <w:b/>
                <w:bCs/>
                <w:color w:val="auto"/>
                <w:spacing w:val="-2"/>
                <w:sz w:val="18"/>
                <w:szCs w:val="18"/>
                <w:highlight w:val="none"/>
                <w:u w:val="single"/>
              </w:rPr>
            </w:pPr>
            <w:r>
              <w:rPr>
                <w:rFonts w:hint="eastAsia" w:ascii="楷体" w:hAnsi="楷体" w:eastAsia="楷体" w:cs="宋体"/>
                <w:b/>
                <w:bCs/>
                <w:color w:val="auto"/>
                <w:spacing w:val="-2"/>
                <w:sz w:val="18"/>
                <w:szCs w:val="18"/>
                <w:highlight w:val="none"/>
                <w:u w:val="single"/>
              </w:rPr>
              <w:t>本产品设置</w:t>
            </w:r>
            <w:r>
              <w:rPr>
                <w:rFonts w:hint="eastAsia" w:ascii="楷体" w:hAnsi="楷体" w:eastAsia="楷体" w:cs="宋体"/>
                <w:b/>
                <w:bCs/>
                <w:color w:val="auto"/>
                <w:spacing w:val="-2"/>
                <w:sz w:val="18"/>
                <w:szCs w:val="18"/>
                <w:highlight w:val="none"/>
                <w:u w:val="single"/>
                <w:lang w:val="en-US" w:eastAsia="zh-CN"/>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ind w:left="59" w:right="88" w:rightChars="42"/>
              <w:jc w:val="both"/>
              <w:rPr>
                <w:rFonts w:ascii="楷体" w:hAnsi="楷体" w:eastAsia="楷体"/>
                <w:sz w:val="18"/>
                <w:szCs w:val="18"/>
                <w:highlight w:val="none"/>
              </w:rPr>
            </w:pPr>
            <w:r>
              <w:rPr>
                <w:rFonts w:hint="eastAsia" w:ascii="楷体" w:hAnsi="楷体" w:eastAsia="楷体" w:cs="宋体"/>
                <w:b/>
                <w:bCs/>
                <w:color w:val="auto"/>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color w:val="auto"/>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35"/>
              <w:keepNext w:val="0"/>
              <w:keepLines w:val="0"/>
              <w:pageBreakBefore w:val="0"/>
              <w:widowControl w:val="0"/>
              <w:kinsoku w:val="0"/>
              <w:wordWrap/>
              <w:overflowPunct w:val="0"/>
              <w:topLinePunct w:val="0"/>
              <w:autoSpaceDE w:val="0"/>
              <w:autoSpaceDN w:val="0"/>
              <w:bidi w:val="0"/>
              <w:adjustRightInd w:val="0"/>
              <w:ind w:left="55"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收益分配</w:t>
            </w:r>
          </w:p>
        </w:tc>
        <w:tc>
          <w:tcPr>
            <w:tcW w:w="66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wordWrap/>
              <w:topLinePunct w:val="0"/>
              <w:bidi w:val="0"/>
              <w:snapToGrid/>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 w:hRule="atLeast"/>
          <w:jc w:val="center"/>
        </w:trPr>
        <w:tc>
          <w:tcPr>
            <w:tcW w:w="2278" w:type="dxa"/>
            <w:tcBorders>
              <w:top w:val="single" w:color="auto" w:sz="4" w:space="0"/>
              <w:left w:val="single" w:color="auto" w:sz="4" w:space="0"/>
              <w:bottom w:val="single" w:color="auto" w:sz="4" w:space="0"/>
              <w:right w:val="single" w:color="auto" w:sz="4" w:space="0"/>
            </w:tcBorders>
            <w:vAlign w:val="center"/>
          </w:tcPr>
          <w:p>
            <w:pPr>
              <w:pStyle w:val="35"/>
              <w:kinsoku w:val="0"/>
              <w:overflowPunct w:val="0"/>
              <w:spacing w:before="18"/>
              <w:ind w:left="55" w:leftChars="0"/>
              <w:jc w:val="both"/>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税款</w:t>
            </w:r>
          </w:p>
        </w:tc>
        <w:tc>
          <w:tcPr>
            <w:tcW w:w="6622" w:type="dxa"/>
            <w:tcBorders>
              <w:top w:val="single" w:color="auto" w:sz="4" w:space="0"/>
              <w:left w:val="single" w:color="auto" w:sz="4" w:space="0"/>
              <w:bottom w:val="single" w:color="auto" w:sz="4" w:space="0"/>
              <w:right w:val="single" w:color="auto" w:sz="4" w:space="0"/>
            </w:tcBorders>
            <w:vAlign w:val="center"/>
          </w:tcPr>
          <w:p>
            <w:pPr>
              <w:ind w:left="59" w:leftChars="0" w:right="73" w:rightChars="35"/>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rPr>
        <w:t>产品管理人</w:t>
      </w:r>
    </w:p>
    <w:p>
      <w:pPr>
        <w:numPr>
          <w:ilvl w:val="0"/>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tabs>
          <w:tab w:val="left" w:pos="728"/>
        </w:tabs>
        <w:ind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shd w:val="clear" w:color="auto" w:fill="auto"/>
        <w:tabs>
          <w:tab w:val="left" w:pos="1134"/>
        </w:tabs>
        <w:ind w:firstLine="422" w:firstLineChars="200"/>
        <w:outlineLvl w:val="1"/>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产品托管人</w:t>
      </w:r>
    </w:p>
    <w:p>
      <w:pPr>
        <w:pStyle w:val="2"/>
        <w:keepNext w:val="0"/>
        <w:keepLines w:val="0"/>
        <w:pageBreakBefore w:val="0"/>
        <w:widowControl w:val="0"/>
        <w:kinsoku/>
        <w:wordWrap/>
        <w:overflowPunct/>
        <w:topLinePunct w:val="0"/>
        <w:autoSpaceDE w:val="0"/>
        <w:autoSpaceDN w:val="0"/>
        <w:bidi w:val="0"/>
        <w:adjustRightInd w:val="0"/>
        <w:snapToGrid/>
        <w:spacing w:before="0"/>
        <w:ind w:left="0" w:leftChars="0"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val="en-US"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2份额：江苏高淳农村商业银行股份有限公司/上海银行股份有限公司/江苏扬中农村商业银行股份有限公司/威海银行股份有限公司/宁波东海银行股份有限公司/江苏宜兴农村商业银行股份有限公司/江苏镇江农村商业银行股份有限公司/中信百信银行股份有限公司/杭州银行股份有限公司/苏州银行股份有限公司/无锡锡商银行股份有限公司/江苏江都农村商业银行股份有限公司/江苏句容农村商业银行股份有限公司/江苏沭阳农村商业银行股份有限公司/江苏如东农村商业银行股份有限公司/江苏东台农村商业银行股份有限公司/江苏盱眙农村商业银行股份有限公司/深圳前海微众银行股份有限公司/江苏南通农村商业银行股份有限公司/江苏宝应农村商业银行股份有限公司/江苏民丰农村商业银行股份有限公司/江苏启东农村商业银行股份有限公司/苏银理财有限责任公司/江苏银行股份有限公司/江苏扬州农村商业银行股份有限公司/江苏新沂农村商业银行股份有限公司/徐州农村商业银行股份有限公司/江苏淮安农村商业银行股份有限公司/江苏靖江农村商业银行股份有限公司/江苏苏州农村商业银行股份有限公司/齐鲁银行股份有限公司/江苏丹阳农村商业银行股份有限公司/江苏洪泽农村商业银行股份有限公司/连云港东方农村商业银行股份有限公司/江苏仪征农村商业银行股份有限公司/江苏紫金农村商业银行股份有限公司/江苏涟水农村商业银行股份有限公司/江苏溧水农村商业银行股份有限公司/江苏海安农村商业银行股份有限公司/江苏如皋农村商业银行股份有限公司/江苏泰兴农村商业银行股份有限公司/江苏江阴农村商业银行股份有限公司/九江银行股份有限公司/江苏金湖农村商业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代发专享2份额：江苏银行股份有限公司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C2份额：江苏银行股份有限公司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E2份额：江苏银行股份有限公司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2份额：嘉兴银行股份有限公司/浙江杭州余杭农村商业银行股份有限公司/浙江临海农村商业银行股份有限公司/湖北银行股份有限公司/珠海华润银行股份有限公司/浙江桐乡农村商业银行股份有限公司/浙江武义农村商业银行股份有限公司/浙江青田农村商业银行股份有限公司/浙江海盐农村商业银行股份有限公司/浙江萧山农村商业银行股份有限公司/浙江龙泉农村商业银行股份有限公司/浙江苍南农村商业银行股份有限公司/浙商银行股份有限公司/浙江上虞农村商业银行股份有限公司/浙江温州龙湾农村商业银行股份有限公司/浙江衢州衢江农村商业银行股份有限公司/北京农村商业银行股份有限公司/浙江温州鹿城农村商业银行股份有限公司/浙江嵊州农村商业银行股份有限公司/浙江长兴农村商业银行股份有限公司/山西银行股份有限公司/江苏江南农村商业银行股份有限公司/宁波宁海农村商业银行股份有限公司/中邮邮惠万家银行有限责任公司/兴业银行股份有限公司/浙江平湖农村商业银行股份有限公司/浙江永康农村商业银行股份有限公司/上海银行股份有限公司/浙江江山农村商业银行股份有限公司/浙江新昌农村商业银行股份有限公司/广州银行股份有限公司/金华银行股份有限公司/浙江桐庐农村商业银行股份有限公司/福建海峡银行股份有限公司/苏银理财有限责任公司/浙江绍兴瑞丰农村商业银行股份有限公司/浙江嘉善农村商业银行股份有限公司/浙江舟山定海海洋农村商业银行股份有限公司/九江银行股份有限公司/潍坊银行股份有限公司/江苏昆山农村商业银行股份有限公司/广州农村商业银行股份有限公司/浙江安吉农村商业银行股份有限公司/浙江德清农村商业银行股份有限公司/广西北部湾银行股份有限公司/柳州银行股份有限公司/交通银行股份有限公司/浙江淳安农村商业银行股份有限公司/浙江临安农村商业银行股份有限公司/广东南粤银行股份有限公司/上海浦东发展银行股份有限公司/苏州银行股份有限公司/浙江永嘉农村商业银行股份有限公司/浙江海宁农村商业银行股份有限公司/台州银行股份有限公司/浙江温岭农村商业银行股份有限公司/浙江富阳农村商业银行股份有限公司/莱商银行股份有限公司/杭州联合农村商业银行股份有限公司/宁波通商银行股份有限公司/深圳农村商业银行股份有限公司/浙江瑞安农村商业银行股份有限公司/浙江禾城农村商业银行股份有限公司/浙江东阳农村商业银行股份有限公司/甘肃银行股份有限公司/华侨银行有限公司/浙江乐清农村商业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G2份额：苏州银行股份有限公司/厦门国际银行股份有限公司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H2份额：苏银理财有限责任公司/江苏江南农村商业银行股份有限公司/深圳农村商业银行股份有限公司</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W2份额：苏银理财有限责任公司/浙江网商银行股份有限公司</w:t>
      </w:r>
    </w:p>
    <w:p>
      <w:pPr>
        <w:numPr>
          <w:ilvl w:val="0"/>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J2份额：苏银理财有限责任公司/江苏太仓农村商业银行股份有限公司</w:t>
      </w:r>
    </w:p>
    <w:p>
      <w:pPr>
        <w:numPr>
          <w:ilvl w:val="0"/>
          <w:numId w:val="2"/>
        </w:numPr>
        <w:shd w:val="clear" w:color="auto" w:fill="auto"/>
        <w:tabs>
          <w:tab w:val="left" w:pos="1134"/>
        </w:tabs>
        <w:ind w:firstLine="422" w:firstLineChars="200"/>
        <w:outlineLvl w:val="1"/>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numPr>
          <w:ilvl w:val="0"/>
          <w:numId w:val="0"/>
        </w:numPr>
        <w:tabs>
          <w:tab w:val="left" w:pos="851"/>
        </w:tabs>
        <w:ind w:firstLine="420" w:firstLineChars="200"/>
        <w:rPr>
          <w:rFonts w:hint="eastAsia" w:ascii="楷体" w:hAnsi="楷体" w:eastAsia="楷体" w:cs="Calibri"/>
          <w:sz w:val="21"/>
          <w:szCs w:val="21"/>
          <w:highlight w:val="none"/>
        </w:rPr>
      </w:pPr>
      <w:r>
        <w:rPr>
          <w:rFonts w:hint="eastAsia" w:ascii="楷体" w:hAnsi="楷体" w:eastAsia="楷体" w:cs="Calibri"/>
          <w:kern w:val="2"/>
          <w:sz w:val="21"/>
          <w:szCs w:val="21"/>
          <w:highlight w:val="none"/>
          <w:lang w:val="en-US" w:eastAsia="zh-CN"/>
        </w:rPr>
        <w:t>9.</w:t>
      </w: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numPr>
          <w:ilvl w:val="0"/>
          <w:numId w:val="5"/>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numPr>
          <w:ilvl w:val="0"/>
          <w:numId w:val="5"/>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numPr>
          <w:ilvl w:val="0"/>
          <w:numId w:val="5"/>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份额登记日/份额确认日：指管理人对投资者提交的</w:t>
      </w:r>
      <w:r>
        <w:rPr>
          <w:rFonts w:hint="eastAsia" w:ascii="楷体" w:hAnsi="楷体" w:eastAsia="楷体" w:cs="Calibri"/>
          <w:sz w:val="21"/>
          <w:szCs w:val="21"/>
          <w:highlight w:val="none"/>
          <w:lang w:val="en-US" w:eastAsia="zh-CN"/>
        </w:rPr>
        <w:t>购买</w:t>
      </w:r>
      <w:r>
        <w:rPr>
          <w:rFonts w:hint="eastAsia" w:ascii="楷体" w:hAnsi="楷体" w:eastAsia="楷体" w:cs="Calibri"/>
          <w:sz w:val="21"/>
          <w:szCs w:val="21"/>
          <w:highlight w:val="none"/>
        </w:rPr>
        <w:t>申请进行份额登记的日期。</w:t>
      </w:r>
    </w:p>
    <w:p>
      <w:pPr>
        <w:numPr>
          <w:ilvl w:val="0"/>
          <w:numId w:val="5"/>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numPr>
          <w:ilvl w:val="0"/>
          <w:numId w:val="5"/>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numPr>
          <w:ilvl w:val="0"/>
          <w:numId w:val="5"/>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rPr>
        <w:t>投资管理</w:t>
      </w:r>
    </w:p>
    <w:p>
      <w:pPr>
        <w:numPr>
          <w:ilvl w:val="0"/>
          <w:numId w:val="6"/>
        </w:numPr>
        <w:tabs>
          <w:tab w:val="left" w:pos="993"/>
        </w:tabs>
        <w:ind w:left="0" w:firstLine="422" w:firstLineChars="200"/>
        <w:outlineLvl w:val="2"/>
        <w:rPr>
          <w:rFonts w:ascii="楷体" w:hAnsi="楷体" w:eastAsia="楷体"/>
          <w:b/>
          <w:bCs/>
          <w:sz w:val="21"/>
          <w:szCs w:val="21"/>
          <w:highlight w:val="none"/>
        </w:rPr>
      </w:pPr>
      <w:r>
        <w:rPr>
          <w:rFonts w:hint="eastAsia" w:ascii="楷体" w:hAnsi="楷体" w:eastAsia="楷体"/>
          <w:b/>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债券类资产、债权类资产和监管机构允许投资的其他资产。具体资产投资比例为：货币市场工具、债券以及符合监管要求的债权类资产占产品资产总值比例为80%-100%；符合监管要求的其他资产占产品资产总值比例0%-20%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其中现金或者到期日在一年以内的国债、中央银行票据和政策性金融债券不低于产品净资产的5%。流动性受限资产的市值在开放日不得超过该产品资产净值的15%。在开放日前一工作日内，7个工作日可变现资产的可变现价值不低于该产品资产净值的10%。每日确认且需当日支付的净赎回申请不超过前一工作日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2" w:firstLineChars="200"/>
        <w:outlineLvl w:val="2"/>
        <w:rPr>
          <w:rFonts w:hint="eastAsia" w:ascii="楷体" w:hAnsi="楷体" w:eastAsia="楷体"/>
          <w:b/>
          <w:bCs/>
          <w:sz w:val="21"/>
          <w:szCs w:val="21"/>
          <w:highlight w:val="none"/>
          <w:lang w:val="en-US" w:eastAsia="zh-CN"/>
        </w:rPr>
      </w:pPr>
      <w:r>
        <w:rPr>
          <w:rFonts w:hint="eastAsia" w:ascii="楷体" w:hAnsi="楷体" w:eastAsia="楷体"/>
          <w:b/>
          <w:bCs/>
          <w:sz w:val="21"/>
          <w:szCs w:val="21"/>
          <w:highlight w:val="none"/>
          <w:lang w:val="en-US" w:eastAsia="zh-CN"/>
        </w:rPr>
        <w:t>投资合作机构</w:t>
      </w:r>
    </w:p>
    <w:p>
      <w:p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苏豪</w:t>
      </w:r>
      <w:r>
        <w:rPr>
          <w:rFonts w:hint="eastAsia" w:ascii="楷体" w:hAnsi="楷体" w:eastAsia="楷体"/>
          <w:color w:val="auto"/>
          <w:sz w:val="21"/>
          <w:szCs w:val="21"/>
          <w:highlight w:val="none"/>
        </w:rPr>
        <w:t>弘业期货股份有限公司: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创金合信基金管理有限公司:创金合信基金管理有限公司成立于2014年7月9日，由第一创业证券股份有限公司、深圳市金合信投资合伙企业（有限合伙）共同发起设立，注册地为深圳。</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太平洋资产管理有限责任公司:太平洋资产管理有限责任公司（以下简称“太保资产”）于2006年6月经中国保监会批准成立，由中国太平洋保险（集团）股份有限公司控股，注册资本21亿元。</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中国人保资产管理有限公司:</w:t>
      </w:r>
      <w:r>
        <w:rPr>
          <w:rFonts w:hint="eastAsia" w:ascii="楷体" w:hAnsi="楷体" w:eastAsia="楷体"/>
          <w:color w:val="auto"/>
          <w:sz w:val="21"/>
          <w:szCs w:val="21"/>
          <w:highlight w:val="none"/>
          <w:lang w:val="en-US" w:eastAsia="zh-CN"/>
        </w:rPr>
        <w:t>中国人保资产管理有限公司成立于2003年7月16日，是经国务院同意、原中国保监会批准设立的境内第一家保险资产管理公司，由中国人民保险集团股份有限公司发起。</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大家资产管理有限责任公司:</w:t>
      </w:r>
      <w:r>
        <w:rPr>
          <w:rFonts w:hint="eastAsia" w:ascii="楷体" w:hAnsi="楷体" w:eastAsia="楷体"/>
          <w:color w:val="auto"/>
          <w:sz w:val="21"/>
          <w:szCs w:val="21"/>
          <w:highlight w:val="none"/>
          <w:lang w:val="en-US" w:eastAsia="zh-CN"/>
        </w:rPr>
        <w:t>大家资产管理有限责任公司是大家保险集团旗下专业资产管理公司，公司于2011年5月经原中国保监会批准正式设立，注册资本6亿元人民币，2019年9月18日，经中国银行保险监督管理委员会批准，北京市西城区市场监督管理局核准，名称变更为“大家资产管理有限责任公司”。</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泰康资产管理有限责任公司:</w:t>
      </w:r>
      <w:r>
        <w:rPr>
          <w:rFonts w:hint="eastAsia" w:ascii="楷体" w:hAnsi="楷体" w:eastAsia="楷体"/>
          <w:color w:val="auto"/>
          <w:sz w:val="21"/>
          <w:szCs w:val="21"/>
          <w:highlight w:val="none"/>
          <w:lang w:val="en-US" w:eastAsia="zh-CN"/>
        </w:rPr>
        <w:t>泰康资产管理有限责任公司成立于2006年，注册资本10亿元，是泰康保险集团子公司。截至2021年12月31日，公司管理资产总规模超过27000亿元。</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南方基金管理股份有限公司:南方基金管理股份有限公司成立于1998年3月6日，是经中国证监会批准成立的国内首批规范的基金管理公司之一。</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华润深国投信托有限公司:华润信托于1982年8月24日成立，原名为深圳市信托投资公司，注册资本人民币5,813万元。目前，公司注册资本人民币110亿元，华润金控投资有限公司持有公司51%股权，深圳市投资控股有限公司持有公司49%股权。</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永诚保险资产管理有限公司:永诚保险资产管理有限公司（简称“永诚资产”）是由永诚财产保险股份有限公司全资发起组建的保险资产管理公司，公司注册于浙江省宁波市，注册资本金为人民币3亿元</w:t>
      </w:r>
      <w:r>
        <w:rPr>
          <w:rFonts w:hint="eastAsia" w:ascii="楷体" w:hAnsi="楷体" w:eastAsia="楷体"/>
          <w:color w:val="auto"/>
          <w:sz w:val="21"/>
          <w:szCs w:val="21"/>
          <w:highlight w:val="none"/>
          <w:lang w:eastAsia="zh-CN"/>
        </w:rPr>
        <w:t>。</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英大保险资产管理有限公司: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国联证券资产管理有限公司:国联证券资产管理有限公司（以下简称“公司”或“国联证券资管”）为国联</w:t>
      </w:r>
      <w:r>
        <w:rPr>
          <w:rFonts w:hint="eastAsia" w:ascii="楷体" w:hAnsi="楷体" w:eastAsia="楷体"/>
          <w:color w:val="auto"/>
          <w:sz w:val="21"/>
          <w:szCs w:val="21"/>
          <w:highlight w:val="none"/>
          <w:lang w:val="en-US" w:eastAsia="zh-CN"/>
        </w:rPr>
        <w:t>民生</w:t>
      </w:r>
      <w:r>
        <w:rPr>
          <w:rFonts w:hint="eastAsia" w:ascii="楷体" w:hAnsi="楷体" w:eastAsia="楷体"/>
          <w:color w:val="auto"/>
          <w:sz w:val="21"/>
          <w:szCs w:val="21"/>
          <w:highlight w:val="none"/>
        </w:rPr>
        <w:t>证券股份有限公司全资子公司，2023年09月20日完成注册登记，2024年05月23日正式揭牌运营。公司注册地在青岛，注册资本100000万元人民币。</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紫金信托有限责任公司:紫金信托是江苏省第4家信托公司,其前身是南京市信托投资公司,2010年2月经银监会批准,以南京资金投资控股公司为主导,引入日本住友信托银行、三胞集团、南京高新技术经济开发总公司和江苏金智科技股份有限公司等四家战略投资者重组而成。2010年10月经银监会批准更名为紫金信托有限责任公司。</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长城财富保险资产管理股份有限公司</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中诚信托有限责任公司</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中诚信托有限责任公司成立于1995年11月20日，是中国银行保险监督管理委员会核准的国有控股金融机构，注册资本48.5亿元，前三大股东分别为中国人民保险集团股份有限公司、国华能源投资有限公司和山东能源集团有限公司。</w:t>
      </w:r>
    </w:p>
    <w:p>
      <w:pPr>
        <w:numPr>
          <w:ilvl w:val="0"/>
          <w:numId w:val="7"/>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lang w:val="en-US" w:eastAsia="zh-CN"/>
        </w:rPr>
        <w:t>长江养老保险股份有限公司:长江养老保险股份有限公司是中国太平洋保险（集团）股份有限公司旗下专业开展养老及相关资产管理业务的子公司。公司成立于2007年5月，由11家大型央企和上海国资企业共同发起设立，总部位于上海。截至2023年底，公司管理资产规模突破1.1万亿元，管理资金包括基本养老保险基金、企业年金基金、职业年金基金、个人税延养老保险和专属商业养老保险资金以及其他养老相关资金。公司在养老金投资方面努力实现长期与短期、绝对与相对、收益与风险的平衡，追求绝对收益上的相对收益。公司积极推动养老金管理与社会经济发展的良性互动，持续引导长期资金服务国家战略、支持实体经济发展。</w:t>
      </w:r>
    </w:p>
    <w:p>
      <w:pPr>
        <w:numPr>
          <w:ilvl w:val="0"/>
          <w:numId w:val="7"/>
        </w:numPr>
        <w:ind w:firstLine="420" w:firstLineChars="200"/>
        <w:rPr>
          <w:rFonts w:hint="eastAsia" w:ascii="楷体" w:hAnsi="楷体" w:eastAsia="楷体"/>
          <w:color w:val="auto"/>
          <w:sz w:val="21"/>
          <w:szCs w:val="21"/>
          <w:highlight w:val="none"/>
          <w:lang w:val="en-US" w:eastAsia="zh-CN"/>
        </w:rPr>
      </w:pPr>
      <w:r>
        <w:rPr>
          <w:rFonts w:hint="eastAsia" w:ascii="楷体" w:hAnsi="楷体" w:eastAsia="楷体"/>
          <w:color w:val="auto"/>
          <w:sz w:val="21"/>
          <w:szCs w:val="21"/>
          <w:highlight w:val="none"/>
          <w:lang w:val="en-US" w:eastAsia="zh-CN"/>
        </w:rPr>
        <w:t>华鑫证券有限责任公司: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21）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numPr>
          <w:ilvl w:val="0"/>
          <w:numId w:val="6"/>
        </w:numPr>
        <w:tabs>
          <w:tab w:val="left" w:pos="993"/>
        </w:tabs>
        <w:ind w:left="0" w:firstLine="422" w:firstLineChars="200"/>
        <w:outlineLvl w:val="2"/>
        <w:rPr>
          <w:rFonts w:hint="eastAsia" w:ascii="楷体" w:hAnsi="楷体" w:eastAsia="楷体"/>
          <w:b/>
          <w:bCs/>
          <w:sz w:val="21"/>
          <w:szCs w:val="21"/>
          <w:highlight w:val="none"/>
          <w:lang w:val="en-US" w:eastAsia="zh-CN"/>
        </w:rPr>
      </w:pPr>
      <w:r>
        <w:rPr>
          <w:rFonts w:hint="eastAsia" w:ascii="楷体" w:hAnsi="楷体" w:eastAsia="楷体"/>
          <w:b/>
          <w:bCs/>
          <w:sz w:val="21"/>
          <w:szCs w:val="21"/>
          <w:highlight w:val="none"/>
          <w:lang w:val="en-US" w:eastAsia="zh-CN"/>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ind w:firstLine="420" w:firstLineChars="200"/>
        <w:textAlignment w:val="auto"/>
        <w:rPr>
          <w:rFonts w:hint="eastAsia"/>
          <w:highlight w:val="none"/>
          <w:lang w:val="en-US" w:eastAsia="zh-CN"/>
        </w:rPr>
      </w:pPr>
      <w:r>
        <w:rPr>
          <w:rFonts w:hint="eastAsia" w:ascii="楷体" w:hAnsi="楷体" w:eastAsia="楷体"/>
          <w:color w:val="auto"/>
          <w:sz w:val="21"/>
          <w:szCs w:val="21"/>
          <w:highlight w:val="none"/>
          <w:lang w:val="en-US" w:eastAsia="zh-CN"/>
        </w:rPr>
        <w:t>7.</w:t>
      </w: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2" w:firstLineChars="200"/>
        <w:outlineLvl w:val="2"/>
        <w:rPr>
          <w:rFonts w:hint="eastAsia" w:ascii="楷体" w:hAnsi="楷体" w:eastAsia="楷体"/>
          <w:b/>
          <w:bCs/>
          <w:sz w:val="21"/>
          <w:szCs w:val="21"/>
          <w:highlight w:val="none"/>
        </w:rPr>
      </w:pPr>
      <w:r>
        <w:rPr>
          <w:rFonts w:hint="eastAsia" w:ascii="楷体" w:hAnsi="楷体" w:eastAsia="楷体"/>
          <w:b/>
          <w:bCs/>
          <w:sz w:val="21"/>
          <w:szCs w:val="21"/>
          <w:highlight w:val="none"/>
          <w:lang w:val="en-US" w:eastAsia="zh-CN"/>
        </w:rPr>
        <w:t>投资管理</w:t>
      </w:r>
      <w:r>
        <w:rPr>
          <w:rFonts w:hint="eastAsia" w:ascii="楷体" w:hAnsi="楷体" w:eastAsia="楷体"/>
          <w:b/>
          <w:bCs/>
          <w:sz w:val="21"/>
          <w:szCs w:val="21"/>
          <w:highlight w:val="none"/>
        </w:rPr>
        <w:t>调整</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若法律法规、国家监管政策或市场情况发生变化，</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在不改变产品类型的情况下，可对本说明书中已约定的投资范围、投资品种、投资比例</w:t>
      </w:r>
      <w:r>
        <w:rPr>
          <w:rFonts w:hint="eastAsia" w:ascii="楷体" w:hAnsi="楷体" w:eastAsia="楷体"/>
          <w:sz w:val="21"/>
          <w:szCs w:val="21"/>
          <w:highlight w:val="none"/>
          <w:lang w:val="en-US" w:eastAsia="zh-CN"/>
        </w:rPr>
        <w:t>等事项</w:t>
      </w:r>
      <w:r>
        <w:rPr>
          <w:rFonts w:hint="eastAsia" w:ascii="楷体" w:hAnsi="楷体" w:eastAsia="楷体"/>
          <w:sz w:val="21"/>
          <w:szCs w:val="21"/>
          <w:highlight w:val="none"/>
        </w:rPr>
        <w:t>进行调整，产品管理人将于调整事项生效前2个工作日通过短信</w:t>
      </w:r>
      <w:r>
        <w:rPr>
          <w:rFonts w:hint="eastAsia" w:ascii="楷体" w:hAnsi="楷体" w:eastAsia="楷体"/>
          <w:sz w:val="21"/>
          <w:szCs w:val="21"/>
          <w:highlight w:val="none"/>
          <w:lang w:eastAsia="zh-CN"/>
        </w:rPr>
        <w:t>、</w:t>
      </w:r>
      <w:r>
        <w:rPr>
          <w:rFonts w:hint="eastAsia" w:ascii="楷体" w:hAnsi="楷体" w:eastAsia="楷体"/>
          <w:sz w:val="21"/>
          <w:szCs w:val="21"/>
          <w:highlight w:val="none"/>
        </w:rPr>
        <w:t>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sz w:val="18"/>
          <w:szCs w:val="18"/>
          <w:highlight w:val="none"/>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numPr>
          <w:ilvl w:val="0"/>
          <w:numId w:val="2"/>
        </w:numPr>
        <w:tabs>
          <w:tab w:val="left" w:pos="1134"/>
        </w:tabs>
        <w:ind w:firstLine="422" w:firstLineChars="200"/>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ind w:firstLine="420" w:firstLineChars="200"/>
        <w:rPr>
          <w:rFonts w:hint="eastAsia" w:ascii="楷体" w:hAnsi="楷体" w:eastAsia="楷体"/>
          <w:sz w:val="24"/>
          <w:szCs w:val="24"/>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numPr>
          <w:ilvl w:val="0"/>
          <w:numId w:val="2"/>
        </w:numPr>
        <w:tabs>
          <w:tab w:val="left" w:pos="1134"/>
        </w:tabs>
        <w:ind w:firstLine="422" w:firstLineChars="200"/>
        <w:outlineLvl w:val="0"/>
        <w:rPr>
          <w:rFonts w:hint="eastAsia" w:ascii="楷体" w:hAnsi="楷体" w:eastAsia="楷体"/>
          <w:b/>
          <w:bCs/>
          <w:sz w:val="21"/>
          <w:szCs w:val="21"/>
          <w:highlight w:val="none"/>
        </w:rPr>
      </w:pPr>
      <w:r>
        <w:rPr>
          <w:rFonts w:hint="eastAsia" w:ascii="楷体" w:hAnsi="楷体" w:eastAsia="楷体"/>
          <w:b/>
          <w:sz w:val="21"/>
          <w:szCs w:val="21"/>
          <w:highlight w:val="none"/>
        </w:rPr>
        <w:t>产品申购、赎回</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开放计划</w:t>
      </w:r>
    </w:p>
    <w:p>
      <w:pPr>
        <w:ind w:firstLine="420" w:firstLineChars="200"/>
        <w:rPr>
          <w:rFonts w:hint="eastAsia"/>
          <w:highlight w:val="none"/>
          <w:lang w:val="en-US" w:eastAsia="zh-CN"/>
        </w:rPr>
      </w:pPr>
      <w:r>
        <w:rPr>
          <w:rFonts w:hint="eastAsia" w:ascii="楷体" w:hAnsi="楷体" w:eastAsia="楷体" w:cs="Times New Roman"/>
          <w:sz w:val="21"/>
          <w:szCs w:val="21"/>
          <w:highlight w:val="none"/>
          <w:lang w:val="en-US" w:eastAsia="zh-CN"/>
        </w:rPr>
        <w:t>本产品封闭运作期结束后按月开放，若10日与11日为工作日，则10日为开放日、11日为确认日。开放日前5个工作日（含开放日）开放申购/赎回，投资者在非开放日的申购/赎回申请行为统一视为在开放日提交申购/赎回申请（开放申购/赎回时间以各销售机构设置为准）。若10日或11日为非工作日，则开放日、确认日、投资周期作相应调整，</w:t>
      </w:r>
      <w:r>
        <w:rPr>
          <w:rFonts w:hint="eastAsia" w:ascii="楷体" w:hAnsi="楷体" w:eastAsia="楷体"/>
          <w:sz w:val="21"/>
          <w:szCs w:val="21"/>
          <w:highlight w:val="none"/>
        </w:rPr>
        <w:t>苏银理财将按说明书约定的信息披露方式予以披露，以相关披露内容为准。</w:t>
      </w:r>
      <w:r>
        <w:rPr>
          <w:rFonts w:hint="eastAsia" w:ascii="楷体" w:hAnsi="楷体" w:eastAsia="楷体" w:cs="Times New Roman"/>
          <w:b/>
          <w:sz w:val="21"/>
          <w:szCs w:val="21"/>
          <w:highlight w:val="none"/>
          <w:u w:val="single"/>
        </w:rPr>
        <w:t>其他时间苏银理财不接受客户申购/赎回申请。</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申购、赎回的规则</w:t>
      </w:r>
    </w:p>
    <w:p>
      <w:pPr>
        <w:numPr>
          <w:ilvl w:val="0"/>
          <w:numId w:val="11"/>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numPr>
          <w:ilvl w:val="0"/>
          <w:numId w:val="11"/>
        </w:numPr>
        <w:tabs>
          <w:tab w:val="left" w:pos="728"/>
        </w:tabs>
        <w:ind w:left="0"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w:t>
      </w:r>
      <w:r>
        <w:rPr>
          <w:rFonts w:hint="eastAsia" w:ascii="楷体" w:hAnsi="楷体" w:eastAsia="楷体" w:cs="Calibri"/>
          <w:sz w:val="21"/>
          <w:szCs w:val="21"/>
          <w:highlight w:val="none"/>
          <w:lang w:val="en-US" w:eastAsia="zh-CN"/>
        </w:rPr>
        <w:t>1</w:t>
      </w:r>
      <w:r>
        <w:rPr>
          <w:rFonts w:hint="eastAsia" w:ascii="楷体" w:hAnsi="楷体" w:eastAsia="楷体" w:cs="Calibri"/>
          <w:sz w:val="21"/>
          <w:szCs w:val="21"/>
          <w:highlight w:val="none"/>
        </w:rPr>
        <w:t>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个工作日内到达投资者资金账户。</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巨额赎回</w:t>
      </w:r>
      <w:r>
        <w:rPr>
          <w:rFonts w:hint="eastAsia" w:ascii="楷体" w:hAnsi="楷体" w:eastAsia="楷体" w:cs="Calibri"/>
          <w:b/>
          <w:sz w:val="21"/>
          <w:szCs w:val="21"/>
          <w:highlight w:val="none"/>
          <w:lang w:eastAsia="zh-CN"/>
        </w:rPr>
        <w:t>：</w:t>
      </w:r>
      <w:r>
        <w:rPr>
          <w:rFonts w:hint="eastAsia" w:ascii="楷体" w:hAnsi="楷体" w:eastAsia="楷体" w:cs="Calibri"/>
          <w:b/>
          <w:sz w:val="21"/>
          <w:szCs w:val="21"/>
          <w:highlight w:val="none"/>
          <w:lang w:val="en-US" w:eastAsia="zh-CN"/>
        </w:rPr>
        <w:t>详见“产品要素”</w:t>
      </w:r>
    </w:p>
    <w:p>
      <w:pPr>
        <w:numPr>
          <w:ilvl w:val="0"/>
          <w:numId w:val="10"/>
        </w:numPr>
        <w:tabs>
          <w:tab w:val="left" w:pos="993"/>
        </w:tabs>
        <w:ind w:left="0" w:firstLine="422" w:firstLineChars="200"/>
        <w:outlineLvl w:val="2"/>
        <w:rPr>
          <w:rFonts w:hint="eastAsia" w:ascii="楷体" w:hAnsi="楷体" w:eastAsia="楷体" w:cs="Calibri"/>
          <w:b/>
          <w:sz w:val="21"/>
          <w:szCs w:val="21"/>
          <w:highlight w:val="none"/>
        </w:rPr>
      </w:pPr>
      <w:r>
        <w:rPr>
          <w:rFonts w:hint="eastAsia" w:ascii="楷体" w:hAnsi="楷体" w:eastAsia="楷体" w:cs="Calibri"/>
          <w:b/>
          <w:sz w:val="21"/>
          <w:szCs w:val="21"/>
          <w:highlight w:val="none"/>
        </w:rPr>
        <w:t>特殊情形及处理</w:t>
      </w:r>
    </w:p>
    <w:p>
      <w:pPr>
        <w:ind w:firstLine="422" w:firstLineChars="200"/>
        <w:rPr>
          <w:rFonts w:ascii="楷体" w:hAnsi="楷体" w:eastAsia="楷体"/>
          <w:b/>
          <w:bCs/>
          <w:sz w:val="21"/>
          <w:szCs w:val="21"/>
          <w:highlight w:val="none"/>
        </w:rPr>
      </w:pPr>
      <w:r>
        <w:rPr>
          <w:rFonts w:ascii="楷体" w:hAnsi="楷体" w:eastAsia="楷体"/>
          <w:b/>
          <w:bCs/>
          <w:sz w:val="21"/>
          <w:szCs w:val="21"/>
          <w:highlight w:val="none"/>
        </w:rPr>
        <w:t>1.</w:t>
      </w:r>
      <w:r>
        <w:rPr>
          <w:rFonts w:hint="eastAsia" w:ascii="楷体" w:hAnsi="楷体" w:eastAsia="楷体"/>
          <w:b/>
          <w:bCs/>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2" w:firstLineChars="200"/>
        <w:rPr>
          <w:rFonts w:ascii="楷体" w:hAnsi="楷体" w:eastAsia="楷体"/>
          <w:b/>
          <w:bCs/>
          <w:sz w:val="21"/>
          <w:szCs w:val="21"/>
          <w:highlight w:val="none"/>
        </w:rPr>
      </w:pPr>
      <w:r>
        <w:rPr>
          <w:rFonts w:ascii="楷体" w:hAnsi="楷体" w:eastAsia="楷体"/>
          <w:b/>
          <w:bCs/>
          <w:sz w:val="21"/>
          <w:szCs w:val="21"/>
          <w:highlight w:val="none"/>
        </w:rPr>
        <w:t>2.</w:t>
      </w:r>
      <w:r>
        <w:rPr>
          <w:rFonts w:hint="eastAsia" w:ascii="楷体" w:hAnsi="楷体" w:eastAsia="楷体"/>
          <w:b/>
          <w:bCs/>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rPr>
        <w:t>产品终止</w:t>
      </w:r>
    </w:p>
    <w:p>
      <w:pPr>
        <w:numPr>
          <w:ilvl w:val="0"/>
          <w:numId w:val="12"/>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提前终止</w:t>
      </w:r>
    </w:p>
    <w:p>
      <w:pPr>
        <w:numPr>
          <w:ilvl w:val="0"/>
          <w:numId w:val="0"/>
        </w:numPr>
        <w:ind w:left="0" w:firstLine="420" w:firstLineChars="200"/>
        <w:rPr>
          <w:rFonts w:hint="eastAsia" w:ascii="楷体" w:hAnsi="楷体" w:eastAsia="楷体"/>
          <w:color w:val="auto"/>
          <w:sz w:val="21"/>
          <w:szCs w:val="21"/>
          <w:highlight w:val="none"/>
        </w:rPr>
      </w:pPr>
      <w:r>
        <w:rPr>
          <w:rFonts w:hint="eastAsia" w:ascii="楷体" w:hAnsi="楷体" w:eastAsia="楷体" w:cs="Calibri"/>
          <w:color w:val="auto"/>
          <w:sz w:val="21"/>
          <w:szCs w:val="21"/>
          <w:highlight w:val="none"/>
        </w:rPr>
        <w:t>在理财产品投资运作期间内，投资者无权要求提前终止该理财产品。在理财产品投资运作期间内，</w:t>
      </w:r>
      <w:r>
        <w:rPr>
          <w:rFonts w:hint="eastAsia" w:ascii="楷体" w:hAnsi="楷体" w:eastAsia="楷体" w:cs="Calibri"/>
          <w:color w:val="auto"/>
          <w:sz w:val="21"/>
          <w:szCs w:val="21"/>
          <w:highlight w:val="none"/>
          <w:lang w:val="en-US" w:eastAsia="zh-CN"/>
        </w:rPr>
        <w:t>包括但不限于</w:t>
      </w:r>
      <w:r>
        <w:rPr>
          <w:rFonts w:hint="eastAsia" w:ascii="楷体" w:hAnsi="楷体" w:eastAsia="楷体" w:cs="Calibri"/>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lang w:val="en-US" w:eastAsia="zh-CN"/>
        </w:rPr>
        <w:t>明确产品终止日</w:t>
      </w:r>
      <w:r>
        <w:rPr>
          <w:rFonts w:hint="eastAsia" w:ascii="楷体" w:hAnsi="楷体" w:eastAsia="楷体"/>
          <w:color w:val="auto"/>
          <w:sz w:val="21"/>
          <w:szCs w:val="21"/>
          <w:highlight w:val="none"/>
        </w:rPr>
        <w:t>。</w:t>
      </w:r>
    </w:p>
    <w:p>
      <w:pPr>
        <w:numPr>
          <w:ilvl w:val="0"/>
          <w:numId w:val="12"/>
        </w:numPr>
        <w:tabs>
          <w:tab w:val="left" w:pos="993"/>
        </w:tabs>
        <w:ind w:left="0" w:firstLine="420" w:firstLineChars="200"/>
        <w:rPr>
          <w:rFonts w:hint="eastAsia" w:ascii="楷体" w:hAnsi="楷体" w:eastAsia="楷体" w:cs="Calibri"/>
          <w:b w:val="0"/>
          <w:color w:val="auto"/>
          <w:sz w:val="21"/>
          <w:szCs w:val="21"/>
          <w:highlight w:val="none"/>
        </w:rPr>
      </w:pPr>
      <w:r>
        <w:rPr>
          <w:rFonts w:hint="eastAsia" w:ascii="楷体" w:hAnsi="楷体" w:eastAsia="楷体" w:cs="Calibri"/>
          <w:b w:val="0"/>
          <w:color w:val="auto"/>
          <w:sz w:val="21"/>
          <w:szCs w:val="21"/>
          <w:highlight w:val="none"/>
          <w:lang w:val="en-US" w:eastAsia="zh-CN"/>
        </w:rPr>
        <w:t>正常终止</w:t>
      </w:r>
    </w:p>
    <w:p>
      <w:pPr>
        <w:ind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投资者持有本理财产品至产品到期日，投资者的投资本金和收益（如有）将在产品到期后一次性支付。</w:t>
      </w:r>
    </w:p>
    <w:p>
      <w:pPr>
        <w:numPr>
          <w:ilvl w:val="0"/>
          <w:numId w:val="12"/>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延期</w:t>
      </w:r>
      <w:r>
        <w:rPr>
          <w:rFonts w:hint="eastAsia" w:ascii="楷体" w:hAnsi="楷体" w:eastAsia="楷体" w:cs="Calibri"/>
          <w:color w:val="auto"/>
          <w:sz w:val="21"/>
          <w:szCs w:val="21"/>
          <w:highlight w:val="none"/>
          <w:lang w:val="en-US" w:eastAsia="zh-CN"/>
        </w:rPr>
        <w:t>终止</w:t>
      </w:r>
    </w:p>
    <w:p>
      <w:pPr>
        <w:ind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lang w:eastAsia="zh-CN"/>
        </w:rPr>
        <w:t>，</w:t>
      </w:r>
      <w:r>
        <w:rPr>
          <w:rFonts w:hint="eastAsia" w:ascii="楷体" w:hAnsi="楷体" w:eastAsia="楷体"/>
          <w:color w:val="auto"/>
          <w:sz w:val="21"/>
          <w:szCs w:val="21"/>
          <w:highlight w:val="none"/>
          <w:lang w:val="en-US" w:eastAsia="zh-CN"/>
        </w:rPr>
        <w:t>明确产品终止日</w:t>
      </w:r>
      <w:r>
        <w:rPr>
          <w:rFonts w:hint="eastAsia" w:ascii="楷体" w:hAnsi="楷体" w:eastAsia="楷体" w:cs="Calibri"/>
          <w:color w:val="auto"/>
          <w:sz w:val="21"/>
          <w:szCs w:val="21"/>
          <w:highlight w:val="none"/>
        </w:rPr>
        <w:t>。</w:t>
      </w:r>
    </w:p>
    <w:p>
      <w:pPr>
        <w:numPr>
          <w:ilvl w:val="0"/>
          <w:numId w:val="12"/>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投资者可得资金计算</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投资者可得资金=投资者持有份额×产品到期</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lang w:val="en-US" w:eastAsia="zh-CN"/>
        </w:rPr>
        <w:t>终止）</w:t>
      </w:r>
      <w:r>
        <w:rPr>
          <w:rFonts w:hint="eastAsia" w:ascii="楷体" w:hAnsi="楷体" w:eastAsia="楷体"/>
          <w:color w:val="auto"/>
          <w:sz w:val="21"/>
          <w:szCs w:val="21"/>
          <w:highlight w:val="none"/>
        </w:rPr>
        <w:t>时单位净值</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投资者可得资金以四舍五入的方法保留到小数点后两位。</w:t>
      </w:r>
    </w:p>
    <w:p>
      <w:pPr>
        <w:numPr>
          <w:ilvl w:val="0"/>
          <w:numId w:val="12"/>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终止</w:t>
      </w:r>
      <w:r>
        <w:rPr>
          <w:rFonts w:hint="eastAsia" w:ascii="楷体" w:hAnsi="楷体" w:eastAsia="楷体" w:cs="Calibri"/>
          <w:color w:val="auto"/>
          <w:sz w:val="21"/>
          <w:szCs w:val="21"/>
          <w:highlight w:val="none"/>
        </w:rPr>
        <w:t>清算</w:t>
      </w:r>
    </w:p>
    <w:p>
      <w:pPr>
        <w:numPr>
          <w:ilvl w:val="0"/>
          <w:numId w:val="0"/>
        </w:numPr>
        <w:tabs>
          <w:tab w:val="left" w:pos="728"/>
        </w:tabs>
        <w:ind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numPr>
          <w:ilvl w:val="0"/>
          <w:numId w:val="2"/>
        </w:numPr>
        <w:tabs>
          <w:tab w:val="left" w:pos="1134"/>
        </w:tabs>
        <w:ind w:firstLine="422" w:firstLineChars="200"/>
        <w:outlineLvl w:val="1"/>
        <w:rPr>
          <w:rFonts w:hint="eastAsia" w:ascii="楷体" w:hAnsi="楷体" w:eastAsia="楷体"/>
          <w:b/>
          <w:bCs/>
          <w:sz w:val="21"/>
          <w:szCs w:val="21"/>
          <w:highlight w:val="none"/>
        </w:rPr>
      </w:pPr>
      <w:r>
        <w:rPr>
          <w:rFonts w:hint="eastAsia" w:ascii="楷体" w:hAnsi="楷体" w:eastAsia="楷体"/>
          <w:b/>
          <w:bCs/>
          <w:sz w:val="21"/>
          <w:szCs w:val="21"/>
          <w:highlight w:val="none"/>
          <w:lang w:val="en-US" w:eastAsia="zh-CN"/>
        </w:rPr>
        <w:t>情景示例</w:t>
      </w:r>
    </w:p>
    <w:p>
      <w:pPr>
        <w:tabs>
          <w:tab w:val="left" w:pos="993"/>
        </w:tabs>
        <w:ind w:left="48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以下示例均为假设情况，不代表本产品实际投资业绩。</w:t>
      </w:r>
    </w:p>
    <w:p>
      <w:pPr>
        <w:numPr>
          <w:ilvl w:val="0"/>
          <w:numId w:val="13"/>
        </w:numPr>
        <w:tabs>
          <w:tab w:val="left" w:pos="728"/>
        </w:tabs>
        <w:ind w:left="0" w:firstLine="420" w:firstLineChars="200"/>
        <w:rPr>
          <w:rFonts w:ascii="楷体" w:hAnsi="楷体" w:eastAsia="楷体"/>
          <w:sz w:val="21"/>
          <w:szCs w:val="21"/>
          <w:highlight w:val="none"/>
        </w:rPr>
      </w:pPr>
      <w:r>
        <w:rPr>
          <w:rFonts w:hint="eastAsia" w:ascii="楷体" w:hAnsi="楷体" w:eastAsia="楷体"/>
          <w:sz w:val="21"/>
          <w:szCs w:val="21"/>
          <w:highlight w:val="none"/>
        </w:rPr>
        <w:t>情景一</w:t>
      </w:r>
    </w:p>
    <w:p>
      <w:pPr>
        <w:ind w:firstLine="420" w:firstLineChars="200"/>
        <w:rPr>
          <w:rFonts w:hint="eastAsia" w:ascii="楷体" w:hAnsi="楷体" w:eastAsia="楷体"/>
          <w:sz w:val="21"/>
          <w:szCs w:val="21"/>
          <w:highlight w:val="none"/>
          <w:lang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rPr>
        <w:t>对应申购的开放日产品单位净值</w:t>
      </w:r>
      <w:r>
        <w:rPr>
          <w:rFonts w:ascii="楷体" w:hAnsi="楷体" w:eastAsia="楷体"/>
          <w:sz w:val="21"/>
          <w:szCs w:val="21"/>
          <w:highlight w:val="none"/>
        </w:rPr>
        <w:t>为1.</w:t>
      </w:r>
      <w:r>
        <w:rPr>
          <w:rFonts w:hint="eastAsia" w:ascii="楷体" w:hAnsi="楷体" w:eastAsia="楷体"/>
          <w:sz w:val="21"/>
          <w:szCs w:val="21"/>
          <w:highlight w:val="none"/>
        </w:rPr>
        <w:t>10</w:t>
      </w:r>
      <w:r>
        <w:rPr>
          <w:rFonts w:ascii="楷体" w:hAnsi="楷体" w:eastAsia="楷体"/>
          <w:sz w:val="21"/>
          <w:szCs w:val="21"/>
          <w:highlight w:val="none"/>
        </w:rPr>
        <w:t>0334，</w:t>
      </w:r>
      <w:r>
        <w:rPr>
          <w:rFonts w:hint="eastAsia" w:ascii="楷体" w:hAnsi="楷体" w:eastAsia="楷体"/>
          <w:sz w:val="21"/>
          <w:szCs w:val="21"/>
          <w:highlight w:val="none"/>
        </w:rPr>
        <w:t>客户申购确认份额为9088.15份，投资者后续提交赎回申请，赎回其所持有全部份额，对应赎回开放日产品单位净值为1.120221</w:t>
      </w:r>
      <w:r>
        <w:rPr>
          <w:rFonts w:hint="eastAsia" w:ascii="楷体" w:hAnsi="楷体" w:eastAsia="楷体"/>
          <w:sz w:val="21"/>
          <w:szCs w:val="21"/>
          <w:highlight w:val="non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10</w:t>
      </w:r>
      <w:r>
        <w:rPr>
          <w:rFonts w:ascii="楷体" w:hAnsi="楷体" w:eastAsia="楷体"/>
          <w:sz w:val="21"/>
          <w:szCs w:val="21"/>
          <w:highlight w:val="none"/>
        </w:rPr>
        <w:t>0334</w:t>
      </w:r>
      <w:r>
        <w:rPr>
          <w:rFonts w:hint="eastAsia" w:ascii="楷体" w:hAnsi="楷体" w:eastAsia="楷体"/>
          <w:sz w:val="21"/>
          <w:szCs w:val="21"/>
          <w:highlight w:val="none"/>
        </w:rPr>
        <w:t>=9088.15份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投资者赎回兑付金额=9088.15</w:t>
      </w:r>
      <w:r>
        <w:rPr>
          <w:rFonts w:ascii="楷体" w:hAnsi="楷体" w:eastAsia="楷体"/>
          <w:sz w:val="21"/>
          <w:szCs w:val="21"/>
          <w:highlight w:val="none"/>
        </w:rPr>
        <w:t>×</w:t>
      </w:r>
      <w:r>
        <w:rPr>
          <w:rFonts w:hint="eastAsia" w:ascii="楷体" w:hAnsi="楷体" w:eastAsia="楷体"/>
          <w:sz w:val="21"/>
          <w:szCs w:val="21"/>
          <w:highlight w:val="none"/>
        </w:rPr>
        <w:t>1.120221=10180.74元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10180.74</w:t>
      </w:r>
      <w:r>
        <w:rPr>
          <w:rFonts w:ascii="楷体" w:hAnsi="楷体" w:eastAsia="楷体"/>
          <w:sz w:val="21"/>
          <w:szCs w:val="21"/>
          <w:highlight w:val="none"/>
        </w:rPr>
        <w:t>-</w:t>
      </w:r>
      <w:r>
        <w:rPr>
          <w:rFonts w:hint="eastAsia" w:ascii="楷体" w:hAnsi="楷体" w:eastAsia="楷体"/>
          <w:sz w:val="21"/>
          <w:szCs w:val="21"/>
          <w:highlight w:val="none"/>
        </w:rPr>
        <w:t>10000=180.74元</w:t>
      </w:r>
    </w:p>
    <w:p>
      <w:pPr>
        <w:numPr>
          <w:ilvl w:val="0"/>
          <w:numId w:val="13"/>
        </w:numPr>
        <w:tabs>
          <w:tab w:val="left" w:pos="728"/>
        </w:tabs>
        <w:ind w:left="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情景二</w:t>
      </w:r>
    </w:p>
    <w:p>
      <w:pPr>
        <w:ind w:firstLine="420" w:firstLineChars="200"/>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假定投资者申购10000元，对应申购的开放日产品单位净值为1.100334，客户申购确认份额为9088.15份，投资者后续提交赎回申请，赎回其所持有本产品全部份额，对应赎回开放日产品单位净值为1.094231</w:t>
      </w:r>
      <w:r>
        <w:rPr>
          <w:rFonts w:hint="eastAsia" w:ascii="楷体" w:hAnsi="楷体" w:eastAsia="楷体"/>
          <w:sz w:val="21"/>
          <w:szCs w:val="21"/>
          <w:highlight w:val="non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10</w:t>
      </w:r>
      <w:r>
        <w:rPr>
          <w:rFonts w:ascii="楷体" w:hAnsi="楷体" w:eastAsia="楷体"/>
          <w:sz w:val="21"/>
          <w:szCs w:val="21"/>
          <w:highlight w:val="none"/>
        </w:rPr>
        <w:t>0334</w:t>
      </w:r>
      <w:r>
        <w:rPr>
          <w:rFonts w:hint="eastAsia" w:ascii="楷体" w:hAnsi="楷体" w:eastAsia="楷体"/>
          <w:sz w:val="21"/>
          <w:szCs w:val="21"/>
          <w:highlight w:val="none"/>
        </w:rPr>
        <w:t>=9088.15份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投资者赎回兑付金额=9088.15×1.094231=9944.54元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投资者投资收益金额=9944.54-10000=-55.46元</w:t>
      </w:r>
    </w:p>
    <w:p>
      <w:pPr>
        <w:ind w:firstLine="420" w:firstLineChars="200"/>
        <w:rPr>
          <w:rFonts w:ascii="楷体" w:hAnsi="楷体" w:eastAsia="楷体"/>
          <w:sz w:val="21"/>
          <w:szCs w:val="21"/>
          <w:highlight w:val="none"/>
          <w:u w:val="single"/>
        </w:rPr>
      </w:pPr>
      <w:r>
        <w:rPr>
          <w:rFonts w:hint="eastAsia" w:ascii="楷体" w:hAnsi="楷体" w:eastAsia="楷体"/>
          <w:sz w:val="21"/>
          <w:szCs w:val="21"/>
          <w:highlight w:val="none"/>
        </w:rPr>
        <w:t>投资者投资本理财产品实际亏损55.46元，</w:t>
      </w:r>
      <w:r>
        <w:rPr>
          <w:rFonts w:hint="eastAsia" w:ascii="楷体" w:hAnsi="楷体" w:eastAsia="楷体"/>
          <w:b/>
          <w:sz w:val="21"/>
          <w:szCs w:val="21"/>
          <w:highlight w:val="none"/>
          <w:u w:val="single"/>
        </w:rPr>
        <w:t>在最不利的情况下，投资者可能损失</w:t>
      </w:r>
      <w:r>
        <w:rPr>
          <w:rFonts w:ascii="楷体" w:hAnsi="楷体" w:eastAsia="楷体"/>
          <w:b/>
          <w:sz w:val="21"/>
          <w:szCs w:val="21"/>
          <w:highlight w:val="none"/>
          <w:u w:val="single"/>
        </w:rPr>
        <w:t>100%</w:t>
      </w:r>
      <w:r>
        <w:rPr>
          <w:rFonts w:hint="eastAsia" w:ascii="楷体" w:hAnsi="楷体" w:eastAsia="楷体"/>
          <w:b/>
          <w:sz w:val="21"/>
          <w:szCs w:val="21"/>
          <w:highlight w:val="none"/>
          <w:u w:val="single"/>
        </w:rPr>
        <w:t>本金。</w:t>
      </w:r>
    </w:p>
    <w:p>
      <w:pPr>
        <w:ind w:firstLine="422" w:firstLineChars="200"/>
        <w:rPr>
          <w:rFonts w:hint="eastAsia"/>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422" w:firstLineChars="200"/>
        <w:outlineLvl w:val="1"/>
        <w:rPr>
          <w:rFonts w:hint="eastAsia" w:ascii="楷体" w:hAnsi="楷体" w:eastAsia="楷体"/>
          <w:b/>
          <w:bCs/>
          <w:sz w:val="21"/>
          <w:szCs w:val="21"/>
          <w:highlight w:val="none"/>
          <w:lang w:val="en-US" w:eastAsia="zh-CN"/>
        </w:rPr>
      </w:pPr>
      <w:r>
        <w:rPr>
          <w:rFonts w:hint="eastAsia" w:ascii="楷体" w:hAnsi="楷体" w:eastAsia="楷体"/>
          <w:b/>
          <w:bCs/>
          <w:sz w:val="21"/>
          <w:szCs w:val="21"/>
          <w:highlight w:val="none"/>
          <w:lang w:val="en-US" w:eastAsia="zh-CN"/>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numPr>
          <w:ilvl w:val="0"/>
          <w:numId w:val="14"/>
        </w:numPr>
        <w:tabs>
          <w:tab w:val="left" w:pos="728"/>
        </w:tabs>
        <w:ind w:left="0" w:firstLine="420" w:firstLineChars="200"/>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numPr>
          <w:ilvl w:val="0"/>
          <w:numId w:val="14"/>
        </w:numPr>
        <w:tabs>
          <w:tab w:val="left" w:pos="728"/>
        </w:tabs>
        <w:ind w:left="0" w:firstLine="420" w:firstLineChars="200"/>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numPr>
          <w:ilvl w:val="0"/>
          <w:numId w:val="14"/>
        </w:numPr>
        <w:tabs>
          <w:tab w:val="left" w:pos="728"/>
        </w:tabs>
        <w:ind w:left="0" w:firstLine="420" w:firstLineChars="200"/>
        <w:rPr>
          <w:rFonts w:hint="eastAsia" w:ascii="楷体" w:hAnsi="楷体" w:eastAsia="楷体"/>
          <w:sz w:val="21"/>
          <w:szCs w:val="21"/>
          <w:highlight w:val="none"/>
        </w:rPr>
      </w:pPr>
      <w:r>
        <w:rPr>
          <w:rFonts w:hint="eastAsia" w:ascii="楷体" w:hAnsi="楷体" w:eastAsia="楷体" w:cs="Calibri"/>
          <w:color w:val="auto"/>
          <w:sz w:val="21"/>
          <w:szCs w:val="21"/>
          <w:highlight w:val="none"/>
        </w:rPr>
        <w:t>投资管理费：每日计提，</w:t>
      </w:r>
      <w:r>
        <w:rPr>
          <w:rFonts w:hint="eastAsia" w:ascii="楷体" w:hAnsi="楷体" w:eastAsia="楷体"/>
          <w:sz w:val="21"/>
          <w:szCs w:val="21"/>
          <w:highlight w:val="none"/>
        </w:rPr>
        <w:t>每日应计提的投资管理费＝前一日的产品资产净值×投资管理费率÷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numPr>
          <w:ilvl w:val="0"/>
          <w:numId w:val="1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val="en-US" w:eastAsia="zh-CN"/>
        </w:rPr>
        <w:t>暂无。</w:t>
      </w:r>
    </w:p>
    <w:p>
      <w:pPr>
        <w:numPr>
          <w:ilvl w:val="0"/>
          <w:numId w:val="1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numPr>
          <w:ilvl w:val="0"/>
          <w:numId w:val="14"/>
        </w:numPr>
        <w:tabs>
          <w:tab w:val="left" w:pos="728"/>
        </w:tabs>
        <w:ind w:left="0" w:firstLine="420" w:firstLineChars="200"/>
        <w:rPr>
          <w:rFonts w:hint="eastAsia"/>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numPr>
          <w:ilvl w:val="0"/>
          <w:numId w:val="14"/>
        </w:numPr>
        <w:tabs>
          <w:tab w:val="left" w:pos="728"/>
        </w:tabs>
        <w:ind w:left="0" w:firstLine="420" w:firstLineChars="200"/>
        <w:rPr>
          <w:rFonts w:hint="eastAsia"/>
          <w:highlight w:val="none"/>
        </w:rPr>
      </w:pPr>
      <w:r>
        <w:rPr>
          <w:rFonts w:hint="eastAsia" w:ascii="楷体" w:hAnsi="楷体" w:eastAsia="楷体" w:cs="Calibri"/>
          <w:color w:val="auto"/>
          <w:szCs w:val="21"/>
          <w:highlight w:val="none"/>
        </w:rPr>
        <w:t>本产品不收取认购费用、申购费用、赎回费用。</w:t>
      </w:r>
    </w:p>
    <w:p>
      <w:pPr>
        <w:ind w:firstLine="420" w:firstLineChars="200"/>
        <w:rPr>
          <w:rFonts w:hint="eastAsia"/>
          <w:highlight w:val="none"/>
          <w:lang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w:t>
      </w:r>
      <w:r>
        <w:rPr>
          <w:rFonts w:hint="eastAsia" w:ascii="楷体" w:hAnsi="楷体" w:eastAsia="楷体"/>
          <w:sz w:val="21"/>
          <w:szCs w:val="21"/>
          <w:highlight w:val="none"/>
          <w:lang w:val="en-US" w:eastAsia="zh-CN"/>
        </w:rPr>
        <w:t>产品存续期内管理人有权根据产品运行情况制定费率优惠措施，优惠后实际执行的费率以管理人公告为准。</w:t>
      </w:r>
    </w:p>
    <w:p>
      <w:pPr>
        <w:numPr>
          <w:ilvl w:val="0"/>
          <w:numId w:val="2"/>
        </w:numPr>
        <w:tabs>
          <w:tab w:val="left" w:pos="1134"/>
        </w:tabs>
        <w:ind w:firstLine="422" w:firstLineChars="200"/>
        <w:outlineLvl w:val="1"/>
        <w:rPr>
          <w:rFonts w:ascii="楷体" w:hAnsi="楷体" w:eastAsia="楷体"/>
          <w:b/>
          <w:bCs/>
          <w:sz w:val="21"/>
          <w:szCs w:val="21"/>
          <w:highlight w:val="none"/>
        </w:rPr>
      </w:pPr>
      <w:r>
        <w:rPr>
          <w:rFonts w:hint="eastAsia" w:ascii="楷体" w:hAnsi="楷体" w:eastAsia="楷体"/>
          <w:b/>
          <w:bCs/>
          <w:sz w:val="21"/>
          <w:szCs w:val="21"/>
          <w:highlight w:val="none"/>
        </w:rPr>
        <w:t>产品估值</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6"/>
        </w:numPr>
        <w:tabs>
          <w:tab w:val="left" w:pos="728"/>
        </w:tabs>
        <w:kinsoku/>
        <w:wordWrap/>
        <w:overflowPunct/>
        <w:topLinePunct w:val="0"/>
        <w:bidi w:val="0"/>
        <w:snapToGrid/>
        <w:ind w:left="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6"/>
        </w:numPr>
        <w:tabs>
          <w:tab w:val="left" w:pos="728"/>
        </w:tabs>
        <w:kinsoku/>
        <w:wordWrap/>
        <w:overflowPunct/>
        <w:topLinePunct w:val="0"/>
        <w:bidi w:val="0"/>
        <w:snapToGrid/>
        <w:ind w:left="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权益类资产：按公允价值进行估值，采用市价、第三方估值机构提供的估值价格、合理的估值技术或监管机构认可的其他估值方法进行估值。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7"/>
        </w:numPr>
        <w:tabs>
          <w:tab w:val="left" w:pos="728"/>
        </w:tabs>
        <w:kinsoku/>
        <w:wordWrap/>
        <w:overflowPunct/>
        <w:topLinePunct w:val="0"/>
        <w:bidi w:val="0"/>
        <w:snapToGrid/>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5"/>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ind w:firstLine="420" w:firstLineChars="200"/>
        <w:rPr>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134"/>
        </w:tabs>
        <w:ind w:firstLine="422" w:firstLineChars="200"/>
        <w:outlineLvl w:val="1"/>
        <w:rPr>
          <w:rFonts w:hint="eastAsia" w:ascii="楷体" w:hAnsi="楷体" w:eastAsia="楷体"/>
          <w:b/>
          <w:bCs/>
          <w:sz w:val="21"/>
          <w:szCs w:val="21"/>
          <w:highlight w:val="none"/>
          <w:lang w:val="en-US" w:eastAsia="zh-CN"/>
        </w:rPr>
      </w:pPr>
      <w:r>
        <w:rPr>
          <w:rFonts w:hint="eastAsia" w:ascii="楷体" w:hAnsi="楷体" w:eastAsia="楷体"/>
          <w:b/>
          <w:bCs/>
          <w:sz w:val="21"/>
          <w:szCs w:val="21"/>
          <w:highlight w:val="none"/>
          <w:lang w:val="en-US" w:eastAsia="zh-CN"/>
        </w:rPr>
        <w:t>信息披露</w:t>
      </w:r>
    </w:p>
    <w:p>
      <w:pPr>
        <w:numPr>
          <w:ilvl w:val="0"/>
          <w:numId w:val="18"/>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numPr>
          <w:ilvl w:val="0"/>
          <w:numId w:val="19"/>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9"/>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8"/>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numPr>
          <w:ilvl w:val="0"/>
          <w:numId w:val="20"/>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20"/>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numPr>
          <w:ilvl w:val="0"/>
          <w:numId w:val="20"/>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numPr>
          <w:ilvl w:val="0"/>
          <w:numId w:val="2"/>
        </w:numPr>
        <w:tabs>
          <w:tab w:val="left" w:pos="1134"/>
        </w:tabs>
        <w:ind w:firstLine="422" w:firstLineChars="200"/>
        <w:outlineLvl w:val="1"/>
        <w:rPr>
          <w:rFonts w:hint="eastAsia" w:ascii="楷体" w:hAnsi="楷体" w:eastAsia="楷体"/>
          <w:b/>
          <w:bCs/>
          <w:sz w:val="21"/>
          <w:szCs w:val="21"/>
          <w:highlight w:val="none"/>
          <w:lang w:val="en-US" w:eastAsia="zh-CN"/>
        </w:rPr>
      </w:pPr>
      <w:r>
        <w:rPr>
          <w:rFonts w:hint="eastAsia" w:ascii="楷体" w:hAnsi="楷体" w:eastAsia="楷体"/>
          <w:b/>
          <w:bCs/>
          <w:sz w:val="21"/>
          <w:szCs w:val="21"/>
          <w:highlight w:val="none"/>
          <w:lang w:val="en-US" w:eastAsia="zh-CN"/>
        </w:rPr>
        <w:t>其他</w:t>
      </w:r>
    </w:p>
    <w:p>
      <w:pPr>
        <w:numPr>
          <w:ilvl w:val="0"/>
          <w:numId w:val="21"/>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1"/>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21"/>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rPr>
          <w:rFonts w:hint="eastAsia"/>
        </w:rPr>
      </w:pPr>
      <w:bookmarkStart w:id="0" w:name="_GoBack"/>
      <w:bookmarkEnd w:id="0"/>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3" w:type="default"/>
      <w:footerReference r:id="rId4" w:type="default"/>
      <w:pgSz w:w="11906" w:h="16838"/>
      <w:pgMar w:top="1440" w:right="1134" w:bottom="1440"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0288" behindDoc="0" locked="0" layoutInCell="1" allowOverlap="1">
          <wp:simplePos x="0" y="0"/>
          <wp:positionH relativeFrom="column">
            <wp:posOffset>4990465</wp:posOffset>
          </wp:positionH>
          <wp:positionV relativeFrom="paragraph">
            <wp:posOffset>-123825</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1177B91"/>
    <w:multiLevelType w:val="multilevel"/>
    <w:tmpl w:val="01177B9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10">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3">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DFE056C"/>
    <w:multiLevelType w:val="singleLevel"/>
    <w:tmpl w:val="5DFE056C"/>
    <w:lvl w:ilvl="0" w:tentative="0">
      <w:start w:val="1"/>
      <w:numFmt w:val="decimal"/>
      <w:suff w:val="nothing"/>
      <w:lvlText w:val="（%1）"/>
      <w:lvlJc w:val="left"/>
    </w:lvl>
  </w:abstractNum>
  <w:abstractNum w:abstractNumId="18">
    <w:nsid w:val="67C82A25"/>
    <w:multiLevelType w:val="multilevel"/>
    <w:tmpl w:val="67C82A2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6"/>
  </w:num>
  <w:num w:numId="3">
    <w:abstractNumId w:val="1"/>
  </w:num>
  <w:num w:numId="4">
    <w:abstractNumId w:val="0"/>
  </w:num>
  <w:num w:numId="5">
    <w:abstractNumId w:val="7"/>
  </w:num>
  <w:num w:numId="6">
    <w:abstractNumId w:val="2"/>
  </w:num>
  <w:num w:numId="7">
    <w:abstractNumId w:val="17"/>
  </w:num>
  <w:num w:numId="8">
    <w:abstractNumId w:val="12"/>
  </w:num>
  <w:num w:numId="9">
    <w:abstractNumId w:val="11"/>
  </w:num>
  <w:num w:numId="10">
    <w:abstractNumId w:val="8"/>
  </w:num>
  <w:num w:numId="11">
    <w:abstractNumId w:val="5"/>
  </w:num>
  <w:num w:numId="12">
    <w:abstractNumId w:val="15"/>
  </w:num>
  <w:num w:numId="13">
    <w:abstractNumId w:val="18"/>
  </w:num>
  <w:num w:numId="14">
    <w:abstractNumId w:val="20"/>
  </w:num>
  <w:num w:numId="15">
    <w:abstractNumId w:val="16"/>
  </w:num>
  <w:num w:numId="16">
    <w:abstractNumId w:val="13"/>
  </w:num>
  <w:num w:numId="17">
    <w:abstractNumId w:val="4"/>
  </w:num>
  <w:num w:numId="18">
    <w:abstractNumId w:val="14"/>
  </w:num>
  <w:num w:numId="19">
    <w:abstractNumId w:val="3"/>
  </w:num>
  <w:num w:numId="20">
    <w:abstractNumId w:val="1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E2F"/>
    <w:rsid w:val="00002389"/>
    <w:rsid w:val="00003606"/>
    <w:rsid w:val="000048B0"/>
    <w:rsid w:val="00005B01"/>
    <w:rsid w:val="000101E4"/>
    <w:rsid w:val="0001103A"/>
    <w:rsid w:val="000131EF"/>
    <w:rsid w:val="00013628"/>
    <w:rsid w:val="00014334"/>
    <w:rsid w:val="00015A92"/>
    <w:rsid w:val="00015D58"/>
    <w:rsid w:val="00016232"/>
    <w:rsid w:val="0002052D"/>
    <w:rsid w:val="00020A6F"/>
    <w:rsid w:val="00021007"/>
    <w:rsid w:val="00023BA8"/>
    <w:rsid w:val="000247F9"/>
    <w:rsid w:val="00027E61"/>
    <w:rsid w:val="00027F48"/>
    <w:rsid w:val="0003072E"/>
    <w:rsid w:val="00030D69"/>
    <w:rsid w:val="00031806"/>
    <w:rsid w:val="00031F80"/>
    <w:rsid w:val="00034890"/>
    <w:rsid w:val="0003606E"/>
    <w:rsid w:val="000405B1"/>
    <w:rsid w:val="00043D5F"/>
    <w:rsid w:val="00044CB4"/>
    <w:rsid w:val="000469D0"/>
    <w:rsid w:val="00050975"/>
    <w:rsid w:val="00054854"/>
    <w:rsid w:val="000554B0"/>
    <w:rsid w:val="00060571"/>
    <w:rsid w:val="00061D74"/>
    <w:rsid w:val="00062791"/>
    <w:rsid w:val="00064F2B"/>
    <w:rsid w:val="000656EF"/>
    <w:rsid w:val="00066F56"/>
    <w:rsid w:val="00067074"/>
    <w:rsid w:val="000677EE"/>
    <w:rsid w:val="00071418"/>
    <w:rsid w:val="00071581"/>
    <w:rsid w:val="0007293A"/>
    <w:rsid w:val="00072D1F"/>
    <w:rsid w:val="0007366C"/>
    <w:rsid w:val="00074189"/>
    <w:rsid w:val="00074306"/>
    <w:rsid w:val="00080C2C"/>
    <w:rsid w:val="00081AD6"/>
    <w:rsid w:val="00085378"/>
    <w:rsid w:val="000853F6"/>
    <w:rsid w:val="000867A8"/>
    <w:rsid w:val="00087036"/>
    <w:rsid w:val="00087EDB"/>
    <w:rsid w:val="00093C11"/>
    <w:rsid w:val="00094631"/>
    <w:rsid w:val="00096382"/>
    <w:rsid w:val="0009795C"/>
    <w:rsid w:val="00097F80"/>
    <w:rsid w:val="000A2D2D"/>
    <w:rsid w:val="000A2E68"/>
    <w:rsid w:val="000A45AB"/>
    <w:rsid w:val="000B0078"/>
    <w:rsid w:val="000B1643"/>
    <w:rsid w:val="000B3B58"/>
    <w:rsid w:val="000B3EFD"/>
    <w:rsid w:val="000B659B"/>
    <w:rsid w:val="000B6E9F"/>
    <w:rsid w:val="000C2620"/>
    <w:rsid w:val="000C54ED"/>
    <w:rsid w:val="000C6143"/>
    <w:rsid w:val="000C7382"/>
    <w:rsid w:val="000D35BD"/>
    <w:rsid w:val="000D71CF"/>
    <w:rsid w:val="000D7225"/>
    <w:rsid w:val="000D722C"/>
    <w:rsid w:val="000D774F"/>
    <w:rsid w:val="000E0485"/>
    <w:rsid w:val="000E2E7D"/>
    <w:rsid w:val="000E34F3"/>
    <w:rsid w:val="000E4205"/>
    <w:rsid w:val="000E7CF6"/>
    <w:rsid w:val="000F0433"/>
    <w:rsid w:val="000F1D3C"/>
    <w:rsid w:val="000F35AC"/>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378"/>
    <w:rsid w:val="001126F6"/>
    <w:rsid w:val="00115E7F"/>
    <w:rsid w:val="0011753C"/>
    <w:rsid w:val="00122F58"/>
    <w:rsid w:val="0012352A"/>
    <w:rsid w:val="0012411A"/>
    <w:rsid w:val="001242DE"/>
    <w:rsid w:val="00125B8C"/>
    <w:rsid w:val="0012647A"/>
    <w:rsid w:val="001267AA"/>
    <w:rsid w:val="00130EED"/>
    <w:rsid w:val="00130F7B"/>
    <w:rsid w:val="00131DDF"/>
    <w:rsid w:val="0013364F"/>
    <w:rsid w:val="00133B98"/>
    <w:rsid w:val="0013472F"/>
    <w:rsid w:val="00134733"/>
    <w:rsid w:val="001359ED"/>
    <w:rsid w:val="001377AE"/>
    <w:rsid w:val="00140B25"/>
    <w:rsid w:val="00140ED2"/>
    <w:rsid w:val="001450DF"/>
    <w:rsid w:val="0014734D"/>
    <w:rsid w:val="001516B1"/>
    <w:rsid w:val="00152B36"/>
    <w:rsid w:val="001530B2"/>
    <w:rsid w:val="00153395"/>
    <w:rsid w:val="001543E7"/>
    <w:rsid w:val="00155B77"/>
    <w:rsid w:val="00160569"/>
    <w:rsid w:val="00161E2F"/>
    <w:rsid w:val="001624A3"/>
    <w:rsid w:val="001624DA"/>
    <w:rsid w:val="00162BF5"/>
    <w:rsid w:val="001639CA"/>
    <w:rsid w:val="00165E23"/>
    <w:rsid w:val="00166B3A"/>
    <w:rsid w:val="00170099"/>
    <w:rsid w:val="00170194"/>
    <w:rsid w:val="00170927"/>
    <w:rsid w:val="0017092A"/>
    <w:rsid w:val="00174417"/>
    <w:rsid w:val="001749CF"/>
    <w:rsid w:val="00176B8E"/>
    <w:rsid w:val="00177BCC"/>
    <w:rsid w:val="0018251A"/>
    <w:rsid w:val="001846FB"/>
    <w:rsid w:val="00190736"/>
    <w:rsid w:val="00194E69"/>
    <w:rsid w:val="00197DD9"/>
    <w:rsid w:val="001A05F5"/>
    <w:rsid w:val="001A57DB"/>
    <w:rsid w:val="001A586B"/>
    <w:rsid w:val="001A6EA8"/>
    <w:rsid w:val="001A73F1"/>
    <w:rsid w:val="001B1D26"/>
    <w:rsid w:val="001B1E1E"/>
    <w:rsid w:val="001B2F76"/>
    <w:rsid w:val="001B2F82"/>
    <w:rsid w:val="001B396B"/>
    <w:rsid w:val="001B4B9C"/>
    <w:rsid w:val="001B7D0D"/>
    <w:rsid w:val="001C0786"/>
    <w:rsid w:val="001C13E9"/>
    <w:rsid w:val="001C2C37"/>
    <w:rsid w:val="001C4148"/>
    <w:rsid w:val="001C78FF"/>
    <w:rsid w:val="001D0B29"/>
    <w:rsid w:val="001D1C27"/>
    <w:rsid w:val="001D2A8B"/>
    <w:rsid w:val="001D49AC"/>
    <w:rsid w:val="001D4BC9"/>
    <w:rsid w:val="001D4FE1"/>
    <w:rsid w:val="001D5BF8"/>
    <w:rsid w:val="001D78FF"/>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DF8"/>
    <w:rsid w:val="002024E9"/>
    <w:rsid w:val="002054B3"/>
    <w:rsid w:val="0020639A"/>
    <w:rsid w:val="00210857"/>
    <w:rsid w:val="00211547"/>
    <w:rsid w:val="002119A2"/>
    <w:rsid w:val="0021401C"/>
    <w:rsid w:val="00216172"/>
    <w:rsid w:val="0022162D"/>
    <w:rsid w:val="002222A4"/>
    <w:rsid w:val="0022633B"/>
    <w:rsid w:val="00226F9D"/>
    <w:rsid w:val="00230F4A"/>
    <w:rsid w:val="0023523A"/>
    <w:rsid w:val="002354C6"/>
    <w:rsid w:val="00235E45"/>
    <w:rsid w:val="002366EB"/>
    <w:rsid w:val="0023734F"/>
    <w:rsid w:val="00237FDB"/>
    <w:rsid w:val="0024053C"/>
    <w:rsid w:val="002436C1"/>
    <w:rsid w:val="00243DF5"/>
    <w:rsid w:val="00245106"/>
    <w:rsid w:val="00245D03"/>
    <w:rsid w:val="00247A7D"/>
    <w:rsid w:val="0025150E"/>
    <w:rsid w:val="00252B51"/>
    <w:rsid w:val="00253997"/>
    <w:rsid w:val="0025423C"/>
    <w:rsid w:val="00254A3C"/>
    <w:rsid w:val="00254A8B"/>
    <w:rsid w:val="00256E57"/>
    <w:rsid w:val="0025744E"/>
    <w:rsid w:val="00261876"/>
    <w:rsid w:val="0026641B"/>
    <w:rsid w:val="002672C8"/>
    <w:rsid w:val="00270665"/>
    <w:rsid w:val="00272C53"/>
    <w:rsid w:val="00272E20"/>
    <w:rsid w:val="00273681"/>
    <w:rsid w:val="0027510A"/>
    <w:rsid w:val="002755B0"/>
    <w:rsid w:val="00276883"/>
    <w:rsid w:val="00277C1F"/>
    <w:rsid w:val="00281772"/>
    <w:rsid w:val="002821D7"/>
    <w:rsid w:val="00282F20"/>
    <w:rsid w:val="0029004F"/>
    <w:rsid w:val="00291B84"/>
    <w:rsid w:val="00292B5E"/>
    <w:rsid w:val="002932FC"/>
    <w:rsid w:val="00294431"/>
    <w:rsid w:val="00294B49"/>
    <w:rsid w:val="00295538"/>
    <w:rsid w:val="00297034"/>
    <w:rsid w:val="002A23E0"/>
    <w:rsid w:val="002A2E20"/>
    <w:rsid w:val="002A32DF"/>
    <w:rsid w:val="002A7DF5"/>
    <w:rsid w:val="002A7E94"/>
    <w:rsid w:val="002B0795"/>
    <w:rsid w:val="002B193F"/>
    <w:rsid w:val="002B2620"/>
    <w:rsid w:val="002B3225"/>
    <w:rsid w:val="002B51FD"/>
    <w:rsid w:val="002B5694"/>
    <w:rsid w:val="002C021F"/>
    <w:rsid w:val="002C2056"/>
    <w:rsid w:val="002C23F7"/>
    <w:rsid w:val="002C3367"/>
    <w:rsid w:val="002C4171"/>
    <w:rsid w:val="002C7CB4"/>
    <w:rsid w:val="002D2324"/>
    <w:rsid w:val="002D29FD"/>
    <w:rsid w:val="002D2AEC"/>
    <w:rsid w:val="002D2C1F"/>
    <w:rsid w:val="002D5568"/>
    <w:rsid w:val="002E1382"/>
    <w:rsid w:val="002E6F55"/>
    <w:rsid w:val="002F0E4E"/>
    <w:rsid w:val="002F2C0C"/>
    <w:rsid w:val="002F344B"/>
    <w:rsid w:val="002F709A"/>
    <w:rsid w:val="002F77A8"/>
    <w:rsid w:val="00301619"/>
    <w:rsid w:val="00301AD3"/>
    <w:rsid w:val="00302755"/>
    <w:rsid w:val="00305A15"/>
    <w:rsid w:val="00306353"/>
    <w:rsid w:val="00306D41"/>
    <w:rsid w:val="00307094"/>
    <w:rsid w:val="00307342"/>
    <w:rsid w:val="00310A72"/>
    <w:rsid w:val="00311C18"/>
    <w:rsid w:val="0031298C"/>
    <w:rsid w:val="00313D52"/>
    <w:rsid w:val="00314235"/>
    <w:rsid w:val="00315340"/>
    <w:rsid w:val="0032607C"/>
    <w:rsid w:val="00326E7B"/>
    <w:rsid w:val="0033166C"/>
    <w:rsid w:val="003333F1"/>
    <w:rsid w:val="0033358A"/>
    <w:rsid w:val="003342B8"/>
    <w:rsid w:val="0033504B"/>
    <w:rsid w:val="003362C7"/>
    <w:rsid w:val="00336711"/>
    <w:rsid w:val="00336A5A"/>
    <w:rsid w:val="00336BF1"/>
    <w:rsid w:val="00337AA0"/>
    <w:rsid w:val="00342ADB"/>
    <w:rsid w:val="00343B0F"/>
    <w:rsid w:val="00347006"/>
    <w:rsid w:val="00347D0D"/>
    <w:rsid w:val="003503AE"/>
    <w:rsid w:val="00351D8C"/>
    <w:rsid w:val="0035213A"/>
    <w:rsid w:val="00353419"/>
    <w:rsid w:val="00355D35"/>
    <w:rsid w:val="00360094"/>
    <w:rsid w:val="003627FB"/>
    <w:rsid w:val="00362826"/>
    <w:rsid w:val="0036403D"/>
    <w:rsid w:val="0036455C"/>
    <w:rsid w:val="00366074"/>
    <w:rsid w:val="00367122"/>
    <w:rsid w:val="0037083D"/>
    <w:rsid w:val="00372402"/>
    <w:rsid w:val="003726C4"/>
    <w:rsid w:val="00375BEB"/>
    <w:rsid w:val="003800B4"/>
    <w:rsid w:val="003809E0"/>
    <w:rsid w:val="003814E2"/>
    <w:rsid w:val="00381E88"/>
    <w:rsid w:val="003821F9"/>
    <w:rsid w:val="003827CD"/>
    <w:rsid w:val="00383A99"/>
    <w:rsid w:val="00383D6D"/>
    <w:rsid w:val="003852EF"/>
    <w:rsid w:val="003870EE"/>
    <w:rsid w:val="00393452"/>
    <w:rsid w:val="00394C2C"/>
    <w:rsid w:val="00396F85"/>
    <w:rsid w:val="0039723A"/>
    <w:rsid w:val="003A1CB9"/>
    <w:rsid w:val="003A27B8"/>
    <w:rsid w:val="003A3D8C"/>
    <w:rsid w:val="003A539D"/>
    <w:rsid w:val="003A5FA1"/>
    <w:rsid w:val="003A7623"/>
    <w:rsid w:val="003B324C"/>
    <w:rsid w:val="003B5326"/>
    <w:rsid w:val="003B6220"/>
    <w:rsid w:val="003B7651"/>
    <w:rsid w:val="003B76DC"/>
    <w:rsid w:val="003C1E93"/>
    <w:rsid w:val="003C596C"/>
    <w:rsid w:val="003D03AF"/>
    <w:rsid w:val="003D07CA"/>
    <w:rsid w:val="003D1FE5"/>
    <w:rsid w:val="003D3735"/>
    <w:rsid w:val="003D5148"/>
    <w:rsid w:val="003D6081"/>
    <w:rsid w:val="003D6720"/>
    <w:rsid w:val="003D6B3F"/>
    <w:rsid w:val="003D7951"/>
    <w:rsid w:val="003E030F"/>
    <w:rsid w:val="003E1EFB"/>
    <w:rsid w:val="003E2B26"/>
    <w:rsid w:val="003E2F60"/>
    <w:rsid w:val="003E4299"/>
    <w:rsid w:val="003E70B9"/>
    <w:rsid w:val="003E7812"/>
    <w:rsid w:val="003F2136"/>
    <w:rsid w:val="003F277A"/>
    <w:rsid w:val="003F31E6"/>
    <w:rsid w:val="003F40F9"/>
    <w:rsid w:val="003F4C40"/>
    <w:rsid w:val="003F52FE"/>
    <w:rsid w:val="003F580D"/>
    <w:rsid w:val="003F61D7"/>
    <w:rsid w:val="00401F3A"/>
    <w:rsid w:val="0040272E"/>
    <w:rsid w:val="00402EA0"/>
    <w:rsid w:val="004041C9"/>
    <w:rsid w:val="004079CC"/>
    <w:rsid w:val="004106A7"/>
    <w:rsid w:val="00412823"/>
    <w:rsid w:val="0041382E"/>
    <w:rsid w:val="00413D00"/>
    <w:rsid w:val="00414410"/>
    <w:rsid w:val="00414992"/>
    <w:rsid w:val="0041506E"/>
    <w:rsid w:val="00416ED0"/>
    <w:rsid w:val="004175B0"/>
    <w:rsid w:val="00421C9B"/>
    <w:rsid w:val="00426041"/>
    <w:rsid w:val="00426CBC"/>
    <w:rsid w:val="0043002F"/>
    <w:rsid w:val="004303B3"/>
    <w:rsid w:val="00430927"/>
    <w:rsid w:val="0043308A"/>
    <w:rsid w:val="00433113"/>
    <w:rsid w:val="0043673C"/>
    <w:rsid w:val="00437DA0"/>
    <w:rsid w:val="004412CE"/>
    <w:rsid w:val="00442603"/>
    <w:rsid w:val="00444898"/>
    <w:rsid w:val="00445E88"/>
    <w:rsid w:val="00447FD0"/>
    <w:rsid w:val="00453254"/>
    <w:rsid w:val="0045366F"/>
    <w:rsid w:val="00453891"/>
    <w:rsid w:val="00453F4D"/>
    <w:rsid w:val="00455D49"/>
    <w:rsid w:val="00455DF1"/>
    <w:rsid w:val="00460F22"/>
    <w:rsid w:val="004624E7"/>
    <w:rsid w:val="0046446A"/>
    <w:rsid w:val="004645D0"/>
    <w:rsid w:val="00464A97"/>
    <w:rsid w:val="00464FA6"/>
    <w:rsid w:val="004651E5"/>
    <w:rsid w:val="00466053"/>
    <w:rsid w:val="004676E4"/>
    <w:rsid w:val="0046796E"/>
    <w:rsid w:val="004707EC"/>
    <w:rsid w:val="00470F11"/>
    <w:rsid w:val="0047173F"/>
    <w:rsid w:val="004722FE"/>
    <w:rsid w:val="00472A2C"/>
    <w:rsid w:val="00473397"/>
    <w:rsid w:val="004739B2"/>
    <w:rsid w:val="004761F8"/>
    <w:rsid w:val="0047624F"/>
    <w:rsid w:val="00476551"/>
    <w:rsid w:val="00476764"/>
    <w:rsid w:val="00477506"/>
    <w:rsid w:val="00477994"/>
    <w:rsid w:val="00480ED0"/>
    <w:rsid w:val="00481CB0"/>
    <w:rsid w:val="00482CC2"/>
    <w:rsid w:val="004835E4"/>
    <w:rsid w:val="00484CF0"/>
    <w:rsid w:val="004856F7"/>
    <w:rsid w:val="00487169"/>
    <w:rsid w:val="00490539"/>
    <w:rsid w:val="004907EE"/>
    <w:rsid w:val="004910C2"/>
    <w:rsid w:val="00491342"/>
    <w:rsid w:val="00491B25"/>
    <w:rsid w:val="004925DF"/>
    <w:rsid w:val="004929D1"/>
    <w:rsid w:val="00492F40"/>
    <w:rsid w:val="004939CA"/>
    <w:rsid w:val="00497D5C"/>
    <w:rsid w:val="004A243A"/>
    <w:rsid w:val="004A2756"/>
    <w:rsid w:val="004A49CD"/>
    <w:rsid w:val="004A4AED"/>
    <w:rsid w:val="004A58D1"/>
    <w:rsid w:val="004A5E88"/>
    <w:rsid w:val="004A65C0"/>
    <w:rsid w:val="004A6C11"/>
    <w:rsid w:val="004B1E66"/>
    <w:rsid w:val="004B4001"/>
    <w:rsid w:val="004B4B39"/>
    <w:rsid w:val="004B6A4D"/>
    <w:rsid w:val="004B6EA9"/>
    <w:rsid w:val="004B735F"/>
    <w:rsid w:val="004B77FF"/>
    <w:rsid w:val="004C0F0C"/>
    <w:rsid w:val="004C1C90"/>
    <w:rsid w:val="004C49FA"/>
    <w:rsid w:val="004C4C9B"/>
    <w:rsid w:val="004C7C47"/>
    <w:rsid w:val="004D0388"/>
    <w:rsid w:val="004D0478"/>
    <w:rsid w:val="004D0A93"/>
    <w:rsid w:val="004D20F5"/>
    <w:rsid w:val="004D34DD"/>
    <w:rsid w:val="004D382B"/>
    <w:rsid w:val="004D3B10"/>
    <w:rsid w:val="004D6E8F"/>
    <w:rsid w:val="004D73A7"/>
    <w:rsid w:val="004D7BA3"/>
    <w:rsid w:val="004E3C6A"/>
    <w:rsid w:val="004E645B"/>
    <w:rsid w:val="004F3AC9"/>
    <w:rsid w:val="004F3E60"/>
    <w:rsid w:val="004F46F0"/>
    <w:rsid w:val="004F4F78"/>
    <w:rsid w:val="004F55EC"/>
    <w:rsid w:val="004F6EFB"/>
    <w:rsid w:val="005013A2"/>
    <w:rsid w:val="0050386F"/>
    <w:rsid w:val="00510526"/>
    <w:rsid w:val="00510823"/>
    <w:rsid w:val="0051208D"/>
    <w:rsid w:val="005156DD"/>
    <w:rsid w:val="00515789"/>
    <w:rsid w:val="00516DA1"/>
    <w:rsid w:val="005201F1"/>
    <w:rsid w:val="00520ACC"/>
    <w:rsid w:val="00520B0B"/>
    <w:rsid w:val="005212D4"/>
    <w:rsid w:val="0052415B"/>
    <w:rsid w:val="005266CB"/>
    <w:rsid w:val="00527FBD"/>
    <w:rsid w:val="0053069A"/>
    <w:rsid w:val="005308B0"/>
    <w:rsid w:val="0053429F"/>
    <w:rsid w:val="0053444E"/>
    <w:rsid w:val="0053510C"/>
    <w:rsid w:val="005362B4"/>
    <w:rsid w:val="0053633A"/>
    <w:rsid w:val="0053722E"/>
    <w:rsid w:val="005400DC"/>
    <w:rsid w:val="00540475"/>
    <w:rsid w:val="00542CCA"/>
    <w:rsid w:val="0054309D"/>
    <w:rsid w:val="005436F3"/>
    <w:rsid w:val="00544451"/>
    <w:rsid w:val="005449D5"/>
    <w:rsid w:val="00544A6C"/>
    <w:rsid w:val="00551427"/>
    <w:rsid w:val="00551C0A"/>
    <w:rsid w:val="00554430"/>
    <w:rsid w:val="00554BE4"/>
    <w:rsid w:val="00560551"/>
    <w:rsid w:val="00561FE9"/>
    <w:rsid w:val="00562804"/>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C4D"/>
    <w:rsid w:val="00597498"/>
    <w:rsid w:val="0059767A"/>
    <w:rsid w:val="005A6007"/>
    <w:rsid w:val="005A6752"/>
    <w:rsid w:val="005A6DE4"/>
    <w:rsid w:val="005A7236"/>
    <w:rsid w:val="005B08B3"/>
    <w:rsid w:val="005B0F07"/>
    <w:rsid w:val="005B12CC"/>
    <w:rsid w:val="005B16D7"/>
    <w:rsid w:val="005B1BB5"/>
    <w:rsid w:val="005B3AC2"/>
    <w:rsid w:val="005B62FA"/>
    <w:rsid w:val="005B6576"/>
    <w:rsid w:val="005B77A9"/>
    <w:rsid w:val="005C09F1"/>
    <w:rsid w:val="005C153E"/>
    <w:rsid w:val="005C1CF3"/>
    <w:rsid w:val="005C37A8"/>
    <w:rsid w:val="005C3B0D"/>
    <w:rsid w:val="005C4B2D"/>
    <w:rsid w:val="005C5BC2"/>
    <w:rsid w:val="005C72E9"/>
    <w:rsid w:val="005C79F4"/>
    <w:rsid w:val="005D4D03"/>
    <w:rsid w:val="005D5292"/>
    <w:rsid w:val="005D5470"/>
    <w:rsid w:val="005D637B"/>
    <w:rsid w:val="005E14F6"/>
    <w:rsid w:val="005E162C"/>
    <w:rsid w:val="005E26A1"/>
    <w:rsid w:val="005E2D33"/>
    <w:rsid w:val="005E3431"/>
    <w:rsid w:val="005E494F"/>
    <w:rsid w:val="005E5312"/>
    <w:rsid w:val="005E588E"/>
    <w:rsid w:val="005E5F0F"/>
    <w:rsid w:val="005F0E22"/>
    <w:rsid w:val="005F1604"/>
    <w:rsid w:val="005F24F4"/>
    <w:rsid w:val="005F2903"/>
    <w:rsid w:val="005F31D7"/>
    <w:rsid w:val="005F3AA3"/>
    <w:rsid w:val="005F537F"/>
    <w:rsid w:val="005F7D07"/>
    <w:rsid w:val="0060020D"/>
    <w:rsid w:val="006008D6"/>
    <w:rsid w:val="00602794"/>
    <w:rsid w:val="00604135"/>
    <w:rsid w:val="006058CB"/>
    <w:rsid w:val="0060733C"/>
    <w:rsid w:val="006110AA"/>
    <w:rsid w:val="0061140B"/>
    <w:rsid w:val="00613453"/>
    <w:rsid w:val="0061470B"/>
    <w:rsid w:val="00615C2B"/>
    <w:rsid w:val="006164EC"/>
    <w:rsid w:val="00616AE1"/>
    <w:rsid w:val="00617F6B"/>
    <w:rsid w:val="0062067C"/>
    <w:rsid w:val="006214AD"/>
    <w:rsid w:val="0062249F"/>
    <w:rsid w:val="00625863"/>
    <w:rsid w:val="006260E5"/>
    <w:rsid w:val="006279DA"/>
    <w:rsid w:val="00627B69"/>
    <w:rsid w:val="00633754"/>
    <w:rsid w:val="00635E85"/>
    <w:rsid w:val="006371FF"/>
    <w:rsid w:val="00640718"/>
    <w:rsid w:val="00644A75"/>
    <w:rsid w:val="006472A0"/>
    <w:rsid w:val="006504C7"/>
    <w:rsid w:val="00651512"/>
    <w:rsid w:val="00654956"/>
    <w:rsid w:val="00654DE7"/>
    <w:rsid w:val="0065533C"/>
    <w:rsid w:val="00656A9D"/>
    <w:rsid w:val="00656F5E"/>
    <w:rsid w:val="00662CBC"/>
    <w:rsid w:val="0067038D"/>
    <w:rsid w:val="00671A6A"/>
    <w:rsid w:val="0067345B"/>
    <w:rsid w:val="00673F0C"/>
    <w:rsid w:val="00676A38"/>
    <w:rsid w:val="00680098"/>
    <w:rsid w:val="00680957"/>
    <w:rsid w:val="00686325"/>
    <w:rsid w:val="00686EC4"/>
    <w:rsid w:val="00687063"/>
    <w:rsid w:val="006877B3"/>
    <w:rsid w:val="006905D3"/>
    <w:rsid w:val="00691425"/>
    <w:rsid w:val="00694307"/>
    <w:rsid w:val="00695E17"/>
    <w:rsid w:val="00696763"/>
    <w:rsid w:val="0069734A"/>
    <w:rsid w:val="006A139A"/>
    <w:rsid w:val="006A1939"/>
    <w:rsid w:val="006A303A"/>
    <w:rsid w:val="006A45A4"/>
    <w:rsid w:val="006A5102"/>
    <w:rsid w:val="006B0367"/>
    <w:rsid w:val="006B147C"/>
    <w:rsid w:val="006B202A"/>
    <w:rsid w:val="006B4802"/>
    <w:rsid w:val="006B5097"/>
    <w:rsid w:val="006B5516"/>
    <w:rsid w:val="006B5D36"/>
    <w:rsid w:val="006B7A09"/>
    <w:rsid w:val="006C42CE"/>
    <w:rsid w:val="006C5486"/>
    <w:rsid w:val="006C592D"/>
    <w:rsid w:val="006C74B3"/>
    <w:rsid w:val="006D3791"/>
    <w:rsid w:val="006D465F"/>
    <w:rsid w:val="006D7209"/>
    <w:rsid w:val="006E11C9"/>
    <w:rsid w:val="006E31AE"/>
    <w:rsid w:val="006E4984"/>
    <w:rsid w:val="006E5E71"/>
    <w:rsid w:val="006F10AA"/>
    <w:rsid w:val="006F32BF"/>
    <w:rsid w:val="006F38F6"/>
    <w:rsid w:val="006F3989"/>
    <w:rsid w:val="006F4219"/>
    <w:rsid w:val="006F575A"/>
    <w:rsid w:val="006F6F12"/>
    <w:rsid w:val="00700A73"/>
    <w:rsid w:val="007015E9"/>
    <w:rsid w:val="00702A10"/>
    <w:rsid w:val="00704ED8"/>
    <w:rsid w:val="0070601C"/>
    <w:rsid w:val="00707008"/>
    <w:rsid w:val="0070730B"/>
    <w:rsid w:val="00710993"/>
    <w:rsid w:val="00712884"/>
    <w:rsid w:val="00713C6D"/>
    <w:rsid w:val="00715090"/>
    <w:rsid w:val="00715379"/>
    <w:rsid w:val="0071587A"/>
    <w:rsid w:val="007159EB"/>
    <w:rsid w:val="007160E0"/>
    <w:rsid w:val="00716E3F"/>
    <w:rsid w:val="00717DE7"/>
    <w:rsid w:val="007203E5"/>
    <w:rsid w:val="00720629"/>
    <w:rsid w:val="00720B16"/>
    <w:rsid w:val="007219C5"/>
    <w:rsid w:val="007223FC"/>
    <w:rsid w:val="00725F23"/>
    <w:rsid w:val="007267EB"/>
    <w:rsid w:val="0072737A"/>
    <w:rsid w:val="00730159"/>
    <w:rsid w:val="00730C0D"/>
    <w:rsid w:val="0073129C"/>
    <w:rsid w:val="00732053"/>
    <w:rsid w:val="0073226D"/>
    <w:rsid w:val="007324D2"/>
    <w:rsid w:val="007339DB"/>
    <w:rsid w:val="007356FC"/>
    <w:rsid w:val="00735CE3"/>
    <w:rsid w:val="0074101E"/>
    <w:rsid w:val="0074150A"/>
    <w:rsid w:val="00741FEC"/>
    <w:rsid w:val="00742F74"/>
    <w:rsid w:val="007433D3"/>
    <w:rsid w:val="00743F1B"/>
    <w:rsid w:val="0074430F"/>
    <w:rsid w:val="007448B9"/>
    <w:rsid w:val="007468E9"/>
    <w:rsid w:val="00746BED"/>
    <w:rsid w:val="00747D71"/>
    <w:rsid w:val="00750288"/>
    <w:rsid w:val="00751BF1"/>
    <w:rsid w:val="007537F1"/>
    <w:rsid w:val="007567FF"/>
    <w:rsid w:val="00756DA9"/>
    <w:rsid w:val="0075794D"/>
    <w:rsid w:val="007608C8"/>
    <w:rsid w:val="00761696"/>
    <w:rsid w:val="00761834"/>
    <w:rsid w:val="00761D56"/>
    <w:rsid w:val="007620D8"/>
    <w:rsid w:val="007631A8"/>
    <w:rsid w:val="007634BC"/>
    <w:rsid w:val="0076420A"/>
    <w:rsid w:val="0076492F"/>
    <w:rsid w:val="00764D0F"/>
    <w:rsid w:val="00764ED5"/>
    <w:rsid w:val="007665AE"/>
    <w:rsid w:val="007665E7"/>
    <w:rsid w:val="00773845"/>
    <w:rsid w:val="0077605D"/>
    <w:rsid w:val="00780896"/>
    <w:rsid w:val="00780E48"/>
    <w:rsid w:val="00780FF2"/>
    <w:rsid w:val="007815A1"/>
    <w:rsid w:val="00783133"/>
    <w:rsid w:val="00783BF6"/>
    <w:rsid w:val="0078501F"/>
    <w:rsid w:val="00785229"/>
    <w:rsid w:val="00790EF1"/>
    <w:rsid w:val="0079186B"/>
    <w:rsid w:val="007919EE"/>
    <w:rsid w:val="00793312"/>
    <w:rsid w:val="00796A9E"/>
    <w:rsid w:val="00797687"/>
    <w:rsid w:val="00797E0F"/>
    <w:rsid w:val="007A0BE3"/>
    <w:rsid w:val="007A25AF"/>
    <w:rsid w:val="007A263C"/>
    <w:rsid w:val="007A30A5"/>
    <w:rsid w:val="007A5FB9"/>
    <w:rsid w:val="007A6788"/>
    <w:rsid w:val="007A70C6"/>
    <w:rsid w:val="007B11D0"/>
    <w:rsid w:val="007B1CB5"/>
    <w:rsid w:val="007B27E9"/>
    <w:rsid w:val="007B2987"/>
    <w:rsid w:val="007B6A8F"/>
    <w:rsid w:val="007B70D3"/>
    <w:rsid w:val="007C1116"/>
    <w:rsid w:val="007C3AA6"/>
    <w:rsid w:val="007C4EF2"/>
    <w:rsid w:val="007C55D4"/>
    <w:rsid w:val="007C6164"/>
    <w:rsid w:val="007D093F"/>
    <w:rsid w:val="007D0BE8"/>
    <w:rsid w:val="007D2EDB"/>
    <w:rsid w:val="007D36CA"/>
    <w:rsid w:val="007D4C02"/>
    <w:rsid w:val="007D5920"/>
    <w:rsid w:val="007D6731"/>
    <w:rsid w:val="007D6837"/>
    <w:rsid w:val="007D7001"/>
    <w:rsid w:val="007D782F"/>
    <w:rsid w:val="007D7E87"/>
    <w:rsid w:val="007E1ECC"/>
    <w:rsid w:val="007E2A09"/>
    <w:rsid w:val="007E40DD"/>
    <w:rsid w:val="007E4D5F"/>
    <w:rsid w:val="007E7C73"/>
    <w:rsid w:val="007F0225"/>
    <w:rsid w:val="007F0268"/>
    <w:rsid w:val="007F0AC8"/>
    <w:rsid w:val="007F10CE"/>
    <w:rsid w:val="007F167C"/>
    <w:rsid w:val="007F2066"/>
    <w:rsid w:val="007F2B93"/>
    <w:rsid w:val="007F4005"/>
    <w:rsid w:val="007F64E9"/>
    <w:rsid w:val="007F7EFE"/>
    <w:rsid w:val="0080100B"/>
    <w:rsid w:val="00802684"/>
    <w:rsid w:val="00804380"/>
    <w:rsid w:val="00804490"/>
    <w:rsid w:val="00806B2A"/>
    <w:rsid w:val="00810DA4"/>
    <w:rsid w:val="008111B9"/>
    <w:rsid w:val="00813597"/>
    <w:rsid w:val="00814A29"/>
    <w:rsid w:val="008259B8"/>
    <w:rsid w:val="00825ADA"/>
    <w:rsid w:val="00825DEA"/>
    <w:rsid w:val="00827860"/>
    <w:rsid w:val="008279A8"/>
    <w:rsid w:val="00827E59"/>
    <w:rsid w:val="0083160C"/>
    <w:rsid w:val="0083338A"/>
    <w:rsid w:val="00833923"/>
    <w:rsid w:val="00834CDA"/>
    <w:rsid w:val="00835871"/>
    <w:rsid w:val="008362EF"/>
    <w:rsid w:val="008367C0"/>
    <w:rsid w:val="00836853"/>
    <w:rsid w:val="00840F68"/>
    <w:rsid w:val="00843EBB"/>
    <w:rsid w:val="008443EB"/>
    <w:rsid w:val="00844E1C"/>
    <w:rsid w:val="00855674"/>
    <w:rsid w:val="0085753E"/>
    <w:rsid w:val="0086291A"/>
    <w:rsid w:val="00862D4F"/>
    <w:rsid w:val="00871456"/>
    <w:rsid w:val="00872ABA"/>
    <w:rsid w:val="00872FCE"/>
    <w:rsid w:val="00874EBD"/>
    <w:rsid w:val="008761FC"/>
    <w:rsid w:val="00877D2F"/>
    <w:rsid w:val="008800C1"/>
    <w:rsid w:val="00881137"/>
    <w:rsid w:val="00883A75"/>
    <w:rsid w:val="00883F98"/>
    <w:rsid w:val="00884396"/>
    <w:rsid w:val="008843FC"/>
    <w:rsid w:val="00884D8C"/>
    <w:rsid w:val="008862BD"/>
    <w:rsid w:val="008917E7"/>
    <w:rsid w:val="008962E9"/>
    <w:rsid w:val="0089653C"/>
    <w:rsid w:val="008A0DE6"/>
    <w:rsid w:val="008A1FF5"/>
    <w:rsid w:val="008A233D"/>
    <w:rsid w:val="008A237E"/>
    <w:rsid w:val="008A447D"/>
    <w:rsid w:val="008A4AF5"/>
    <w:rsid w:val="008A62A5"/>
    <w:rsid w:val="008A7E2E"/>
    <w:rsid w:val="008A7F55"/>
    <w:rsid w:val="008B3124"/>
    <w:rsid w:val="008B6744"/>
    <w:rsid w:val="008B72A5"/>
    <w:rsid w:val="008B7762"/>
    <w:rsid w:val="008C0421"/>
    <w:rsid w:val="008C1918"/>
    <w:rsid w:val="008C1A51"/>
    <w:rsid w:val="008C2A4A"/>
    <w:rsid w:val="008C2F29"/>
    <w:rsid w:val="008C4AD0"/>
    <w:rsid w:val="008C4D41"/>
    <w:rsid w:val="008C6B30"/>
    <w:rsid w:val="008C7E05"/>
    <w:rsid w:val="008D3033"/>
    <w:rsid w:val="008D493B"/>
    <w:rsid w:val="008D4A7C"/>
    <w:rsid w:val="008D51DA"/>
    <w:rsid w:val="008D53A9"/>
    <w:rsid w:val="008D5615"/>
    <w:rsid w:val="008D5F0D"/>
    <w:rsid w:val="008D683A"/>
    <w:rsid w:val="008E0359"/>
    <w:rsid w:val="008E0805"/>
    <w:rsid w:val="008E0FFB"/>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6B8"/>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17A9"/>
    <w:rsid w:val="00922F29"/>
    <w:rsid w:val="009231E6"/>
    <w:rsid w:val="00924ED9"/>
    <w:rsid w:val="00927589"/>
    <w:rsid w:val="0093042C"/>
    <w:rsid w:val="00931316"/>
    <w:rsid w:val="00933086"/>
    <w:rsid w:val="009345FE"/>
    <w:rsid w:val="00934A0F"/>
    <w:rsid w:val="00936E55"/>
    <w:rsid w:val="00937ED6"/>
    <w:rsid w:val="009406E7"/>
    <w:rsid w:val="00940B04"/>
    <w:rsid w:val="00944AB3"/>
    <w:rsid w:val="00950141"/>
    <w:rsid w:val="00950FC7"/>
    <w:rsid w:val="00953FB3"/>
    <w:rsid w:val="00954542"/>
    <w:rsid w:val="0095455D"/>
    <w:rsid w:val="0095482D"/>
    <w:rsid w:val="009563AA"/>
    <w:rsid w:val="0095779A"/>
    <w:rsid w:val="00957E0C"/>
    <w:rsid w:val="009623A4"/>
    <w:rsid w:val="00962FDB"/>
    <w:rsid w:val="0096515A"/>
    <w:rsid w:val="00965C79"/>
    <w:rsid w:val="00966601"/>
    <w:rsid w:val="00967094"/>
    <w:rsid w:val="00970079"/>
    <w:rsid w:val="009700A9"/>
    <w:rsid w:val="00970A79"/>
    <w:rsid w:val="00973C9C"/>
    <w:rsid w:val="009752BD"/>
    <w:rsid w:val="009758CF"/>
    <w:rsid w:val="00981235"/>
    <w:rsid w:val="009812AF"/>
    <w:rsid w:val="00982894"/>
    <w:rsid w:val="00983893"/>
    <w:rsid w:val="0098672A"/>
    <w:rsid w:val="00990141"/>
    <w:rsid w:val="00990D6F"/>
    <w:rsid w:val="0099157D"/>
    <w:rsid w:val="00993A67"/>
    <w:rsid w:val="00994D7F"/>
    <w:rsid w:val="009962A0"/>
    <w:rsid w:val="00996341"/>
    <w:rsid w:val="0099644E"/>
    <w:rsid w:val="00996F8C"/>
    <w:rsid w:val="009A0627"/>
    <w:rsid w:val="009A1575"/>
    <w:rsid w:val="009A44CB"/>
    <w:rsid w:val="009A454D"/>
    <w:rsid w:val="009A472B"/>
    <w:rsid w:val="009A5C14"/>
    <w:rsid w:val="009A6E1F"/>
    <w:rsid w:val="009A7763"/>
    <w:rsid w:val="009A7B95"/>
    <w:rsid w:val="009B05E8"/>
    <w:rsid w:val="009B05F1"/>
    <w:rsid w:val="009B126C"/>
    <w:rsid w:val="009B2CF2"/>
    <w:rsid w:val="009B45E7"/>
    <w:rsid w:val="009B493A"/>
    <w:rsid w:val="009B4DE3"/>
    <w:rsid w:val="009B6612"/>
    <w:rsid w:val="009B6A55"/>
    <w:rsid w:val="009C158C"/>
    <w:rsid w:val="009C196E"/>
    <w:rsid w:val="009C3B52"/>
    <w:rsid w:val="009C3BEE"/>
    <w:rsid w:val="009C4A6F"/>
    <w:rsid w:val="009C6025"/>
    <w:rsid w:val="009D0371"/>
    <w:rsid w:val="009D18A0"/>
    <w:rsid w:val="009D1EF0"/>
    <w:rsid w:val="009D2B0D"/>
    <w:rsid w:val="009D478F"/>
    <w:rsid w:val="009D479C"/>
    <w:rsid w:val="009D5125"/>
    <w:rsid w:val="009D705F"/>
    <w:rsid w:val="009D7E79"/>
    <w:rsid w:val="009E1143"/>
    <w:rsid w:val="009E2925"/>
    <w:rsid w:val="009E3EA9"/>
    <w:rsid w:val="009E409E"/>
    <w:rsid w:val="009E4E0B"/>
    <w:rsid w:val="009E63C4"/>
    <w:rsid w:val="009E7131"/>
    <w:rsid w:val="009F0065"/>
    <w:rsid w:val="009F0651"/>
    <w:rsid w:val="009F0908"/>
    <w:rsid w:val="009F1BCB"/>
    <w:rsid w:val="009F2488"/>
    <w:rsid w:val="009F6E81"/>
    <w:rsid w:val="009F7321"/>
    <w:rsid w:val="00A00194"/>
    <w:rsid w:val="00A02BF2"/>
    <w:rsid w:val="00A031F9"/>
    <w:rsid w:val="00A05A0B"/>
    <w:rsid w:val="00A05E0C"/>
    <w:rsid w:val="00A12FE6"/>
    <w:rsid w:val="00A14944"/>
    <w:rsid w:val="00A2017E"/>
    <w:rsid w:val="00A2337E"/>
    <w:rsid w:val="00A24A28"/>
    <w:rsid w:val="00A24FA6"/>
    <w:rsid w:val="00A2547A"/>
    <w:rsid w:val="00A261BA"/>
    <w:rsid w:val="00A348AD"/>
    <w:rsid w:val="00A403A8"/>
    <w:rsid w:val="00A404B2"/>
    <w:rsid w:val="00A41901"/>
    <w:rsid w:val="00A428F3"/>
    <w:rsid w:val="00A446D4"/>
    <w:rsid w:val="00A4582E"/>
    <w:rsid w:val="00A466C5"/>
    <w:rsid w:val="00A472C5"/>
    <w:rsid w:val="00A50CD1"/>
    <w:rsid w:val="00A528CC"/>
    <w:rsid w:val="00A52EF0"/>
    <w:rsid w:val="00A5472F"/>
    <w:rsid w:val="00A54C4F"/>
    <w:rsid w:val="00A560DE"/>
    <w:rsid w:val="00A56F02"/>
    <w:rsid w:val="00A57FD5"/>
    <w:rsid w:val="00A60853"/>
    <w:rsid w:val="00A62028"/>
    <w:rsid w:val="00A6320B"/>
    <w:rsid w:val="00A64491"/>
    <w:rsid w:val="00A66DA4"/>
    <w:rsid w:val="00A7441C"/>
    <w:rsid w:val="00A75036"/>
    <w:rsid w:val="00A7606A"/>
    <w:rsid w:val="00A7702A"/>
    <w:rsid w:val="00A80332"/>
    <w:rsid w:val="00A80D18"/>
    <w:rsid w:val="00A810A5"/>
    <w:rsid w:val="00A84413"/>
    <w:rsid w:val="00A85069"/>
    <w:rsid w:val="00A851D3"/>
    <w:rsid w:val="00A85C99"/>
    <w:rsid w:val="00A86059"/>
    <w:rsid w:val="00A8682A"/>
    <w:rsid w:val="00A877EA"/>
    <w:rsid w:val="00A90434"/>
    <w:rsid w:val="00A90848"/>
    <w:rsid w:val="00A90D5D"/>
    <w:rsid w:val="00A919A8"/>
    <w:rsid w:val="00A95E04"/>
    <w:rsid w:val="00A9702D"/>
    <w:rsid w:val="00AA09CE"/>
    <w:rsid w:val="00AA109A"/>
    <w:rsid w:val="00AA184D"/>
    <w:rsid w:val="00AA3ADF"/>
    <w:rsid w:val="00AA3CD0"/>
    <w:rsid w:val="00AA4945"/>
    <w:rsid w:val="00AA4F18"/>
    <w:rsid w:val="00AA6274"/>
    <w:rsid w:val="00AA7490"/>
    <w:rsid w:val="00AA7EB9"/>
    <w:rsid w:val="00AB0321"/>
    <w:rsid w:val="00AB21EA"/>
    <w:rsid w:val="00AB29DA"/>
    <w:rsid w:val="00AB2D5C"/>
    <w:rsid w:val="00AB3A37"/>
    <w:rsid w:val="00AB51C0"/>
    <w:rsid w:val="00AB538D"/>
    <w:rsid w:val="00AB6DAC"/>
    <w:rsid w:val="00AB70F7"/>
    <w:rsid w:val="00AC12F5"/>
    <w:rsid w:val="00AC56CE"/>
    <w:rsid w:val="00AC59CF"/>
    <w:rsid w:val="00AC604F"/>
    <w:rsid w:val="00AC71B2"/>
    <w:rsid w:val="00AD2B07"/>
    <w:rsid w:val="00AD2F15"/>
    <w:rsid w:val="00AD4224"/>
    <w:rsid w:val="00AD4E75"/>
    <w:rsid w:val="00AD6DC7"/>
    <w:rsid w:val="00AD74C8"/>
    <w:rsid w:val="00AE3181"/>
    <w:rsid w:val="00AE357C"/>
    <w:rsid w:val="00AE7EDF"/>
    <w:rsid w:val="00AF07F9"/>
    <w:rsid w:val="00AF165B"/>
    <w:rsid w:val="00AF3257"/>
    <w:rsid w:val="00AF4186"/>
    <w:rsid w:val="00B01969"/>
    <w:rsid w:val="00B04BED"/>
    <w:rsid w:val="00B063DD"/>
    <w:rsid w:val="00B10470"/>
    <w:rsid w:val="00B10AEC"/>
    <w:rsid w:val="00B12515"/>
    <w:rsid w:val="00B16963"/>
    <w:rsid w:val="00B2044E"/>
    <w:rsid w:val="00B234B3"/>
    <w:rsid w:val="00B24FA2"/>
    <w:rsid w:val="00B25B08"/>
    <w:rsid w:val="00B25FE5"/>
    <w:rsid w:val="00B30BB7"/>
    <w:rsid w:val="00B320FF"/>
    <w:rsid w:val="00B32B9E"/>
    <w:rsid w:val="00B32FB1"/>
    <w:rsid w:val="00B33683"/>
    <w:rsid w:val="00B35AFE"/>
    <w:rsid w:val="00B366A5"/>
    <w:rsid w:val="00B40329"/>
    <w:rsid w:val="00B40B8D"/>
    <w:rsid w:val="00B4103B"/>
    <w:rsid w:val="00B41412"/>
    <w:rsid w:val="00B432A2"/>
    <w:rsid w:val="00B45440"/>
    <w:rsid w:val="00B5466A"/>
    <w:rsid w:val="00B546E5"/>
    <w:rsid w:val="00B54E07"/>
    <w:rsid w:val="00B565C8"/>
    <w:rsid w:val="00B57F78"/>
    <w:rsid w:val="00B62F9E"/>
    <w:rsid w:val="00B67ED0"/>
    <w:rsid w:val="00B70E53"/>
    <w:rsid w:val="00B71451"/>
    <w:rsid w:val="00B74278"/>
    <w:rsid w:val="00B74705"/>
    <w:rsid w:val="00B74730"/>
    <w:rsid w:val="00B75149"/>
    <w:rsid w:val="00B803D6"/>
    <w:rsid w:val="00B82DF0"/>
    <w:rsid w:val="00B83257"/>
    <w:rsid w:val="00B83350"/>
    <w:rsid w:val="00B903E3"/>
    <w:rsid w:val="00B911C2"/>
    <w:rsid w:val="00B91DF8"/>
    <w:rsid w:val="00B93396"/>
    <w:rsid w:val="00B95300"/>
    <w:rsid w:val="00B9543E"/>
    <w:rsid w:val="00B9594C"/>
    <w:rsid w:val="00B96F03"/>
    <w:rsid w:val="00B9734C"/>
    <w:rsid w:val="00B975B8"/>
    <w:rsid w:val="00BA0B05"/>
    <w:rsid w:val="00BA1C6F"/>
    <w:rsid w:val="00BA314C"/>
    <w:rsid w:val="00BA6C1F"/>
    <w:rsid w:val="00BB05FC"/>
    <w:rsid w:val="00BB1E94"/>
    <w:rsid w:val="00BB57F4"/>
    <w:rsid w:val="00BB64DA"/>
    <w:rsid w:val="00BB6685"/>
    <w:rsid w:val="00BB6E21"/>
    <w:rsid w:val="00BB7712"/>
    <w:rsid w:val="00BC0B66"/>
    <w:rsid w:val="00BC0F39"/>
    <w:rsid w:val="00BC177D"/>
    <w:rsid w:val="00BC1A41"/>
    <w:rsid w:val="00BC2114"/>
    <w:rsid w:val="00BC2908"/>
    <w:rsid w:val="00BC3FC3"/>
    <w:rsid w:val="00BC5224"/>
    <w:rsid w:val="00BC6BAB"/>
    <w:rsid w:val="00BC6FDF"/>
    <w:rsid w:val="00BC7299"/>
    <w:rsid w:val="00BC7AE4"/>
    <w:rsid w:val="00BC7D79"/>
    <w:rsid w:val="00BD02DD"/>
    <w:rsid w:val="00BD09E2"/>
    <w:rsid w:val="00BD1502"/>
    <w:rsid w:val="00BD223E"/>
    <w:rsid w:val="00BD4A4B"/>
    <w:rsid w:val="00BD4C27"/>
    <w:rsid w:val="00BD6E92"/>
    <w:rsid w:val="00BE0F25"/>
    <w:rsid w:val="00BE274E"/>
    <w:rsid w:val="00BE336C"/>
    <w:rsid w:val="00BE4D2C"/>
    <w:rsid w:val="00BE7F6B"/>
    <w:rsid w:val="00BF0382"/>
    <w:rsid w:val="00BF082E"/>
    <w:rsid w:val="00BF1E0A"/>
    <w:rsid w:val="00BF27E9"/>
    <w:rsid w:val="00BF6F76"/>
    <w:rsid w:val="00BF7FED"/>
    <w:rsid w:val="00C02978"/>
    <w:rsid w:val="00C034A9"/>
    <w:rsid w:val="00C03859"/>
    <w:rsid w:val="00C05A1D"/>
    <w:rsid w:val="00C05E01"/>
    <w:rsid w:val="00C05E42"/>
    <w:rsid w:val="00C063F1"/>
    <w:rsid w:val="00C078BD"/>
    <w:rsid w:val="00C108D8"/>
    <w:rsid w:val="00C13805"/>
    <w:rsid w:val="00C15CA6"/>
    <w:rsid w:val="00C16807"/>
    <w:rsid w:val="00C2025F"/>
    <w:rsid w:val="00C2167D"/>
    <w:rsid w:val="00C21BCC"/>
    <w:rsid w:val="00C2403A"/>
    <w:rsid w:val="00C24CC2"/>
    <w:rsid w:val="00C266D3"/>
    <w:rsid w:val="00C266DA"/>
    <w:rsid w:val="00C267A0"/>
    <w:rsid w:val="00C26FE9"/>
    <w:rsid w:val="00C27D03"/>
    <w:rsid w:val="00C31095"/>
    <w:rsid w:val="00C32321"/>
    <w:rsid w:val="00C326FF"/>
    <w:rsid w:val="00C33111"/>
    <w:rsid w:val="00C349F0"/>
    <w:rsid w:val="00C34A1E"/>
    <w:rsid w:val="00C3720B"/>
    <w:rsid w:val="00C41423"/>
    <w:rsid w:val="00C4334F"/>
    <w:rsid w:val="00C4434A"/>
    <w:rsid w:val="00C44974"/>
    <w:rsid w:val="00C44E9E"/>
    <w:rsid w:val="00C46098"/>
    <w:rsid w:val="00C46439"/>
    <w:rsid w:val="00C46B32"/>
    <w:rsid w:val="00C47A26"/>
    <w:rsid w:val="00C50E1F"/>
    <w:rsid w:val="00C516EC"/>
    <w:rsid w:val="00C53DC9"/>
    <w:rsid w:val="00C571A9"/>
    <w:rsid w:val="00C615A7"/>
    <w:rsid w:val="00C616BF"/>
    <w:rsid w:val="00C62C5D"/>
    <w:rsid w:val="00C64873"/>
    <w:rsid w:val="00C65A0A"/>
    <w:rsid w:val="00C66628"/>
    <w:rsid w:val="00C67D2F"/>
    <w:rsid w:val="00C7422F"/>
    <w:rsid w:val="00C751BF"/>
    <w:rsid w:val="00C7651A"/>
    <w:rsid w:val="00C77280"/>
    <w:rsid w:val="00C812AA"/>
    <w:rsid w:val="00C81AD1"/>
    <w:rsid w:val="00C83111"/>
    <w:rsid w:val="00C84265"/>
    <w:rsid w:val="00C84ED5"/>
    <w:rsid w:val="00C9070B"/>
    <w:rsid w:val="00C90B40"/>
    <w:rsid w:val="00C94791"/>
    <w:rsid w:val="00C96465"/>
    <w:rsid w:val="00C96D0A"/>
    <w:rsid w:val="00CA001B"/>
    <w:rsid w:val="00CA01AD"/>
    <w:rsid w:val="00CA2625"/>
    <w:rsid w:val="00CA3024"/>
    <w:rsid w:val="00CA3E46"/>
    <w:rsid w:val="00CA5475"/>
    <w:rsid w:val="00CA6FE3"/>
    <w:rsid w:val="00CB19DA"/>
    <w:rsid w:val="00CB1BF5"/>
    <w:rsid w:val="00CB1D8D"/>
    <w:rsid w:val="00CB44F6"/>
    <w:rsid w:val="00CB4923"/>
    <w:rsid w:val="00CB51FF"/>
    <w:rsid w:val="00CC0334"/>
    <w:rsid w:val="00CC1692"/>
    <w:rsid w:val="00CC1B8B"/>
    <w:rsid w:val="00CC1DF5"/>
    <w:rsid w:val="00CC2CB6"/>
    <w:rsid w:val="00CC3A59"/>
    <w:rsid w:val="00CC4253"/>
    <w:rsid w:val="00CC4804"/>
    <w:rsid w:val="00CC5133"/>
    <w:rsid w:val="00CC5F27"/>
    <w:rsid w:val="00CC63FE"/>
    <w:rsid w:val="00CC7437"/>
    <w:rsid w:val="00CD084A"/>
    <w:rsid w:val="00CD1386"/>
    <w:rsid w:val="00CD20E1"/>
    <w:rsid w:val="00CD3BBB"/>
    <w:rsid w:val="00CD3C54"/>
    <w:rsid w:val="00CE30B4"/>
    <w:rsid w:val="00CE3521"/>
    <w:rsid w:val="00CE5723"/>
    <w:rsid w:val="00CF1168"/>
    <w:rsid w:val="00CF1C88"/>
    <w:rsid w:val="00CF3FC7"/>
    <w:rsid w:val="00CF5493"/>
    <w:rsid w:val="00CF67D8"/>
    <w:rsid w:val="00CF694E"/>
    <w:rsid w:val="00CF6BF4"/>
    <w:rsid w:val="00CF7DE9"/>
    <w:rsid w:val="00D01398"/>
    <w:rsid w:val="00D0189D"/>
    <w:rsid w:val="00D04528"/>
    <w:rsid w:val="00D050BA"/>
    <w:rsid w:val="00D05E32"/>
    <w:rsid w:val="00D06FC6"/>
    <w:rsid w:val="00D11032"/>
    <w:rsid w:val="00D11CE7"/>
    <w:rsid w:val="00D12281"/>
    <w:rsid w:val="00D14D03"/>
    <w:rsid w:val="00D152C6"/>
    <w:rsid w:val="00D17296"/>
    <w:rsid w:val="00D2009E"/>
    <w:rsid w:val="00D216AA"/>
    <w:rsid w:val="00D2772F"/>
    <w:rsid w:val="00D3079F"/>
    <w:rsid w:val="00D30C5E"/>
    <w:rsid w:val="00D3100A"/>
    <w:rsid w:val="00D312EB"/>
    <w:rsid w:val="00D31848"/>
    <w:rsid w:val="00D31B88"/>
    <w:rsid w:val="00D32E38"/>
    <w:rsid w:val="00D3348F"/>
    <w:rsid w:val="00D3413F"/>
    <w:rsid w:val="00D3483B"/>
    <w:rsid w:val="00D3497A"/>
    <w:rsid w:val="00D373B0"/>
    <w:rsid w:val="00D4142C"/>
    <w:rsid w:val="00D4229B"/>
    <w:rsid w:val="00D45C32"/>
    <w:rsid w:val="00D462AD"/>
    <w:rsid w:val="00D46FF7"/>
    <w:rsid w:val="00D47AD5"/>
    <w:rsid w:val="00D518C3"/>
    <w:rsid w:val="00D51C09"/>
    <w:rsid w:val="00D532C6"/>
    <w:rsid w:val="00D5426B"/>
    <w:rsid w:val="00D5599A"/>
    <w:rsid w:val="00D55B21"/>
    <w:rsid w:val="00D569AD"/>
    <w:rsid w:val="00D605E5"/>
    <w:rsid w:val="00D62A8B"/>
    <w:rsid w:val="00D659FB"/>
    <w:rsid w:val="00D71595"/>
    <w:rsid w:val="00D71B33"/>
    <w:rsid w:val="00D740F4"/>
    <w:rsid w:val="00D802FD"/>
    <w:rsid w:val="00D869C5"/>
    <w:rsid w:val="00D91951"/>
    <w:rsid w:val="00D932E1"/>
    <w:rsid w:val="00D937A6"/>
    <w:rsid w:val="00D94A5A"/>
    <w:rsid w:val="00D95B09"/>
    <w:rsid w:val="00DA0427"/>
    <w:rsid w:val="00DA05B7"/>
    <w:rsid w:val="00DA266F"/>
    <w:rsid w:val="00DA2928"/>
    <w:rsid w:val="00DA3AE2"/>
    <w:rsid w:val="00DA3B33"/>
    <w:rsid w:val="00DA42A3"/>
    <w:rsid w:val="00DA5B4D"/>
    <w:rsid w:val="00DA5D00"/>
    <w:rsid w:val="00DA7075"/>
    <w:rsid w:val="00DA74A2"/>
    <w:rsid w:val="00DB39F6"/>
    <w:rsid w:val="00DB4F9B"/>
    <w:rsid w:val="00DB52FC"/>
    <w:rsid w:val="00DB6664"/>
    <w:rsid w:val="00DB73FB"/>
    <w:rsid w:val="00DB7CD4"/>
    <w:rsid w:val="00DC0DBE"/>
    <w:rsid w:val="00DC28C2"/>
    <w:rsid w:val="00DC3679"/>
    <w:rsid w:val="00DC429D"/>
    <w:rsid w:val="00DC6E17"/>
    <w:rsid w:val="00DC6F8F"/>
    <w:rsid w:val="00DD26B7"/>
    <w:rsid w:val="00DD35D4"/>
    <w:rsid w:val="00DD4DCA"/>
    <w:rsid w:val="00DD5CCB"/>
    <w:rsid w:val="00DD6003"/>
    <w:rsid w:val="00DD7B1D"/>
    <w:rsid w:val="00DE0F17"/>
    <w:rsid w:val="00DE1A4C"/>
    <w:rsid w:val="00DE285A"/>
    <w:rsid w:val="00DE2F3F"/>
    <w:rsid w:val="00DE5417"/>
    <w:rsid w:val="00DE5630"/>
    <w:rsid w:val="00DE7227"/>
    <w:rsid w:val="00DE76FC"/>
    <w:rsid w:val="00DF1FF6"/>
    <w:rsid w:val="00DF3789"/>
    <w:rsid w:val="00DF3F22"/>
    <w:rsid w:val="00DF4BAB"/>
    <w:rsid w:val="00DF5D14"/>
    <w:rsid w:val="00DF608E"/>
    <w:rsid w:val="00DF6CC5"/>
    <w:rsid w:val="00DF6FF1"/>
    <w:rsid w:val="00DF76E0"/>
    <w:rsid w:val="00E015A9"/>
    <w:rsid w:val="00E02883"/>
    <w:rsid w:val="00E04029"/>
    <w:rsid w:val="00E041D0"/>
    <w:rsid w:val="00E10861"/>
    <w:rsid w:val="00E120BC"/>
    <w:rsid w:val="00E13668"/>
    <w:rsid w:val="00E1376C"/>
    <w:rsid w:val="00E14F99"/>
    <w:rsid w:val="00E15635"/>
    <w:rsid w:val="00E16BEE"/>
    <w:rsid w:val="00E21B02"/>
    <w:rsid w:val="00E23869"/>
    <w:rsid w:val="00E26156"/>
    <w:rsid w:val="00E27323"/>
    <w:rsid w:val="00E3099D"/>
    <w:rsid w:val="00E333FB"/>
    <w:rsid w:val="00E3345C"/>
    <w:rsid w:val="00E35424"/>
    <w:rsid w:val="00E36F7B"/>
    <w:rsid w:val="00E40778"/>
    <w:rsid w:val="00E41FE9"/>
    <w:rsid w:val="00E43F90"/>
    <w:rsid w:val="00E4501A"/>
    <w:rsid w:val="00E4586E"/>
    <w:rsid w:val="00E46BFA"/>
    <w:rsid w:val="00E4763A"/>
    <w:rsid w:val="00E477BE"/>
    <w:rsid w:val="00E47B62"/>
    <w:rsid w:val="00E51517"/>
    <w:rsid w:val="00E51F74"/>
    <w:rsid w:val="00E54533"/>
    <w:rsid w:val="00E55868"/>
    <w:rsid w:val="00E60C14"/>
    <w:rsid w:val="00E61815"/>
    <w:rsid w:val="00E62E3D"/>
    <w:rsid w:val="00E651EB"/>
    <w:rsid w:val="00E65D86"/>
    <w:rsid w:val="00E66967"/>
    <w:rsid w:val="00E67E1C"/>
    <w:rsid w:val="00E70E2A"/>
    <w:rsid w:val="00E72C1A"/>
    <w:rsid w:val="00E74BBE"/>
    <w:rsid w:val="00E7629F"/>
    <w:rsid w:val="00E763CD"/>
    <w:rsid w:val="00E76A0F"/>
    <w:rsid w:val="00E7711B"/>
    <w:rsid w:val="00E8114F"/>
    <w:rsid w:val="00E813BE"/>
    <w:rsid w:val="00E82B64"/>
    <w:rsid w:val="00E83E08"/>
    <w:rsid w:val="00E84C8B"/>
    <w:rsid w:val="00E850A3"/>
    <w:rsid w:val="00E8528B"/>
    <w:rsid w:val="00E86A15"/>
    <w:rsid w:val="00E87034"/>
    <w:rsid w:val="00E90733"/>
    <w:rsid w:val="00E90F26"/>
    <w:rsid w:val="00E931A2"/>
    <w:rsid w:val="00E93D9A"/>
    <w:rsid w:val="00E96340"/>
    <w:rsid w:val="00EA10C5"/>
    <w:rsid w:val="00EA38D5"/>
    <w:rsid w:val="00EA4363"/>
    <w:rsid w:val="00EA5409"/>
    <w:rsid w:val="00EA5F10"/>
    <w:rsid w:val="00EA5F30"/>
    <w:rsid w:val="00EA6F59"/>
    <w:rsid w:val="00EA789A"/>
    <w:rsid w:val="00EB219C"/>
    <w:rsid w:val="00EB321E"/>
    <w:rsid w:val="00EB64FC"/>
    <w:rsid w:val="00EB7B3E"/>
    <w:rsid w:val="00EC0FC7"/>
    <w:rsid w:val="00EC3466"/>
    <w:rsid w:val="00EC37C6"/>
    <w:rsid w:val="00EC3CEA"/>
    <w:rsid w:val="00EC6A61"/>
    <w:rsid w:val="00EC744B"/>
    <w:rsid w:val="00EC778D"/>
    <w:rsid w:val="00EC7B5A"/>
    <w:rsid w:val="00ED0479"/>
    <w:rsid w:val="00ED1573"/>
    <w:rsid w:val="00ED1966"/>
    <w:rsid w:val="00ED419B"/>
    <w:rsid w:val="00ED4DA5"/>
    <w:rsid w:val="00ED5AF3"/>
    <w:rsid w:val="00ED6E55"/>
    <w:rsid w:val="00ED7419"/>
    <w:rsid w:val="00EE050F"/>
    <w:rsid w:val="00EE081A"/>
    <w:rsid w:val="00EE1EB5"/>
    <w:rsid w:val="00EE243B"/>
    <w:rsid w:val="00EE60DB"/>
    <w:rsid w:val="00EE7E38"/>
    <w:rsid w:val="00EE7EEA"/>
    <w:rsid w:val="00EF1D7E"/>
    <w:rsid w:val="00EF39FC"/>
    <w:rsid w:val="00EF4CEE"/>
    <w:rsid w:val="00EF5638"/>
    <w:rsid w:val="00EF6801"/>
    <w:rsid w:val="00EF7F09"/>
    <w:rsid w:val="00F016CA"/>
    <w:rsid w:val="00F01E4F"/>
    <w:rsid w:val="00F04143"/>
    <w:rsid w:val="00F0482C"/>
    <w:rsid w:val="00F05318"/>
    <w:rsid w:val="00F070F6"/>
    <w:rsid w:val="00F0740D"/>
    <w:rsid w:val="00F07750"/>
    <w:rsid w:val="00F07780"/>
    <w:rsid w:val="00F106C0"/>
    <w:rsid w:val="00F10988"/>
    <w:rsid w:val="00F12149"/>
    <w:rsid w:val="00F13587"/>
    <w:rsid w:val="00F1455C"/>
    <w:rsid w:val="00F152E4"/>
    <w:rsid w:val="00F16387"/>
    <w:rsid w:val="00F203C7"/>
    <w:rsid w:val="00F210E0"/>
    <w:rsid w:val="00F21646"/>
    <w:rsid w:val="00F21917"/>
    <w:rsid w:val="00F27A4B"/>
    <w:rsid w:val="00F27BB1"/>
    <w:rsid w:val="00F32B0E"/>
    <w:rsid w:val="00F3317D"/>
    <w:rsid w:val="00F33DC4"/>
    <w:rsid w:val="00F35946"/>
    <w:rsid w:val="00F359C0"/>
    <w:rsid w:val="00F36CF9"/>
    <w:rsid w:val="00F37DBE"/>
    <w:rsid w:val="00F430AC"/>
    <w:rsid w:val="00F451E9"/>
    <w:rsid w:val="00F462D5"/>
    <w:rsid w:val="00F46975"/>
    <w:rsid w:val="00F477B9"/>
    <w:rsid w:val="00F51B7B"/>
    <w:rsid w:val="00F53604"/>
    <w:rsid w:val="00F54A39"/>
    <w:rsid w:val="00F54B2D"/>
    <w:rsid w:val="00F55625"/>
    <w:rsid w:val="00F55FAE"/>
    <w:rsid w:val="00F60171"/>
    <w:rsid w:val="00F6086F"/>
    <w:rsid w:val="00F613FA"/>
    <w:rsid w:val="00F64D8D"/>
    <w:rsid w:val="00F65813"/>
    <w:rsid w:val="00F6631F"/>
    <w:rsid w:val="00F72112"/>
    <w:rsid w:val="00F723D6"/>
    <w:rsid w:val="00F724AB"/>
    <w:rsid w:val="00F77E87"/>
    <w:rsid w:val="00F806A9"/>
    <w:rsid w:val="00F81620"/>
    <w:rsid w:val="00F8217F"/>
    <w:rsid w:val="00F83113"/>
    <w:rsid w:val="00F83C22"/>
    <w:rsid w:val="00F84521"/>
    <w:rsid w:val="00F87451"/>
    <w:rsid w:val="00F906AB"/>
    <w:rsid w:val="00F91766"/>
    <w:rsid w:val="00F91A6E"/>
    <w:rsid w:val="00F94B2E"/>
    <w:rsid w:val="00F96B7D"/>
    <w:rsid w:val="00FA0465"/>
    <w:rsid w:val="00FA0537"/>
    <w:rsid w:val="00FA25EA"/>
    <w:rsid w:val="00FA2ECA"/>
    <w:rsid w:val="00FA2FA8"/>
    <w:rsid w:val="00FA65E5"/>
    <w:rsid w:val="00FA6A63"/>
    <w:rsid w:val="00FB1348"/>
    <w:rsid w:val="00FB1EA0"/>
    <w:rsid w:val="00FB2144"/>
    <w:rsid w:val="00FB2DA4"/>
    <w:rsid w:val="00FB45C2"/>
    <w:rsid w:val="00FB4D20"/>
    <w:rsid w:val="00FB6B51"/>
    <w:rsid w:val="00FC2786"/>
    <w:rsid w:val="00FC36CB"/>
    <w:rsid w:val="00FC3779"/>
    <w:rsid w:val="00FC3A7F"/>
    <w:rsid w:val="00FC400D"/>
    <w:rsid w:val="00FC58AA"/>
    <w:rsid w:val="00FC7979"/>
    <w:rsid w:val="00FC7CE2"/>
    <w:rsid w:val="00FD1489"/>
    <w:rsid w:val="00FD15A5"/>
    <w:rsid w:val="00FD2169"/>
    <w:rsid w:val="00FD24D9"/>
    <w:rsid w:val="00FD2B4A"/>
    <w:rsid w:val="00FD43CA"/>
    <w:rsid w:val="00FD6DF3"/>
    <w:rsid w:val="00FD7C6C"/>
    <w:rsid w:val="00FE54A8"/>
    <w:rsid w:val="00FE6741"/>
    <w:rsid w:val="00FE6B1A"/>
    <w:rsid w:val="00FF06F9"/>
    <w:rsid w:val="00FF0FB4"/>
    <w:rsid w:val="00FF1A88"/>
    <w:rsid w:val="00FF2B2A"/>
    <w:rsid w:val="00FF2B97"/>
    <w:rsid w:val="00FF4EE6"/>
    <w:rsid w:val="00FF56A1"/>
    <w:rsid w:val="00FF683E"/>
    <w:rsid w:val="01121497"/>
    <w:rsid w:val="015E4ACC"/>
    <w:rsid w:val="01C730F2"/>
    <w:rsid w:val="01E43CBF"/>
    <w:rsid w:val="02C07E4D"/>
    <w:rsid w:val="02E37ABF"/>
    <w:rsid w:val="02FB592B"/>
    <w:rsid w:val="030D521D"/>
    <w:rsid w:val="03170A01"/>
    <w:rsid w:val="03283731"/>
    <w:rsid w:val="03733F9F"/>
    <w:rsid w:val="037F0BBF"/>
    <w:rsid w:val="038A5633"/>
    <w:rsid w:val="03A15972"/>
    <w:rsid w:val="03C921F3"/>
    <w:rsid w:val="03D21BAC"/>
    <w:rsid w:val="03D57463"/>
    <w:rsid w:val="03F16F68"/>
    <w:rsid w:val="040A0EAD"/>
    <w:rsid w:val="043B6855"/>
    <w:rsid w:val="04520C0B"/>
    <w:rsid w:val="045673B4"/>
    <w:rsid w:val="04960483"/>
    <w:rsid w:val="04AE6833"/>
    <w:rsid w:val="04B25C1F"/>
    <w:rsid w:val="04EF1AD4"/>
    <w:rsid w:val="054F2D29"/>
    <w:rsid w:val="05503AC8"/>
    <w:rsid w:val="05630093"/>
    <w:rsid w:val="06015ED2"/>
    <w:rsid w:val="06332485"/>
    <w:rsid w:val="065307D7"/>
    <w:rsid w:val="06AE1485"/>
    <w:rsid w:val="06B412C4"/>
    <w:rsid w:val="06B663DD"/>
    <w:rsid w:val="06DB0936"/>
    <w:rsid w:val="071855DF"/>
    <w:rsid w:val="07987386"/>
    <w:rsid w:val="07AF16EA"/>
    <w:rsid w:val="07AF7507"/>
    <w:rsid w:val="07C077AF"/>
    <w:rsid w:val="07CC09E0"/>
    <w:rsid w:val="07CE6FF4"/>
    <w:rsid w:val="07E44547"/>
    <w:rsid w:val="0815348B"/>
    <w:rsid w:val="086F1AF9"/>
    <w:rsid w:val="089C2F2F"/>
    <w:rsid w:val="0903750C"/>
    <w:rsid w:val="09292A93"/>
    <w:rsid w:val="094974E2"/>
    <w:rsid w:val="09931BA1"/>
    <w:rsid w:val="09A76713"/>
    <w:rsid w:val="09C360E6"/>
    <w:rsid w:val="09D232AC"/>
    <w:rsid w:val="09F85AAA"/>
    <w:rsid w:val="0A690D01"/>
    <w:rsid w:val="0A9642EF"/>
    <w:rsid w:val="0AC31CF6"/>
    <w:rsid w:val="0ADF7CF2"/>
    <w:rsid w:val="0B154424"/>
    <w:rsid w:val="0B187D40"/>
    <w:rsid w:val="0B44322A"/>
    <w:rsid w:val="0B763970"/>
    <w:rsid w:val="0B7A0295"/>
    <w:rsid w:val="0BCC3CF8"/>
    <w:rsid w:val="0BD073E6"/>
    <w:rsid w:val="0C2A4705"/>
    <w:rsid w:val="0C453D35"/>
    <w:rsid w:val="0C8C56A3"/>
    <w:rsid w:val="0CAD11F0"/>
    <w:rsid w:val="0CE3766F"/>
    <w:rsid w:val="0D1E3320"/>
    <w:rsid w:val="0D81039E"/>
    <w:rsid w:val="0D886840"/>
    <w:rsid w:val="0DB51EB2"/>
    <w:rsid w:val="0DBA2892"/>
    <w:rsid w:val="0DC230DA"/>
    <w:rsid w:val="0DFC43EE"/>
    <w:rsid w:val="0E071751"/>
    <w:rsid w:val="0E155DCE"/>
    <w:rsid w:val="0EF3581F"/>
    <w:rsid w:val="0FC11C86"/>
    <w:rsid w:val="0FE963AA"/>
    <w:rsid w:val="0FF43C95"/>
    <w:rsid w:val="100030CD"/>
    <w:rsid w:val="1013466D"/>
    <w:rsid w:val="10400C73"/>
    <w:rsid w:val="10541F0B"/>
    <w:rsid w:val="109426A4"/>
    <w:rsid w:val="109E6CEA"/>
    <w:rsid w:val="10B81550"/>
    <w:rsid w:val="10D4332C"/>
    <w:rsid w:val="10E31E45"/>
    <w:rsid w:val="10E55ACF"/>
    <w:rsid w:val="10E91AC8"/>
    <w:rsid w:val="10EA39CE"/>
    <w:rsid w:val="11F76665"/>
    <w:rsid w:val="120F1D9B"/>
    <w:rsid w:val="122B7BDE"/>
    <w:rsid w:val="12353C53"/>
    <w:rsid w:val="12424D64"/>
    <w:rsid w:val="12CD58ED"/>
    <w:rsid w:val="12EF1D83"/>
    <w:rsid w:val="1341040F"/>
    <w:rsid w:val="13422CD3"/>
    <w:rsid w:val="137974FF"/>
    <w:rsid w:val="13923D70"/>
    <w:rsid w:val="13D5154C"/>
    <w:rsid w:val="141E1459"/>
    <w:rsid w:val="149937AD"/>
    <w:rsid w:val="14A565F8"/>
    <w:rsid w:val="14E90996"/>
    <w:rsid w:val="14EA08AB"/>
    <w:rsid w:val="150B2214"/>
    <w:rsid w:val="152C4152"/>
    <w:rsid w:val="153F6DF8"/>
    <w:rsid w:val="154D23DD"/>
    <w:rsid w:val="157D01A5"/>
    <w:rsid w:val="15CB25BB"/>
    <w:rsid w:val="15CE7AD3"/>
    <w:rsid w:val="15F806FD"/>
    <w:rsid w:val="16163B4D"/>
    <w:rsid w:val="163376F8"/>
    <w:rsid w:val="166F4214"/>
    <w:rsid w:val="167666C0"/>
    <w:rsid w:val="16875A75"/>
    <w:rsid w:val="169671CF"/>
    <w:rsid w:val="17123FA4"/>
    <w:rsid w:val="174E6803"/>
    <w:rsid w:val="17581C3A"/>
    <w:rsid w:val="17850FE4"/>
    <w:rsid w:val="178A4950"/>
    <w:rsid w:val="179E4EFF"/>
    <w:rsid w:val="17BB3FD7"/>
    <w:rsid w:val="17EB6EB9"/>
    <w:rsid w:val="1831222E"/>
    <w:rsid w:val="186B13F7"/>
    <w:rsid w:val="186F7073"/>
    <w:rsid w:val="188E5563"/>
    <w:rsid w:val="18A72CC1"/>
    <w:rsid w:val="18B85BA9"/>
    <w:rsid w:val="191531C5"/>
    <w:rsid w:val="197367E7"/>
    <w:rsid w:val="19C870A3"/>
    <w:rsid w:val="19FB511C"/>
    <w:rsid w:val="1A1F2EB6"/>
    <w:rsid w:val="1A2D7F56"/>
    <w:rsid w:val="1A313033"/>
    <w:rsid w:val="1A3D1C5D"/>
    <w:rsid w:val="1A4B2F42"/>
    <w:rsid w:val="1B3308F9"/>
    <w:rsid w:val="1B477AD1"/>
    <w:rsid w:val="1B612829"/>
    <w:rsid w:val="1B9528E2"/>
    <w:rsid w:val="1C603632"/>
    <w:rsid w:val="1D215739"/>
    <w:rsid w:val="1D6A28DA"/>
    <w:rsid w:val="1D97563C"/>
    <w:rsid w:val="1DAA6790"/>
    <w:rsid w:val="1DAB3183"/>
    <w:rsid w:val="1E2C349B"/>
    <w:rsid w:val="1E761E86"/>
    <w:rsid w:val="1E78331A"/>
    <w:rsid w:val="1EDD5919"/>
    <w:rsid w:val="1EEF1D6D"/>
    <w:rsid w:val="1F1548BF"/>
    <w:rsid w:val="1F3D5317"/>
    <w:rsid w:val="1FA71BE0"/>
    <w:rsid w:val="1FAF1515"/>
    <w:rsid w:val="1FBA1788"/>
    <w:rsid w:val="1FFC0970"/>
    <w:rsid w:val="200238BF"/>
    <w:rsid w:val="20263848"/>
    <w:rsid w:val="206F2DBA"/>
    <w:rsid w:val="20821FF1"/>
    <w:rsid w:val="20911C84"/>
    <w:rsid w:val="20A33E2E"/>
    <w:rsid w:val="20AC3427"/>
    <w:rsid w:val="20B46EB2"/>
    <w:rsid w:val="20B545E2"/>
    <w:rsid w:val="20BE2C75"/>
    <w:rsid w:val="20E24722"/>
    <w:rsid w:val="210B4D02"/>
    <w:rsid w:val="211D776A"/>
    <w:rsid w:val="21F330B9"/>
    <w:rsid w:val="221F1203"/>
    <w:rsid w:val="22606D54"/>
    <w:rsid w:val="2263692C"/>
    <w:rsid w:val="22A45C0C"/>
    <w:rsid w:val="22B42013"/>
    <w:rsid w:val="233E1350"/>
    <w:rsid w:val="234209B3"/>
    <w:rsid w:val="23D6622B"/>
    <w:rsid w:val="23EC7071"/>
    <w:rsid w:val="23ED1FA2"/>
    <w:rsid w:val="242E3C98"/>
    <w:rsid w:val="244F1925"/>
    <w:rsid w:val="248C3D5E"/>
    <w:rsid w:val="249C2E19"/>
    <w:rsid w:val="24E95FC5"/>
    <w:rsid w:val="252A56C1"/>
    <w:rsid w:val="253F34C7"/>
    <w:rsid w:val="256A6EF1"/>
    <w:rsid w:val="257655F3"/>
    <w:rsid w:val="260F1BFD"/>
    <w:rsid w:val="26290D8F"/>
    <w:rsid w:val="26532B50"/>
    <w:rsid w:val="269C7E9A"/>
    <w:rsid w:val="269E25CF"/>
    <w:rsid w:val="26B433AC"/>
    <w:rsid w:val="26C72E54"/>
    <w:rsid w:val="26DF3370"/>
    <w:rsid w:val="26F66237"/>
    <w:rsid w:val="27614E87"/>
    <w:rsid w:val="277419C1"/>
    <w:rsid w:val="27AD7C6B"/>
    <w:rsid w:val="27E02339"/>
    <w:rsid w:val="27F86513"/>
    <w:rsid w:val="280F6774"/>
    <w:rsid w:val="2817271F"/>
    <w:rsid w:val="282720DB"/>
    <w:rsid w:val="284B2757"/>
    <w:rsid w:val="28994637"/>
    <w:rsid w:val="29556B72"/>
    <w:rsid w:val="296C600A"/>
    <w:rsid w:val="29970716"/>
    <w:rsid w:val="29A4706D"/>
    <w:rsid w:val="29C72495"/>
    <w:rsid w:val="2A7C7CFB"/>
    <w:rsid w:val="2A9A2A79"/>
    <w:rsid w:val="2AC114E7"/>
    <w:rsid w:val="2AD1024F"/>
    <w:rsid w:val="2AE1038D"/>
    <w:rsid w:val="2B120212"/>
    <w:rsid w:val="2B332CF5"/>
    <w:rsid w:val="2BAC7C5C"/>
    <w:rsid w:val="2BC66E25"/>
    <w:rsid w:val="2BDA47A4"/>
    <w:rsid w:val="2C4A71B7"/>
    <w:rsid w:val="2CA775D1"/>
    <w:rsid w:val="2CE41CD8"/>
    <w:rsid w:val="2D05228B"/>
    <w:rsid w:val="2DF96666"/>
    <w:rsid w:val="2DF96DE2"/>
    <w:rsid w:val="2E4771D2"/>
    <w:rsid w:val="2E57579D"/>
    <w:rsid w:val="2E7C33AF"/>
    <w:rsid w:val="2E804350"/>
    <w:rsid w:val="2EF860E1"/>
    <w:rsid w:val="2FA21269"/>
    <w:rsid w:val="2FAE7E11"/>
    <w:rsid w:val="2FE90968"/>
    <w:rsid w:val="30071E06"/>
    <w:rsid w:val="303061EE"/>
    <w:rsid w:val="30517B26"/>
    <w:rsid w:val="30542480"/>
    <w:rsid w:val="3092573B"/>
    <w:rsid w:val="30C31602"/>
    <w:rsid w:val="30CD0CA4"/>
    <w:rsid w:val="31561413"/>
    <w:rsid w:val="319D46A0"/>
    <w:rsid w:val="31DC3098"/>
    <w:rsid w:val="31E62224"/>
    <w:rsid w:val="32135324"/>
    <w:rsid w:val="321A0F82"/>
    <w:rsid w:val="323B53E8"/>
    <w:rsid w:val="323C0475"/>
    <w:rsid w:val="325470B4"/>
    <w:rsid w:val="325B1CAF"/>
    <w:rsid w:val="3293668C"/>
    <w:rsid w:val="32E20C51"/>
    <w:rsid w:val="331678BB"/>
    <w:rsid w:val="333977DF"/>
    <w:rsid w:val="335C5734"/>
    <w:rsid w:val="339A00B5"/>
    <w:rsid w:val="33DA33B5"/>
    <w:rsid w:val="33EB6F0B"/>
    <w:rsid w:val="34186F10"/>
    <w:rsid w:val="34591CB0"/>
    <w:rsid w:val="345B6845"/>
    <w:rsid w:val="346202B8"/>
    <w:rsid w:val="34745FBD"/>
    <w:rsid w:val="35614329"/>
    <w:rsid w:val="362B5D0F"/>
    <w:rsid w:val="364702E4"/>
    <w:rsid w:val="36643D58"/>
    <w:rsid w:val="368A2987"/>
    <w:rsid w:val="3694371B"/>
    <w:rsid w:val="36D069F3"/>
    <w:rsid w:val="36DE7D55"/>
    <w:rsid w:val="371074F3"/>
    <w:rsid w:val="381C5B91"/>
    <w:rsid w:val="382755B1"/>
    <w:rsid w:val="38E404FD"/>
    <w:rsid w:val="38FB6A2D"/>
    <w:rsid w:val="39153E37"/>
    <w:rsid w:val="393206E7"/>
    <w:rsid w:val="395E44C1"/>
    <w:rsid w:val="398E0DC2"/>
    <w:rsid w:val="399B43FA"/>
    <w:rsid w:val="39B437E8"/>
    <w:rsid w:val="39C26FED"/>
    <w:rsid w:val="39D50F0F"/>
    <w:rsid w:val="39D670F4"/>
    <w:rsid w:val="39F741B1"/>
    <w:rsid w:val="3AA92720"/>
    <w:rsid w:val="3AE86A88"/>
    <w:rsid w:val="3AEC1C37"/>
    <w:rsid w:val="3B82196C"/>
    <w:rsid w:val="3B871DDC"/>
    <w:rsid w:val="3B8D18D7"/>
    <w:rsid w:val="3BC90D38"/>
    <w:rsid w:val="3BD93952"/>
    <w:rsid w:val="3BE028B3"/>
    <w:rsid w:val="3C541E60"/>
    <w:rsid w:val="3C6E3EB5"/>
    <w:rsid w:val="3C841D58"/>
    <w:rsid w:val="3CAF682D"/>
    <w:rsid w:val="3D08605E"/>
    <w:rsid w:val="3D130A9B"/>
    <w:rsid w:val="3D741660"/>
    <w:rsid w:val="3DDC6B80"/>
    <w:rsid w:val="3DDD1BE8"/>
    <w:rsid w:val="3DFF348B"/>
    <w:rsid w:val="3E0C6883"/>
    <w:rsid w:val="3E2C300D"/>
    <w:rsid w:val="3E382B6B"/>
    <w:rsid w:val="3E507B57"/>
    <w:rsid w:val="3E526AD0"/>
    <w:rsid w:val="3E5F54D0"/>
    <w:rsid w:val="3EA83660"/>
    <w:rsid w:val="3EBA30DE"/>
    <w:rsid w:val="3EC62501"/>
    <w:rsid w:val="3EFA6D1F"/>
    <w:rsid w:val="3F223E25"/>
    <w:rsid w:val="3F702284"/>
    <w:rsid w:val="3FD27EA7"/>
    <w:rsid w:val="401471BB"/>
    <w:rsid w:val="403E2824"/>
    <w:rsid w:val="40CD3EC6"/>
    <w:rsid w:val="40CF69F1"/>
    <w:rsid w:val="41195E4D"/>
    <w:rsid w:val="41213C23"/>
    <w:rsid w:val="41A51DC8"/>
    <w:rsid w:val="42A009F3"/>
    <w:rsid w:val="42CA019D"/>
    <w:rsid w:val="42FB2AE8"/>
    <w:rsid w:val="435239B8"/>
    <w:rsid w:val="43852216"/>
    <w:rsid w:val="439D0744"/>
    <w:rsid w:val="43A6005A"/>
    <w:rsid w:val="43A62A6E"/>
    <w:rsid w:val="43B3055F"/>
    <w:rsid w:val="43C3343F"/>
    <w:rsid w:val="43FA63DF"/>
    <w:rsid w:val="440316DD"/>
    <w:rsid w:val="447F5EC2"/>
    <w:rsid w:val="44B74548"/>
    <w:rsid w:val="44C83118"/>
    <w:rsid w:val="44DE7878"/>
    <w:rsid w:val="44E12B8C"/>
    <w:rsid w:val="458610A1"/>
    <w:rsid w:val="45BE54D0"/>
    <w:rsid w:val="46064560"/>
    <w:rsid w:val="460A6120"/>
    <w:rsid w:val="462F25D6"/>
    <w:rsid w:val="464A709F"/>
    <w:rsid w:val="465771CD"/>
    <w:rsid w:val="465E73DB"/>
    <w:rsid w:val="468C126C"/>
    <w:rsid w:val="46F41277"/>
    <w:rsid w:val="471B3203"/>
    <w:rsid w:val="47516290"/>
    <w:rsid w:val="47766E68"/>
    <w:rsid w:val="47782A02"/>
    <w:rsid w:val="47F861C1"/>
    <w:rsid w:val="48145C48"/>
    <w:rsid w:val="487B6332"/>
    <w:rsid w:val="48B41258"/>
    <w:rsid w:val="49627604"/>
    <w:rsid w:val="49B75F2A"/>
    <w:rsid w:val="49C271A3"/>
    <w:rsid w:val="4A0B4352"/>
    <w:rsid w:val="4A2319E6"/>
    <w:rsid w:val="4B142850"/>
    <w:rsid w:val="4B1A7826"/>
    <w:rsid w:val="4B4F092F"/>
    <w:rsid w:val="4B524604"/>
    <w:rsid w:val="4B5651EC"/>
    <w:rsid w:val="4B603B7B"/>
    <w:rsid w:val="4B9F0768"/>
    <w:rsid w:val="4BBC6AA5"/>
    <w:rsid w:val="4BF24EAD"/>
    <w:rsid w:val="4BFC3F7E"/>
    <w:rsid w:val="4C2164FD"/>
    <w:rsid w:val="4C3731E4"/>
    <w:rsid w:val="4C67718C"/>
    <w:rsid w:val="4C7C4B9E"/>
    <w:rsid w:val="4C81399F"/>
    <w:rsid w:val="4CB93147"/>
    <w:rsid w:val="4CBE7F77"/>
    <w:rsid w:val="4CC95F50"/>
    <w:rsid w:val="4CD45FCC"/>
    <w:rsid w:val="4CF75481"/>
    <w:rsid w:val="4D41354B"/>
    <w:rsid w:val="4D452A31"/>
    <w:rsid w:val="4D4E0B28"/>
    <w:rsid w:val="4D670211"/>
    <w:rsid w:val="4E3727B8"/>
    <w:rsid w:val="4E4A0AB9"/>
    <w:rsid w:val="4E586596"/>
    <w:rsid w:val="4E85035F"/>
    <w:rsid w:val="4E8F0FC1"/>
    <w:rsid w:val="4E966553"/>
    <w:rsid w:val="4EBE184A"/>
    <w:rsid w:val="4ED43585"/>
    <w:rsid w:val="4EDE4757"/>
    <w:rsid w:val="4F611A5A"/>
    <w:rsid w:val="4FD2423D"/>
    <w:rsid w:val="50665C75"/>
    <w:rsid w:val="508D0734"/>
    <w:rsid w:val="50A82E1E"/>
    <w:rsid w:val="511E2279"/>
    <w:rsid w:val="511F6FA8"/>
    <w:rsid w:val="51612C25"/>
    <w:rsid w:val="518838DB"/>
    <w:rsid w:val="52276A66"/>
    <w:rsid w:val="523F4E28"/>
    <w:rsid w:val="524203A6"/>
    <w:rsid w:val="524E6042"/>
    <w:rsid w:val="52513BB2"/>
    <w:rsid w:val="529D1751"/>
    <w:rsid w:val="52BE2804"/>
    <w:rsid w:val="52DA1BBD"/>
    <w:rsid w:val="52EB6FC6"/>
    <w:rsid w:val="52F23C47"/>
    <w:rsid w:val="537B4387"/>
    <w:rsid w:val="539A2935"/>
    <w:rsid w:val="541B3592"/>
    <w:rsid w:val="544862AB"/>
    <w:rsid w:val="546078A2"/>
    <w:rsid w:val="54794500"/>
    <w:rsid w:val="549A6D5F"/>
    <w:rsid w:val="54AB1A25"/>
    <w:rsid w:val="54CF07B4"/>
    <w:rsid w:val="55020271"/>
    <w:rsid w:val="553A2DC7"/>
    <w:rsid w:val="5594039F"/>
    <w:rsid w:val="562C1112"/>
    <w:rsid w:val="56584EE3"/>
    <w:rsid w:val="56795557"/>
    <w:rsid w:val="56D57081"/>
    <w:rsid w:val="570609F1"/>
    <w:rsid w:val="57555C04"/>
    <w:rsid w:val="576D77F2"/>
    <w:rsid w:val="578A7A3C"/>
    <w:rsid w:val="57A630C3"/>
    <w:rsid w:val="57DD092D"/>
    <w:rsid w:val="5801123A"/>
    <w:rsid w:val="581B1208"/>
    <w:rsid w:val="58210238"/>
    <w:rsid w:val="58561607"/>
    <w:rsid w:val="586512FC"/>
    <w:rsid w:val="586E66A0"/>
    <w:rsid w:val="58DA7055"/>
    <w:rsid w:val="597B35AF"/>
    <w:rsid w:val="59C82244"/>
    <w:rsid w:val="59CC7EBA"/>
    <w:rsid w:val="59F36B5D"/>
    <w:rsid w:val="5A0C4519"/>
    <w:rsid w:val="5AB82206"/>
    <w:rsid w:val="5ADE7381"/>
    <w:rsid w:val="5AE042FB"/>
    <w:rsid w:val="5B081B97"/>
    <w:rsid w:val="5B170624"/>
    <w:rsid w:val="5B6078B5"/>
    <w:rsid w:val="5BA01879"/>
    <w:rsid w:val="5BD7080F"/>
    <w:rsid w:val="5BEE0310"/>
    <w:rsid w:val="5C163158"/>
    <w:rsid w:val="5C425A9D"/>
    <w:rsid w:val="5C457717"/>
    <w:rsid w:val="5C8728B4"/>
    <w:rsid w:val="5CCE2FD6"/>
    <w:rsid w:val="5CE330EC"/>
    <w:rsid w:val="5D385380"/>
    <w:rsid w:val="5D475B2E"/>
    <w:rsid w:val="5D773C39"/>
    <w:rsid w:val="5D83060D"/>
    <w:rsid w:val="5DD43000"/>
    <w:rsid w:val="5DEF5B5C"/>
    <w:rsid w:val="5E4E6E51"/>
    <w:rsid w:val="5E5A17C7"/>
    <w:rsid w:val="5EA505EB"/>
    <w:rsid w:val="5EA86711"/>
    <w:rsid w:val="5EAB5E7A"/>
    <w:rsid w:val="5EC11CBE"/>
    <w:rsid w:val="5F1D3F91"/>
    <w:rsid w:val="5F351803"/>
    <w:rsid w:val="5F774A68"/>
    <w:rsid w:val="5F83386E"/>
    <w:rsid w:val="5F8C60DC"/>
    <w:rsid w:val="5FA6219D"/>
    <w:rsid w:val="5FAB0129"/>
    <w:rsid w:val="5FB2533A"/>
    <w:rsid w:val="5FF73BFE"/>
    <w:rsid w:val="5FF74192"/>
    <w:rsid w:val="601D10A3"/>
    <w:rsid w:val="60227A27"/>
    <w:rsid w:val="604A54B0"/>
    <w:rsid w:val="608841E1"/>
    <w:rsid w:val="60B72341"/>
    <w:rsid w:val="60C804CA"/>
    <w:rsid w:val="60CA364F"/>
    <w:rsid w:val="60CB6517"/>
    <w:rsid w:val="611761ED"/>
    <w:rsid w:val="617C4FE3"/>
    <w:rsid w:val="61AF02EA"/>
    <w:rsid w:val="61BE75EA"/>
    <w:rsid w:val="61DA4DB5"/>
    <w:rsid w:val="62093DC7"/>
    <w:rsid w:val="621B30FC"/>
    <w:rsid w:val="62C60519"/>
    <w:rsid w:val="63846254"/>
    <w:rsid w:val="63A1662B"/>
    <w:rsid w:val="63C07086"/>
    <w:rsid w:val="63C434FD"/>
    <w:rsid w:val="642F0CE7"/>
    <w:rsid w:val="64511AEF"/>
    <w:rsid w:val="64892BE8"/>
    <w:rsid w:val="64A72D12"/>
    <w:rsid w:val="64C47847"/>
    <w:rsid w:val="64DD3107"/>
    <w:rsid w:val="64FB7AD7"/>
    <w:rsid w:val="652F67A3"/>
    <w:rsid w:val="65770E56"/>
    <w:rsid w:val="65834E5D"/>
    <w:rsid w:val="65CD1750"/>
    <w:rsid w:val="66070BD7"/>
    <w:rsid w:val="66096EDE"/>
    <w:rsid w:val="665A7C67"/>
    <w:rsid w:val="66D91C48"/>
    <w:rsid w:val="66D9725C"/>
    <w:rsid w:val="67134E38"/>
    <w:rsid w:val="6719501E"/>
    <w:rsid w:val="67230891"/>
    <w:rsid w:val="67F4369A"/>
    <w:rsid w:val="68621ACF"/>
    <w:rsid w:val="688D7022"/>
    <w:rsid w:val="68A64D18"/>
    <w:rsid w:val="68D96CEE"/>
    <w:rsid w:val="68EF417F"/>
    <w:rsid w:val="68F30D22"/>
    <w:rsid w:val="69205385"/>
    <w:rsid w:val="693E0C75"/>
    <w:rsid w:val="69991B27"/>
    <w:rsid w:val="69CD45A5"/>
    <w:rsid w:val="69CF6739"/>
    <w:rsid w:val="69F44C97"/>
    <w:rsid w:val="6A0C46C7"/>
    <w:rsid w:val="6A102852"/>
    <w:rsid w:val="6A1E6992"/>
    <w:rsid w:val="6A4526D3"/>
    <w:rsid w:val="6A7B79A9"/>
    <w:rsid w:val="6ADD43E2"/>
    <w:rsid w:val="6AE421D3"/>
    <w:rsid w:val="6B303BF1"/>
    <w:rsid w:val="6B794260"/>
    <w:rsid w:val="6B7D5091"/>
    <w:rsid w:val="6B7E0C5D"/>
    <w:rsid w:val="6B885D4F"/>
    <w:rsid w:val="6B990EC3"/>
    <w:rsid w:val="6C2E088C"/>
    <w:rsid w:val="6C367E96"/>
    <w:rsid w:val="6C6509E5"/>
    <w:rsid w:val="6C706150"/>
    <w:rsid w:val="6CC23729"/>
    <w:rsid w:val="6CE54260"/>
    <w:rsid w:val="6D162C9B"/>
    <w:rsid w:val="6D336DC6"/>
    <w:rsid w:val="6D692A81"/>
    <w:rsid w:val="6E090332"/>
    <w:rsid w:val="6E0948CB"/>
    <w:rsid w:val="6EC45F46"/>
    <w:rsid w:val="6F3D0CD1"/>
    <w:rsid w:val="6F994F6C"/>
    <w:rsid w:val="6F9E4F77"/>
    <w:rsid w:val="6FEA58BE"/>
    <w:rsid w:val="70057F62"/>
    <w:rsid w:val="700B1AE0"/>
    <w:rsid w:val="702A6268"/>
    <w:rsid w:val="70907E6E"/>
    <w:rsid w:val="70E64F1F"/>
    <w:rsid w:val="70EB6D27"/>
    <w:rsid w:val="711602FE"/>
    <w:rsid w:val="714939A4"/>
    <w:rsid w:val="715D0235"/>
    <w:rsid w:val="71E03AE9"/>
    <w:rsid w:val="71FA6D8D"/>
    <w:rsid w:val="720803D1"/>
    <w:rsid w:val="721414FE"/>
    <w:rsid w:val="72832C68"/>
    <w:rsid w:val="72E61A09"/>
    <w:rsid w:val="72FE3595"/>
    <w:rsid w:val="7366709D"/>
    <w:rsid w:val="73A264BE"/>
    <w:rsid w:val="73A90ADD"/>
    <w:rsid w:val="73C0618E"/>
    <w:rsid w:val="74112622"/>
    <w:rsid w:val="743C7FB1"/>
    <w:rsid w:val="74423276"/>
    <w:rsid w:val="744E4297"/>
    <w:rsid w:val="74734C4D"/>
    <w:rsid w:val="74B1689C"/>
    <w:rsid w:val="74B97D5D"/>
    <w:rsid w:val="74E12958"/>
    <w:rsid w:val="74F708D7"/>
    <w:rsid w:val="75040949"/>
    <w:rsid w:val="750477ED"/>
    <w:rsid w:val="758E223D"/>
    <w:rsid w:val="75914FC5"/>
    <w:rsid w:val="75AA0B8D"/>
    <w:rsid w:val="75BD203C"/>
    <w:rsid w:val="75C735CB"/>
    <w:rsid w:val="75E51528"/>
    <w:rsid w:val="75FB0EF0"/>
    <w:rsid w:val="766607C9"/>
    <w:rsid w:val="766D4F2B"/>
    <w:rsid w:val="76C74554"/>
    <w:rsid w:val="77561F4A"/>
    <w:rsid w:val="776D6D58"/>
    <w:rsid w:val="778E18B2"/>
    <w:rsid w:val="779B2CF7"/>
    <w:rsid w:val="77E77FA4"/>
    <w:rsid w:val="7813777E"/>
    <w:rsid w:val="78462278"/>
    <w:rsid w:val="788F373B"/>
    <w:rsid w:val="78C16A0F"/>
    <w:rsid w:val="78CF46C8"/>
    <w:rsid w:val="78D25331"/>
    <w:rsid w:val="78FD7BCD"/>
    <w:rsid w:val="790430E5"/>
    <w:rsid w:val="791C3F30"/>
    <w:rsid w:val="79345466"/>
    <w:rsid w:val="79566C8A"/>
    <w:rsid w:val="79665098"/>
    <w:rsid w:val="79B91302"/>
    <w:rsid w:val="79CF5664"/>
    <w:rsid w:val="7A004C29"/>
    <w:rsid w:val="7A0D0584"/>
    <w:rsid w:val="7A2902FC"/>
    <w:rsid w:val="7A483E77"/>
    <w:rsid w:val="7AB514DB"/>
    <w:rsid w:val="7AD52994"/>
    <w:rsid w:val="7B036984"/>
    <w:rsid w:val="7B9874E5"/>
    <w:rsid w:val="7BE56054"/>
    <w:rsid w:val="7BF978CD"/>
    <w:rsid w:val="7BFE209F"/>
    <w:rsid w:val="7C0E7DE9"/>
    <w:rsid w:val="7C112C6C"/>
    <w:rsid w:val="7C812685"/>
    <w:rsid w:val="7CC82660"/>
    <w:rsid w:val="7D1D2865"/>
    <w:rsid w:val="7D1E15D4"/>
    <w:rsid w:val="7D2230A3"/>
    <w:rsid w:val="7D5224E3"/>
    <w:rsid w:val="7D523B0E"/>
    <w:rsid w:val="7D714DF0"/>
    <w:rsid w:val="7D721B23"/>
    <w:rsid w:val="7D8D7692"/>
    <w:rsid w:val="7DB218A7"/>
    <w:rsid w:val="7DFA3729"/>
    <w:rsid w:val="7E161025"/>
    <w:rsid w:val="7E4C5101"/>
    <w:rsid w:val="7EA81185"/>
    <w:rsid w:val="7EB535C8"/>
    <w:rsid w:val="7EF127D4"/>
    <w:rsid w:val="7F344B79"/>
    <w:rsid w:val="7F460233"/>
    <w:rsid w:val="7F556D49"/>
    <w:rsid w:val="7F69293C"/>
    <w:rsid w:val="7F9A2386"/>
    <w:rsid w:val="7FA73F44"/>
    <w:rsid w:val="7FD413BB"/>
    <w:rsid w:val="7FE63F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36">
    <w:name w:val="批注文字 字符"/>
    <w:qFormat/>
    <w:uiPriority w:val="99"/>
    <w:rPr>
      <w:kern w:val="2"/>
      <w:sz w:val="21"/>
      <w:szCs w:val="22"/>
    </w:rPr>
  </w:style>
  <w:style w:type="character" w:customStyle="1" w:styleId="37">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21517</Words>
  <Characters>22299</Characters>
  <Lines>217</Lines>
  <Paragraphs>61</Paragraphs>
  <TotalTime>0</TotalTime>
  <ScaleCrop>false</ScaleCrop>
  <LinksUpToDate>false</LinksUpToDate>
  <CharactersWithSpaces>22500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2021-10-29T09:09:00Z</dcterms:created>
  <dc:creator>JSYH</dc:creator>
  <cp:lastModifiedBy>lhy</cp:lastModifiedBy>
  <cp:lastPrinted>2022-07-29T03:17:00Z</cp:lastPrinted>
  <dcterms:modified xsi:type="dcterms:W3CDTF">2026-02-11T03:18:27Z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BA4F2809FF0C43C98C112B21113FE379</vt:lpwstr>
  </property>
</Properties>
</file>