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76A1F3">
      <w:pPr>
        <w:adjustRightInd w:val="0"/>
        <w:spacing w:line="276" w:lineRule="auto"/>
        <w:ind w:firstLine="422"/>
        <w:jc w:val="center"/>
        <w:rPr>
          <w:rFonts w:ascii="黑体" w:hAnsi="黑体" w:eastAsia="黑体"/>
          <w:b/>
          <w:bCs/>
          <w:sz w:val="28"/>
          <w:szCs w:val="28"/>
        </w:rPr>
      </w:pPr>
      <w:permStart w:id="0" w:edGrp="everyone"/>
      <w:r>
        <w:rPr>
          <w:rFonts w:hint="eastAsia" w:ascii="黑体" w:hAnsi="黑体" w:eastAsia="黑体"/>
          <w:b/>
          <w:bCs/>
          <w:sz w:val="28"/>
          <w:szCs w:val="28"/>
        </w:rPr>
        <w:t>兴银理财【稳利安盈封闭式】</w:t>
      </w:r>
      <w:r>
        <w:rPr>
          <w:rFonts w:ascii="黑体" w:hAnsi="黑体" w:eastAsia="黑体"/>
          <w:b/>
          <w:bCs/>
          <w:sz w:val="28"/>
          <w:szCs w:val="28"/>
        </w:rPr>
        <w:t>理财产品</w:t>
      </w:r>
      <w:permEnd w:id="0"/>
    </w:p>
    <w:p w14:paraId="45EF3525">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14:paraId="562DD226">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14:paraId="182D86D4">
      <w:pPr>
        <w:rPr>
          <w:rFonts w:ascii="宋体" w:hAnsi="宋体" w:cs="仿宋_GB2312"/>
          <w:b/>
          <w:kern w:val="0"/>
          <w:sz w:val="18"/>
          <w:szCs w:val="18"/>
        </w:rPr>
      </w:pPr>
      <w:r>
        <w:rPr>
          <w:rFonts w:hint="eastAsia" w:ascii="宋体" w:hAnsi="宋体" w:cs="仿宋_GB2312"/>
          <w:b/>
          <w:kern w:val="0"/>
          <w:sz w:val="18"/>
          <w:szCs w:val="18"/>
        </w:rPr>
        <w:t>尊敬的投资者：</w:t>
      </w:r>
    </w:p>
    <w:p w14:paraId="783327F9">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14:paraId="38D948B6">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14:paraId="0DAB3B88">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14:paraId="5B82A81B">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14:paraId="363E7671">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【兴银理财稳利安盈封闭式2026年464期固收类理财产品</w:t>
      </w:r>
      <w:r>
        <w:rPr>
          <w:rFonts w:hint="eastAsia" w:asciiTheme="majorEastAsia" w:hAnsiTheme="majorEastAsia" w:eastAsiaTheme="majorEastAsia"/>
          <w:bCs/>
          <w:kern w:val="0"/>
          <w:sz w:val="18"/>
          <w:szCs w:val="18"/>
        </w:rPr>
        <w:t>】</w:t>
      </w:r>
      <w:permEnd w:id="1"/>
    </w:p>
    <w:p w14:paraId="46217372">
      <w:pPr>
        <w:ind w:firstLine="448" w:firstLineChars="249"/>
        <w:rPr>
          <w:rFonts w:ascii="宋体" w:hAnsi="宋体" w:cs="仿宋_GB2312"/>
          <w:kern w:val="0"/>
          <w:sz w:val="18"/>
          <w:szCs w:val="18"/>
        </w:rPr>
      </w:pPr>
      <w:permStart w:id="2" w:edGrp="everyone"/>
      <w:permEnd w:id="2"/>
      <w:r>
        <w:rPr>
          <w:rFonts w:ascii="宋体" w:hAnsi="宋体" w:cs="宋体" w:eastAsia="宋体"/>
          <w:sz w:val="18"/>
        </w:rPr>
        <w:t>销售名称：【稳利安盈2026年464期A】 (适用【A】类份额)</w:t>
        <w:br/>
      </w:r>
      <w:r>
        <w:rPr>
          <w:rFonts w:ascii="宋体" w:hAnsi="宋体" w:cs="宋体" w:eastAsia="宋体"/>
          <w:sz w:val="18"/>
        </w:rPr>
        <w:t xml:space="preserve">     【稳利安盈2026年464期C】 (适用【C】类份额)</w:t>
        <w:br/>
      </w:r>
      <w:r>
        <w:rPr>
          <w:rFonts w:ascii="宋体" w:hAnsi="宋体" w:cs="宋体" w:eastAsia="宋体"/>
          <w:sz w:val="18"/>
        </w:rPr>
        <w:t xml:space="preserve">     【稳利安盈2026年464期D】 (适用【D】类份额)</w:t>
        <w:br/>
      </w:r>
      <w:r>
        <w:rPr>
          <w:rFonts w:ascii="宋体" w:hAnsi="宋体" w:cs="宋体" w:eastAsia="宋体"/>
          <w:sz w:val="18"/>
        </w:rPr>
        <w:t xml:space="preserve">     【稳利安盈2026年464期E】 (适用【E】类份额)</w:t>
        <w:br/>
      </w:r>
      <w:r>
        <w:rPr>
          <w:rFonts w:ascii="宋体" w:hAnsi="宋体" w:cs="宋体" w:eastAsia="宋体"/>
          <w:sz w:val="18"/>
        </w:rPr>
        <w:t xml:space="preserve">     【稳利安盈2026年464期F】 (适用【F】类份额)</w:t>
        <w:br/>
      </w:r>
      <w:r>
        <w:rPr>
          <w:rFonts w:ascii="宋体" w:hAnsi="宋体" w:cs="宋体" w:eastAsia="宋体"/>
          <w:sz w:val="18"/>
        </w:rPr>
        <w:t xml:space="preserve">     【稳利安盈2026年464期H】 (适用【H】类份额)</w:t>
      </w:r>
    </w:p>
    <w:p w14:paraId="7FACB9DF">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cs="仿宋_GB2312"/>
          <w:kern w:val="0"/>
          <w:sz w:val="18"/>
          <w:szCs w:val="18"/>
        </w:rPr>
        <w:t>Z7002026000210</w:t>
      </w:r>
      <w:r>
        <w:rPr>
          <w:rFonts w:ascii="宋体" w:hAnsi="宋体" w:cs="仿宋_GB2312"/>
          <w:kern w:val="0"/>
          <w:sz w:val="18"/>
          <w:szCs w:val="18"/>
        </w:rPr>
        <w:t>】</w:t>
      </w:r>
      <w:permEnd w:id="3"/>
    </w:p>
    <w:p w14:paraId="51D8BF9B">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14:paraId="7AB1E895">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14:paraId="64950B7D">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14:paraId="5885FCE0">
      <w:pPr>
        <w:ind w:firstLine="448" w:firstLineChars="249"/>
        <w:rPr>
          <w:rFonts w:hint="eastAsia" w:ascii="宋体" w:hAnsi="宋体" w:cs="仿宋_GB2312"/>
          <w:kern w:val="0"/>
          <w:sz w:val="18"/>
          <w:szCs w:val="18"/>
        </w:rPr>
      </w:pPr>
      <w:permStart w:id="5" w:edGrp="everyone"/>
      <w:r>
        <w:rPr>
          <w:rFonts w:hint="eastAsia" w:ascii="宋体" w:hAnsi="宋体" w:cs="仿宋_GB2312"/>
          <w:kern w:val="0"/>
          <w:sz w:val="18"/>
          <w:szCs w:val="18"/>
        </w:rPr>
        <w:t>【■有固定期限:【112天】</w:t>
      </w:r>
    </w:p>
    <w:p w14:paraId="2E0B226E">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permEnd w:id="5"/>
      <w:r>
        <w:rPr>
          <w:rFonts w:ascii="宋体" w:hAnsi="宋体" w:cs="仿宋_GB2312"/>
          <w:kern w:val="0"/>
          <w:sz w:val="18"/>
          <w:szCs w:val="18"/>
        </w:rPr>
        <w:t>。</w:t>
      </w:r>
    </w:p>
    <w:p w14:paraId="26CBE7AA">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14:paraId="7F09D153">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14:paraId="1C2F76C8">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14:paraId="684D11E6">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14:paraId="35029548">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【R1】</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【R1】</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【R1】</w:t>
      </w:r>
      <w:permEnd w:id="8"/>
      <w:r>
        <w:rPr>
          <w:rFonts w:hint="eastAsia" w:ascii="黑体" w:hAnsi="黑体" w:eastAsia="黑体" w:cs="黑体"/>
          <w:kern w:val="0"/>
          <w:sz w:val="18"/>
          <w:szCs w:val="18"/>
        </w:rPr>
        <w:t>）。</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14:paraId="3CC401F3">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14:paraId="5FD55CB5">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14:paraId="6F0F32EB">
      <w:pPr>
        <w:ind w:firstLine="360" w:firstLineChars="200"/>
        <w:rPr>
          <w:rFonts w:hint="eastAsia"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 C1、■ C2、■ C3、■ C4、■ C5、■ C6】</w:t>
      </w:r>
    </w:p>
    <w:p w14:paraId="129FB931">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 C1、■ C2、■ C3、■ C4、■ C5】</w:t>
      </w:r>
    </w:p>
    <w:permEnd w:id="9"/>
    <w:p w14:paraId="6A50E2A6">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14:paraId="37FF05E9">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14:paraId="0FC483CD">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14:paraId="725738A6">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2D80C5EE">
      <w:pPr>
        <w:ind w:firstLine="360" w:firstLineChars="200"/>
        <w:rPr>
          <w:rFonts w:hint="eastAsia" w:ascii="宋体" w:hAnsi="宋体"/>
          <w:sz w:val="18"/>
          <w:szCs w:val="18"/>
        </w:rPr>
      </w:pPr>
      <w:permStart w:id="10" w:edGrp="everyone"/>
      <w:r>
        <w:rPr>
          <w:rFonts w:hint="eastAsia" w:ascii="宋体" w:hAnsi="宋体"/>
          <w:sz w:val="18"/>
          <w:szCs w:val="18"/>
        </w:rPr>
        <w:t>【1.拟投资市场和资产的风险：</w:t>
      </w:r>
    </w:p>
    <w:p w14:paraId="4B7724BD">
      <w:pPr>
        <w:ind w:firstLine="360" w:firstLineChars="200"/>
        <w:rPr>
          <w:rFonts w:hint="eastAsia" w:ascii="宋体" w:hAnsi="宋体"/>
          <w:sz w:val="18"/>
          <w:szCs w:val="18"/>
        </w:rPr>
      </w:pPr>
      <w:r>
        <w:rPr>
          <w:rFonts w:hint="eastAsia" w:ascii="宋体" w:hAnsi="宋体"/>
          <w:sz w:val="18"/>
          <w:szCs w:val="18"/>
        </w:rPr>
        <w:t>（1）投资债权类资产的风险</w:t>
      </w:r>
    </w:p>
    <w:p w14:paraId="335A2BEA">
      <w:pPr>
        <w:ind w:firstLine="360" w:firstLineChars="200"/>
        <w:rPr>
          <w:rFonts w:hint="eastAsia" w:ascii="宋体" w:hAnsi="宋体"/>
          <w:sz w:val="18"/>
          <w:szCs w:val="18"/>
        </w:rPr>
      </w:pPr>
      <w:r>
        <w:rPr>
          <w:rFonts w:hint="eastAsia" w:ascii="宋体" w:hAnsi="宋体"/>
          <w:sz w:val="18"/>
          <w:szCs w:val="18"/>
        </w:rPr>
        <w:t>1）投资标准化债权类资产的风险</w:t>
      </w:r>
    </w:p>
    <w:p w14:paraId="1E8EF7BD">
      <w:pPr>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29DB249E">
      <w:pPr>
        <w:ind w:firstLine="360" w:firstLineChars="200"/>
        <w:rPr>
          <w:rFonts w:hint="eastAsia" w:ascii="宋体" w:hAnsi="宋体"/>
          <w:sz w:val="18"/>
          <w:szCs w:val="18"/>
        </w:rPr>
      </w:pPr>
      <w:r>
        <w:rPr>
          <w:rFonts w:hint="eastAsia" w:ascii="宋体" w:hAnsi="宋体"/>
          <w:sz w:val="18"/>
          <w:szCs w:val="18"/>
        </w:rPr>
        <w:t>2）投资非标准化债权类资产的风险</w:t>
      </w:r>
    </w:p>
    <w:p w14:paraId="19BD8A96">
      <w:pPr>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bookmarkStart w:id="0" w:name="_GoBack"/>
      <w:bookmarkEnd w:id="0"/>
      <w:r>
        <w:rPr>
          <w:rFonts w:hint="eastAsia" w:ascii="宋体" w:hAnsi="宋体"/>
          <w:sz w:val="18"/>
          <w:szCs w:val="18"/>
        </w:rPr>
        <w:t>】</w:t>
      </w:r>
    </w:p>
    <w:permEnd w:id="10"/>
    <w:p w14:paraId="28261F78">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14:paraId="248DABE5">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31E656B7">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14:paraId="5FCE3A33">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31EDB87A">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14:paraId="585ECD77">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75C73ED2">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14:paraId="30A7EBFA">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32610945">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14:paraId="0973BA45">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27FCA8B9">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14:paraId="5A256EAB">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14:paraId="6EFB1511">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14:paraId="2B9002E1">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14:paraId="191189AD">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14:paraId="793C0941">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2D84C9B8">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14:paraId="0FE5B652">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14:paraId="10B76756">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14:paraId="4D82BB67">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14:paraId="5E89612E">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14:paraId="5AEB0A06">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14:paraId="3D760DB0">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14:paraId="0AD2DCEB">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14:paraId="02CE215B">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14:paraId="26626391">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14:paraId="10BB23D9">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14:paraId="6939B856">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14:paraId="244E3DA5">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14:paraId="56D45D94">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14:paraId="60108E97">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14:paraId="6089ECCA">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356C18DC">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14:paraId="61DE919C">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14:paraId="33408C7D">
      <w:pPr>
        <w:pStyle w:val="13"/>
        <w:ind w:firstLineChars="0"/>
        <w:rPr>
          <w:rFonts w:hint="eastAsia" w:ascii="黑体" w:hAnsi="黑体" w:eastAsia="黑体" w:cs="黑体"/>
          <w:b/>
          <w:bCs/>
          <w:sz w:val="18"/>
          <w:szCs w:val="18"/>
        </w:rPr>
      </w:pPr>
      <w:r>
        <w:rPr>
          <w:rFonts w:hint="eastAsia" w:ascii="黑体" w:hAnsi="黑体" w:eastAsia="黑体" w:cs="黑体"/>
          <w:b/>
          <w:bCs/>
          <w:sz w:val="18"/>
          <w:szCs w:val="18"/>
        </w:rPr>
        <w:t>17.★关联交易风险</w:t>
      </w:r>
    </w:p>
    <w:p w14:paraId="5D3B4F2F">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411B0324">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5F91E32F">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14:paraId="69C96BFB">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14:paraId="29B1BF98">
      <w:pPr>
        <w:ind w:left="540"/>
        <w:jc w:val="right"/>
        <w:rPr>
          <w:rFonts w:ascii="宋体" w:hAnsi="宋体"/>
          <w:sz w:val="18"/>
          <w:szCs w:val="18"/>
        </w:rPr>
      </w:pPr>
    </w:p>
    <w:p w14:paraId="64DAC806">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14:paraId="0B5D8D4B">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14:paraId="232B8567">
      <w:pPr>
        <w:widowControl/>
        <w:jc w:val="left"/>
        <w:rPr>
          <w:rFonts w:ascii="宋体" w:hAnsi="宋体"/>
          <w:sz w:val="18"/>
          <w:szCs w:val="18"/>
        </w:rPr>
      </w:pPr>
      <w:r>
        <w:rPr>
          <w:rFonts w:ascii="宋体" w:hAnsi="宋体"/>
          <w:sz w:val="18"/>
          <w:szCs w:val="18"/>
        </w:rPr>
        <w:br w:type="page"/>
      </w:r>
    </w:p>
    <w:p w14:paraId="69910CE2">
      <w:pPr>
        <w:ind w:left="540"/>
        <w:jc w:val="right"/>
        <w:rPr>
          <w:rFonts w:ascii="宋体" w:hAnsi="宋体"/>
          <w:sz w:val="18"/>
          <w:szCs w:val="18"/>
        </w:rPr>
      </w:pPr>
    </w:p>
    <w:p w14:paraId="16367A8D">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14:paraId="4C6844D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14:paraId="48673266">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14:paraId="51F2C31C">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14:paraId="122A4EE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14:paraId="059268E6">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14:paraId="1A315A3F">
            <w:pPr>
              <w:spacing w:line="280" w:lineRule="atLeast"/>
              <w:jc w:val="left"/>
              <w:rPr>
                <w:rFonts w:ascii="宋体" w:hAnsi="宋体" w:cs="Arial"/>
                <w:sz w:val="18"/>
                <w:szCs w:val="18"/>
              </w:rPr>
            </w:pPr>
          </w:p>
          <w:p w14:paraId="7E39C56F">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14:paraId="3D46BCA7">
            <w:pPr>
              <w:spacing w:line="280" w:lineRule="atLeast"/>
              <w:jc w:val="left"/>
              <w:rPr>
                <w:rFonts w:ascii="宋体" w:hAnsi="宋体" w:cs="Arial"/>
                <w:kern w:val="0"/>
                <w:sz w:val="18"/>
                <w:szCs w:val="18"/>
              </w:rPr>
            </w:pPr>
          </w:p>
          <w:p w14:paraId="449D1BC4">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14:paraId="27A59B1D">
            <w:pPr>
              <w:spacing w:line="280" w:lineRule="atLeast"/>
              <w:jc w:val="left"/>
              <w:rPr>
                <w:rFonts w:ascii="宋体" w:hAnsi="宋体" w:cs="Arial"/>
                <w:kern w:val="0"/>
                <w:sz w:val="18"/>
                <w:szCs w:val="18"/>
              </w:rPr>
            </w:pPr>
          </w:p>
          <w:p w14:paraId="024AEB30">
            <w:pPr>
              <w:spacing w:line="280" w:lineRule="atLeast"/>
              <w:jc w:val="left"/>
              <w:rPr>
                <w:kern w:val="0"/>
                <w:sz w:val="18"/>
                <w:szCs w:val="18"/>
                <w:u w:val="single"/>
              </w:rPr>
            </w:pPr>
            <w:r>
              <w:rPr>
                <w:rFonts w:hint="eastAsia" w:ascii="宋体" w:hAnsi="宋体" w:cs="Arial"/>
                <w:kern w:val="0"/>
                <w:sz w:val="18"/>
                <w:szCs w:val="18"/>
              </w:rPr>
              <w:t>请投资者在此抄录：</w:t>
            </w:r>
          </w:p>
          <w:p w14:paraId="1EB06C92">
            <w:pPr>
              <w:spacing w:line="280" w:lineRule="atLeast"/>
              <w:jc w:val="left"/>
              <w:rPr>
                <w:kern w:val="0"/>
                <w:sz w:val="18"/>
                <w:szCs w:val="18"/>
                <w:u w:val="single"/>
              </w:rPr>
            </w:pPr>
          </w:p>
          <w:p w14:paraId="2F925118">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14:paraId="2CA6A281">
            <w:pPr>
              <w:spacing w:line="280" w:lineRule="atLeast"/>
              <w:ind w:left="4200" w:firstLine="1080" w:firstLineChars="600"/>
              <w:jc w:val="left"/>
              <w:rPr>
                <w:rFonts w:ascii="宋体" w:hAnsi="宋体" w:cs="Arial"/>
                <w:kern w:val="0"/>
                <w:sz w:val="18"/>
                <w:szCs w:val="18"/>
              </w:rPr>
            </w:pPr>
          </w:p>
          <w:p w14:paraId="301E9B20">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14:paraId="5D913E54">
            <w:pPr>
              <w:spacing w:line="280" w:lineRule="atLeast"/>
              <w:ind w:left="4200" w:firstLine="1080" w:firstLineChars="600"/>
              <w:jc w:val="left"/>
              <w:rPr>
                <w:rFonts w:ascii="宋体" w:hAnsi="宋体" w:cs="Arial"/>
                <w:kern w:val="0"/>
                <w:sz w:val="18"/>
                <w:szCs w:val="18"/>
              </w:rPr>
            </w:pPr>
          </w:p>
          <w:p w14:paraId="7F60842C">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14:paraId="0DD72B40">
            <w:pPr>
              <w:spacing w:line="280" w:lineRule="atLeast"/>
              <w:jc w:val="right"/>
              <w:rPr>
                <w:rFonts w:ascii="宋体" w:hAnsi="宋体"/>
                <w:kern w:val="0"/>
                <w:sz w:val="18"/>
                <w:szCs w:val="18"/>
              </w:rPr>
            </w:pPr>
          </w:p>
        </w:tc>
      </w:tr>
    </w:tbl>
    <w:p w14:paraId="470FCF65">
      <w:pPr>
        <w:autoSpaceDE w:val="0"/>
        <w:autoSpaceDN w:val="0"/>
        <w:adjustRightInd w:val="0"/>
        <w:spacing w:line="360" w:lineRule="auto"/>
        <w:ind w:firstLine="420"/>
        <w:jc w:val="left"/>
        <w:rPr>
          <w:rFonts w:ascii="宋体" w:hAnsi="宋体"/>
          <w:sz w:val="24"/>
        </w:rPr>
      </w:pPr>
    </w:p>
    <w:p w14:paraId="31BA4124">
      <w:pPr>
        <w:rPr>
          <w:rFonts w:ascii="宋体" w:hAnsi="宋体" w:cs="Arial"/>
          <w:sz w:val="24"/>
        </w:rPr>
      </w:pPr>
    </w:p>
    <w:p w14:paraId="5D445154">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14:paraId="779D885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14:paraId="628F34AC">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14:paraId="728142AC">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14:paraId="468756E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14:paraId="0E5115C3">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14:paraId="050AF593">
            <w:pPr>
              <w:spacing w:line="280" w:lineRule="atLeast"/>
              <w:ind w:firstLine="360" w:firstLineChars="200"/>
              <w:jc w:val="left"/>
              <w:rPr>
                <w:rFonts w:ascii="宋体" w:hAnsi="宋体" w:cs="Arial"/>
                <w:kern w:val="0"/>
                <w:sz w:val="18"/>
                <w:szCs w:val="18"/>
              </w:rPr>
            </w:pPr>
          </w:p>
          <w:p w14:paraId="2F982EC8">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14:paraId="5E616C0C">
            <w:pPr>
              <w:spacing w:line="280" w:lineRule="atLeast"/>
              <w:ind w:firstLine="360" w:firstLineChars="200"/>
              <w:jc w:val="left"/>
              <w:rPr>
                <w:rFonts w:ascii="宋体" w:hAnsi="宋体" w:cs="Arial"/>
                <w:kern w:val="0"/>
                <w:sz w:val="18"/>
                <w:szCs w:val="18"/>
              </w:rPr>
            </w:pPr>
          </w:p>
          <w:p w14:paraId="36DE1DC7">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14:paraId="59116B02">
            <w:pPr>
              <w:spacing w:line="280" w:lineRule="atLeast"/>
              <w:jc w:val="left"/>
              <w:rPr>
                <w:rFonts w:ascii="宋体" w:hAnsi="宋体" w:cs="Arial"/>
                <w:kern w:val="0"/>
                <w:sz w:val="18"/>
                <w:szCs w:val="18"/>
              </w:rPr>
            </w:pPr>
          </w:p>
          <w:p w14:paraId="763C435D">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14:paraId="59C7E3A2">
            <w:pPr>
              <w:spacing w:line="280" w:lineRule="atLeast"/>
              <w:jc w:val="left"/>
              <w:rPr>
                <w:rFonts w:ascii="宋体" w:hAnsi="宋体" w:cs="Arial"/>
                <w:kern w:val="0"/>
                <w:sz w:val="18"/>
                <w:szCs w:val="18"/>
              </w:rPr>
            </w:pPr>
          </w:p>
          <w:p w14:paraId="24FD82CE">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14:paraId="54ADE695">
            <w:pPr>
              <w:spacing w:line="280" w:lineRule="atLeast"/>
              <w:jc w:val="left"/>
              <w:rPr>
                <w:rFonts w:ascii="宋体" w:hAnsi="宋体" w:cs="Arial"/>
                <w:kern w:val="0"/>
                <w:sz w:val="18"/>
                <w:szCs w:val="18"/>
              </w:rPr>
            </w:pPr>
          </w:p>
          <w:p w14:paraId="5CEA85CA">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14:paraId="7B280248">
            <w:pPr>
              <w:spacing w:line="280" w:lineRule="atLeast"/>
              <w:ind w:left="4200" w:firstLine="1080" w:firstLineChars="600"/>
              <w:jc w:val="left"/>
              <w:rPr>
                <w:rFonts w:ascii="宋体" w:hAnsi="宋体" w:cs="Arial"/>
                <w:kern w:val="0"/>
                <w:sz w:val="18"/>
                <w:szCs w:val="18"/>
              </w:rPr>
            </w:pPr>
          </w:p>
          <w:p w14:paraId="23C870E4">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14:paraId="07A60D52">
            <w:pPr>
              <w:spacing w:line="280" w:lineRule="atLeast"/>
              <w:rPr>
                <w:kern w:val="0"/>
                <w:sz w:val="20"/>
                <w:szCs w:val="20"/>
              </w:rPr>
            </w:pPr>
          </w:p>
          <w:p w14:paraId="493CF3CB">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14:paraId="59A7A9A8">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14:paraId="5E172E30">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6EE29">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14:paraId="5FA7A57A">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readOnly" w:enforcement="1" w:cryptProviderType="rsaFull" w:cryptAlgorithmClass="hash" w:cryptAlgorithmType="typeAny" w:cryptAlgorithmSid="4" w:cryptSpinCount="0" w:hash="j655Otm8upsUqSpjEcdk47Ww5iA=" w:salt="PvhQ0ZBgdpu62KdaWGQ/z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47012BB"/>
    <w:rsid w:val="04DC5D07"/>
    <w:rsid w:val="0647378D"/>
    <w:rsid w:val="093C4710"/>
    <w:rsid w:val="096C69E8"/>
    <w:rsid w:val="09977E3F"/>
    <w:rsid w:val="0B7600D9"/>
    <w:rsid w:val="123D1F82"/>
    <w:rsid w:val="14A5642A"/>
    <w:rsid w:val="23024B39"/>
    <w:rsid w:val="249562A2"/>
    <w:rsid w:val="2AB033FD"/>
    <w:rsid w:val="32ED1692"/>
    <w:rsid w:val="4EEE53D9"/>
    <w:rsid w:val="4F1A670E"/>
    <w:rsid w:val="5C93136F"/>
    <w:rsid w:val="601969DF"/>
    <w:rsid w:val="607F026D"/>
    <w:rsid w:val="659C2FA3"/>
    <w:rsid w:val="7CCA2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3906</Characters>
  <Lines>32</Lines>
  <Paragraphs>9</Paragraphs>
  <TotalTime>0</TotalTime>
  <ScaleCrop>false</ScaleCrop>
  <LinksUpToDate>false</LinksUpToDate>
  <CharactersWithSpaces>4582</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2024-03-04T01:44:00Z</dcterms:created>
  <dc:creator>胡骁潇</dc:creator>
  <cp:lastModifiedBy>cib</cp:lastModifiedBy>
  <dcterms:modified xsi:type="dcterms:W3CDTF">2026-03-03T02:26:36Z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FDB6FB28B5384F7FABE93F00961AE487_13</vt:lpwstr>
  </property>
</Properties>
</file>