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苏银理财恒源1年定开2001期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（2026年5月版）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等。请仔细阅读《“苏银理财恒源1年定开2001期”理财产品风险揭示书》的“风险揭示”部分。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苏银理财恒源1年定开2001期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Z7003121000073</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A份额:苏银理财恒源1年定开2001期A/J202204SA742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B份额:苏银理财恒源1年定开2001期B/J02344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C份额:苏银理财恒源1年定开2001期C/J18865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D份额:苏银理财恒源1年定开2001期D/J03247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F份额:苏银理财恒源1年定开2001期F/J02345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G份额:苏银理财恒源1年定开2001期G/J02346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J份额:苏银理财恒源1年定开2001期J/J03248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M份额:苏银理财恒源1年定开2001期M/J03249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P份额:苏银理财恒源1年定开2001期P/J03997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GS份额:苏银理财恒源1年定开2001期GS/J18866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LM份额:苏银理财恒源1年定开2001期LM（兰马专属）/J18867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U份额:苏银理财恒源1年定开2001期U/J18868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Z份额:苏银理财恒源1年定开2001期Z/J18869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ZA份额:苏银理财恒源1年定开2001期ZA鑫福款（自动赎回）/J03250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ZF份额:苏银理财恒源1年定开2001期ZF（自动赎回）/J03251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ZJ份额:苏银理财恒源1年定开2001期ZJ（自动赎回）/J18870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ZL份额:苏银理财恒源1年定开2001期ZL（自动赎回）/J18871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ZN份额:苏银理财恒源1年定开2001期ZN（自动赎回）/J03999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ZQ份额:苏银理财恒源1年定开2001期ZQ（自动赎回）/J04000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ZC份额:苏银理财恒源1年定开2001期ZC鑫福优享（自动赎回）/J18872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ZK份额:苏银理财恒源1年定开2001期ZK鑫福尊享（自动赎回）/J18873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w:t>
            </w:r>
            <w:bookmarkStart w:id="0" w:name="_GoBack"/>
            <w:bookmarkEnd w:id="0"/>
            <w:r>
              <w:rPr>
                <w:rFonts w:hint="eastAsia" w:ascii="楷体" w:hAnsi="楷体" w:eastAsia="楷体" w:cs="宋体"/>
                <w:spacing w:val="-2"/>
                <w:sz w:val="18"/>
                <w:szCs w:val="18"/>
                <w:highlight w:val="none"/>
                <w:lang w:val="en-US" w:eastAsia="zh-CN"/>
              </w:rPr>
              <w:t>；50周岁及以上客户；机构投资者具体以销售机构设置为准。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2020年4月17日至2020年4月21日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2020年4月22日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2030年6月20日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最新投资周期（2026年5月22日-2027年6月14日）开放申购与赎回时间为：2026年5月13日至2026年5月21日</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(其中ZA份额/ZF份额/ZJ份额/ZL份额/ZN份额/ZQ份额/ZC份额/ZK份额由系统主动发起赎回申请，投资者无须发起赎回申请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各类份额最新投资周期（2026年5月22日-2027年6月14日）业绩比较基准如下：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w:t>
                  </w:r>
                </w:p>
              </w:tc>
              <w:tc>
                <w:tcPr>
                  <w:tcW w:w="1871"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投资周期起始日</w:t>
                  </w:r>
                </w:p>
              </w:tc>
              <w:tc>
                <w:tcPr>
                  <w:tcW w:w="1803"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投资周期终止日</w:t>
                  </w:r>
                </w:p>
              </w:tc>
              <w:tc>
                <w:tcPr>
                  <w:tcW w:w="2701" w:type="dxa"/>
                  <w:vAlign w:val="center"/>
                </w:tcPr>
                <w:p>
                  <w:pPr>
                    <w:jc w:val="center"/>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业绩比较基准</w:t>
                  </w:r>
                </w:p>
                <w:p>
                  <w:pPr>
                    <w:jc w:val="center"/>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1</w:t>
                  </w:r>
                </w:p>
              </w:tc>
              <w:tc>
                <w:tcPr>
                  <w:tcW w:w="1871" w:type="dxa"/>
                  <w:vAlign w:val="center"/>
                </w:tcPr>
                <w:p>
                  <w:pPr>
                    <w:spacing w:before="0" w:after="0" w:line="0" w:lineRule="atLeast"/>
                    <w:jc w:val="center"/>
                  </w:pPr>
                  <w:r>
                    <w:rPr>
                      <w:rFonts w:ascii="楷体" w:hAnsi="楷体" w:eastAsia="楷体"/>
                      <w:sz w:val="18"/>
                    </w:rPr>
                    <w:t>2020年4月22日</w:t>
                  </w:r>
                </w:p>
              </w:tc>
              <w:tc>
                <w:tcPr>
                  <w:tcW w:w="1803" w:type="dxa"/>
                  <w:vAlign w:val="center"/>
                </w:tcPr>
                <w:p>
                  <w:pPr>
                    <w:spacing w:before="0" w:after="0" w:line="0" w:lineRule="atLeast"/>
                    <w:jc w:val="center"/>
                  </w:pPr>
                  <w:r>
                    <w:rPr>
                      <w:rFonts w:ascii="楷体" w:hAnsi="楷体" w:eastAsia="楷体"/>
                      <w:sz w:val="18"/>
                    </w:rPr>
                    <w:t>2021年4月14日</w:t>
                  </w:r>
                </w:p>
              </w:tc>
              <w:tc>
                <w:tcPr>
                  <w:tcW w:w="2701" w:type="dxa"/>
                  <w:vAlign w:val="center"/>
                </w:tcPr>
                <w:p>
                  <w:pPr>
                    <w:spacing w:before="0" w:after="0" w:line="0" w:lineRule="atLeast"/>
                    <w:jc w:val="center"/>
                  </w:pPr>
                  <w:r>
                    <w:rPr>
                      <w:rFonts w:ascii="楷体" w:hAnsi="楷体" w:eastAsia="楷体"/>
                      <w:sz w:val="18"/>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2</w:t>
                  </w:r>
                </w:p>
              </w:tc>
              <w:tc>
                <w:tcPr>
                  <w:tcW w:w="1871" w:type="dxa"/>
                  <w:vAlign w:val="center"/>
                </w:tcPr>
                <w:p>
                  <w:pPr>
                    <w:spacing w:before="0" w:after="0" w:line="0" w:lineRule="atLeast"/>
                    <w:jc w:val="center"/>
                  </w:pPr>
                  <w:r>
                    <w:rPr>
                      <w:rFonts w:ascii="楷体" w:hAnsi="楷体" w:eastAsia="楷体"/>
                      <w:sz w:val="18"/>
                    </w:rPr>
                    <w:t>2021年4月15日</w:t>
                  </w:r>
                </w:p>
              </w:tc>
              <w:tc>
                <w:tcPr>
                  <w:tcW w:w="1803" w:type="dxa"/>
                  <w:vAlign w:val="center"/>
                </w:tcPr>
                <w:p>
                  <w:pPr>
                    <w:spacing w:before="0" w:after="0" w:line="0" w:lineRule="atLeast"/>
                    <w:jc w:val="center"/>
                  </w:pPr>
                  <w:r>
                    <w:rPr>
                      <w:rFonts w:ascii="楷体" w:hAnsi="楷体" w:eastAsia="楷体"/>
                      <w:sz w:val="18"/>
                    </w:rPr>
                    <w:t>2022年4月14日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3</w:t>
                  </w:r>
                </w:p>
              </w:tc>
              <w:tc>
                <w:tcPr>
                  <w:tcW w:w="1871" w:type="dxa"/>
                  <w:vAlign w:val="center"/>
                </w:tcPr>
                <w:p>
                  <w:pPr>
                    <w:spacing w:before="0" w:after="0" w:line="0" w:lineRule="atLeast"/>
                    <w:jc w:val="center"/>
                  </w:pPr>
                  <w:r>
                    <w:rPr>
                      <w:rFonts w:ascii="楷体" w:hAnsi="楷体" w:eastAsia="楷体"/>
                      <w:sz w:val="18"/>
                    </w:rPr>
                    <w:t>2022年4月15日</w:t>
                  </w:r>
                </w:p>
              </w:tc>
              <w:tc>
                <w:tcPr>
                  <w:tcW w:w="1803" w:type="dxa"/>
                  <w:vAlign w:val="center"/>
                </w:tcPr>
                <w:p>
                  <w:pPr>
                    <w:spacing w:before="0" w:after="0" w:line="0" w:lineRule="atLeast"/>
                    <w:jc w:val="center"/>
                  </w:pPr>
                  <w:r>
                    <w:rPr>
                      <w:rFonts w:ascii="楷体" w:hAnsi="楷体" w:eastAsia="楷体"/>
                      <w:sz w:val="18"/>
                    </w:rPr>
                    <w:t>2023年4月18日</w:t>
                  </w:r>
                </w:p>
              </w:tc>
              <w:tc>
                <w:tcPr>
                  <w:tcW w:w="2701" w:type="dxa"/>
                  <w:vAlign w:val="center"/>
                </w:tcPr>
                <w:p>
                  <w:pPr>
                    <w:spacing w:before="0" w:after="0" w:line="0" w:lineRule="atLeast"/>
                    <w:jc w:val="center"/>
                  </w:pPr>
                  <w:r>
                    <w:rPr>
                      <w:rFonts w:ascii="楷体" w:hAnsi="楷体" w:eastAsia="楷体"/>
                      <w:sz w:val="18"/>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4</w:t>
                  </w:r>
                </w:p>
              </w:tc>
              <w:tc>
                <w:tcPr>
                  <w:tcW w:w="1871" w:type="dxa"/>
                  <w:vAlign w:val="center"/>
                </w:tcPr>
                <w:p>
                  <w:pPr>
                    <w:spacing w:before="0" w:after="0" w:line="0" w:lineRule="atLeast"/>
                    <w:jc w:val="center"/>
                  </w:pPr>
                  <w:r>
                    <w:rPr>
                      <w:rFonts w:ascii="楷体" w:hAnsi="楷体" w:eastAsia="楷体"/>
                      <w:sz w:val="18"/>
                    </w:rPr>
                    <w:t>2023年4月19日</w:t>
                  </w:r>
                </w:p>
              </w:tc>
              <w:tc>
                <w:tcPr>
                  <w:tcW w:w="1803" w:type="dxa"/>
                  <w:vAlign w:val="center"/>
                </w:tcPr>
                <w:p>
                  <w:pPr>
                    <w:spacing w:before="0" w:after="0" w:line="0" w:lineRule="atLeast"/>
                    <w:jc w:val="center"/>
                  </w:pPr>
                  <w:r>
                    <w:rPr>
                      <w:rFonts w:ascii="楷体" w:hAnsi="楷体" w:eastAsia="楷体"/>
                      <w:sz w:val="18"/>
                    </w:rPr>
                    <w:t>2024年4月22日</w:t>
                  </w:r>
                </w:p>
              </w:tc>
              <w:tc>
                <w:tcPr>
                  <w:tcW w:w="2701" w:type="dxa"/>
                  <w:vAlign w:val="center"/>
                </w:tcPr>
                <w:p>
                  <w:pPr>
                    <w:spacing w:before="0" w:after="0" w:line="0" w:lineRule="atLeast"/>
                    <w:jc w:val="center"/>
                  </w:pPr>
                  <w:r>
                    <w:rPr>
                      <w:rFonts w:ascii="楷体" w:hAnsi="楷体" w:eastAsia="楷体"/>
                      <w:sz w:val="18"/>
                    </w:rPr>
                    <w:t>A份额 4</w:t>
                  </w:r>
                  <w:r>
                    <w:rPr>
                      <w:rFonts w:hint="eastAsia" w:ascii="楷体" w:hAnsi="楷体" w:eastAsia="楷体"/>
                      <w:sz w:val="18"/>
                      <w:lang w:val="en-US" w:eastAsia="zh-CN"/>
                    </w:rPr>
                    <w:t>.00</w:t>
                  </w:r>
                  <w:r>
                    <w:rPr>
                      <w:rFonts w:ascii="楷体" w:hAnsi="楷体" w:eastAsia="楷体"/>
                      <w:sz w:val="18"/>
                    </w:rPr>
                    <w:t>%</w:t>
                  </w:r>
                  <w:r>
                    <w:rPr>
                      <w:rFonts w:ascii="楷体" w:hAnsi="楷体" w:eastAsia="楷体"/>
                      <w:sz w:val="18"/>
                    </w:rPr>
                    <w:br w:type="textWrapping"/>
                  </w:r>
                  <w:r>
                    <w:rPr>
                      <w:rFonts w:ascii="楷体" w:hAnsi="楷体" w:eastAsia="楷体"/>
                      <w:sz w:val="18"/>
                    </w:rPr>
                    <w:t>B份额 4.03%</w:t>
                  </w:r>
                  <w:r>
                    <w:rPr>
                      <w:rFonts w:ascii="楷体" w:hAnsi="楷体" w:eastAsia="楷体"/>
                      <w:sz w:val="18"/>
                    </w:rPr>
                    <w:br w:type="textWrapping"/>
                  </w:r>
                  <w:r>
                    <w:rPr>
                      <w:rFonts w:ascii="楷体" w:hAnsi="楷体" w:eastAsia="楷体"/>
                      <w:sz w:val="18"/>
                    </w:rPr>
                    <w:t>F份额 4</w:t>
                  </w:r>
                  <w:r>
                    <w:rPr>
                      <w:rFonts w:hint="eastAsia" w:ascii="楷体" w:hAnsi="楷体" w:eastAsia="楷体"/>
                      <w:sz w:val="18"/>
                      <w:lang w:val="en-US" w:eastAsia="zh-CN"/>
                    </w:rPr>
                    <w:t>.00</w:t>
                  </w:r>
                  <w:r>
                    <w:rPr>
                      <w:rFonts w:ascii="楷体" w:hAnsi="楷体" w:eastAsia="楷体"/>
                      <w:sz w:val="18"/>
                    </w:rPr>
                    <w:t>%</w:t>
                  </w:r>
                  <w:r>
                    <w:rPr>
                      <w:rFonts w:ascii="楷体" w:hAnsi="楷体" w:eastAsia="楷体"/>
                      <w:sz w:val="18"/>
                    </w:rPr>
                    <w:br w:type="textWrapping"/>
                  </w:r>
                  <w:r>
                    <w:rPr>
                      <w:rFonts w:ascii="楷体" w:hAnsi="楷体" w:eastAsia="楷体"/>
                      <w:sz w:val="18"/>
                    </w:rPr>
                    <w:t>G份额 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5</w:t>
                  </w:r>
                </w:p>
              </w:tc>
              <w:tc>
                <w:tcPr>
                  <w:tcW w:w="1871" w:type="dxa"/>
                  <w:vAlign w:val="center"/>
                </w:tcPr>
                <w:p>
                  <w:pPr>
                    <w:spacing w:before="0" w:after="0" w:line="0" w:lineRule="atLeast"/>
                    <w:jc w:val="center"/>
                  </w:pPr>
                  <w:r>
                    <w:rPr>
                      <w:rFonts w:ascii="楷体" w:hAnsi="楷体" w:eastAsia="楷体"/>
                      <w:sz w:val="18"/>
                    </w:rPr>
                    <w:t>2024年4月23日</w:t>
                  </w:r>
                </w:p>
              </w:tc>
              <w:tc>
                <w:tcPr>
                  <w:tcW w:w="1803" w:type="dxa"/>
                  <w:vAlign w:val="center"/>
                </w:tcPr>
                <w:p>
                  <w:pPr>
                    <w:spacing w:before="0" w:after="0" w:line="0" w:lineRule="atLeast"/>
                    <w:jc w:val="center"/>
                  </w:pPr>
                  <w:r>
                    <w:rPr>
                      <w:rFonts w:ascii="楷体" w:hAnsi="楷体" w:eastAsia="楷体"/>
                      <w:sz w:val="18"/>
                    </w:rPr>
                    <w:t>2025年4月28日</w:t>
                  </w:r>
                </w:p>
              </w:tc>
              <w:tc>
                <w:tcPr>
                  <w:tcW w:w="2701" w:type="dxa"/>
                  <w:vAlign w:val="center"/>
                </w:tcPr>
                <w:p>
                  <w:pPr>
                    <w:spacing w:before="0" w:after="0" w:line="0" w:lineRule="atLeast"/>
                    <w:jc w:val="center"/>
                  </w:pPr>
                  <w:r>
                    <w:rPr>
                      <w:rFonts w:ascii="楷体" w:hAnsi="楷体" w:eastAsia="楷体"/>
                      <w:sz w:val="18"/>
                    </w:rPr>
                    <w:t>A份额3.20%-3.80%</w:t>
                  </w:r>
                  <w:r>
                    <w:rPr>
                      <w:rFonts w:ascii="楷体" w:hAnsi="楷体" w:eastAsia="楷体"/>
                      <w:sz w:val="18"/>
                    </w:rPr>
                    <w:br w:type="textWrapping"/>
                  </w:r>
                  <w:r>
                    <w:rPr>
                      <w:rFonts w:ascii="楷体" w:hAnsi="楷体" w:eastAsia="楷体"/>
                      <w:sz w:val="18"/>
                    </w:rPr>
                    <w:t>B份额3.23%-3.83%</w:t>
                  </w:r>
                  <w:r>
                    <w:rPr>
                      <w:rFonts w:ascii="楷体" w:hAnsi="楷体" w:eastAsia="楷体"/>
                      <w:sz w:val="18"/>
                    </w:rPr>
                    <w:br w:type="textWrapping"/>
                  </w:r>
                  <w:r>
                    <w:rPr>
                      <w:rFonts w:ascii="楷体" w:hAnsi="楷体" w:eastAsia="楷体"/>
                      <w:sz w:val="18"/>
                    </w:rPr>
                    <w:t>D份额3.35%-3.95%</w:t>
                  </w:r>
                  <w:r>
                    <w:rPr>
                      <w:rFonts w:ascii="楷体" w:hAnsi="楷体" w:eastAsia="楷体"/>
                      <w:sz w:val="18"/>
                    </w:rPr>
                    <w:br w:type="textWrapping"/>
                  </w:r>
                  <w:r>
                    <w:rPr>
                      <w:rFonts w:ascii="楷体" w:hAnsi="楷体" w:eastAsia="楷体"/>
                      <w:sz w:val="18"/>
                    </w:rPr>
                    <w:t>F份额3.20%-3.80%</w:t>
                  </w:r>
                  <w:r>
                    <w:rPr>
                      <w:rFonts w:ascii="楷体" w:hAnsi="楷体" w:eastAsia="楷体"/>
                      <w:sz w:val="18"/>
                    </w:rPr>
                    <w:br w:type="textWrapping"/>
                  </w:r>
                  <w:r>
                    <w:rPr>
                      <w:rFonts w:ascii="楷体" w:hAnsi="楷体" w:eastAsia="楷体"/>
                      <w:sz w:val="18"/>
                    </w:rPr>
                    <w:t>G份额3.25%-3.85%</w:t>
                  </w:r>
                  <w:r>
                    <w:rPr>
                      <w:rFonts w:ascii="楷体" w:hAnsi="楷体" w:eastAsia="楷体"/>
                      <w:sz w:val="18"/>
                    </w:rPr>
                    <w:br w:type="textWrapping"/>
                  </w:r>
                  <w:r>
                    <w:rPr>
                      <w:rFonts w:ascii="楷体" w:hAnsi="楷体" w:eastAsia="楷体"/>
                      <w:sz w:val="18"/>
                    </w:rPr>
                    <w:t>J份额3.30%-3.90%</w:t>
                  </w:r>
                  <w:r>
                    <w:rPr>
                      <w:rFonts w:ascii="楷体" w:hAnsi="楷体" w:eastAsia="楷体"/>
                      <w:sz w:val="18"/>
                    </w:rPr>
                    <w:br w:type="textWrapping"/>
                  </w:r>
                  <w:r>
                    <w:rPr>
                      <w:rFonts w:ascii="楷体" w:hAnsi="楷体" w:eastAsia="楷体"/>
                      <w:sz w:val="18"/>
                    </w:rPr>
                    <w:t>M份额 3.30%-3.90%</w:t>
                  </w:r>
                  <w:r>
                    <w:rPr>
                      <w:rFonts w:ascii="楷体" w:hAnsi="楷体" w:eastAsia="楷体"/>
                      <w:sz w:val="18"/>
                    </w:rPr>
                    <w:br w:type="textWrapping"/>
                  </w:r>
                  <w:r>
                    <w:rPr>
                      <w:rFonts w:ascii="楷体" w:hAnsi="楷体" w:eastAsia="楷体"/>
                      <w:sz w:val="18"/>
                    </w:rPr>
                    <w:t>ZA份额3.20%-3.80%</w:t>
                  </w:r>
                  <w:r>
                    <w:rPr>
                      <w:rFonts w:ascii="楷体" w:hAnsi="楷体" w:eastAsia="楷体"/>
                      <w:sz w:val="18"/>
                    </w:rPr>
                    <w:br w:type="textWrapping"/>
                  </w:r>
                  <w:r>
                    <w:rPr>
                      <w:rFonts w:ascii="楷体" w:hAnsi="楷体" w:eastAsia="楷体"/>
                      <w:sz w:val="18"/>
                    </w:rPr>
                    <w:t>ZF份额3.20%-3.80%</w:t>
                  </w:r>
                  <w:r>
                    <w:rPr>
                      <w:rFonts w:ascii="楷体" w:hAnsi="楷体" w:eastAsia="楷体"/>
                      <w:sz w:val="18"/>
                    </w:rPr>
                    <w:br w:type="textWrapping"/>
                  </w:r>
                  <w:r>
                    <w:rPr>
                      <w:rFonts w:ascii="楷体" w:hAnsi="楷体" w:eastAsia="楷体"/>
                      <w:sz w:val="18"/>
                    </w:rPr>
                    <w:t>ZS份额 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6</w:t>
                  </w:r>
                </w:p>
              </w:tc>
              <w:tc>
                <w:tcPr>
                  <w:tcW w:w="1871" w:type="dxa"/>
                  <w:vAlign w:val="center"/>
                </w:tcPr>
                <w:p>
                  <w:pPr>
                    <w:spacing w:before="0" w:after="0" w:line="0" w:lineRule="atLeast"/>
                    <w:jc w:val="center"/>
                  </w:pPr>
                  <w:r>
                    <w:rPr>
                      <w:rFonts w:ascii="楷体" w:hAnsi="楷体" w:eastAsia="楷体"/>
                      <w:sz w:val="18"/>
                    </w:rPr>
                    <w:t>2025年4月29日</w:t>
                  </w:r>
                </w:p>
              </w:tc>
              <w:tc>
                <w:tcPr>
                  <w:tcW w:w="1803" w:type="dxa"/>
                  <w:vAlign w:val="center"/>
                </w:tcPr>
                <w:p>
                  <w:pPr>
                    <w:spacing w:before="0" w:after="0" w:line="0" w:lineRule="atLeast"/>
                    <w:jc w:val="center"/>
                  </w:pPr>
                  <w:r>
                    <w:rPr>
                      <w:rFonts w:ascii="楷体" w:hAnsi="楷体" w:eastAsia="楷体"/>
                      <w:sz w:val="18"/>
                    </w:rPr>
                    <w:t>2026年5月21日</w:t>
                  </w:r>
                </w:p>
              </w:tc>
              <w:tc>
                <w:tcPr>
                  <w:tcW w:w="2701" w:type="dxa"/>
                  <w:vAlign w:val="center"/>
                </w:tcPr>
                <w:p>
                  <w:pPr>
                    <w:spacing w:before="0" w:after="0" w:line="0" w:lineRule="atLeast"/>
                    <w:jc w:val="center"/>
                  </w:pPr>
                  <w:r>
                    <w:rPr>
                      <w:rFonts w:ascii="楷体" w:hAnsi="楷体" w:eastAsia="楷体"/>
                      <w:sz w:val="18"/>
                    </w:rPr>
                    <w:t>A份额 2.60%-3.20%</w:t>
                  </w:r>
                  <w:r>
                    <w:rPr>
                      <w:rFonts w:ascii="楷体" w:hAnsi="楷体" w:eastAsia="楷体"/>
                      <w:sz w:val="18"/>
                    </w:rPr>
                    <w:br w:type="textWrapping"/>
                  </w:r>
                  <w:r>
                    <w:rPr>
                      <w:rFonts w:ascii="楷体" w:hAnsi="楷体" w:eastAsia="楷体"/>
                      <w:sz w:val="18"/>
                    </w:rPr>
                    <w:t>B份额 2.63%-3.23%</w:t>
                  </w:r>
                  <w:r>
                    <w:rPr>
                      <w:rFonts w:ascii="楷体" w:hAnsi="楷体" w:eastAsia="楷体"/>
                      <w:sz w:val="18"/>
                    </w:rPr>
                    <w:br w:type="textWrapping"/>
                  </w:r>
                  <w:r>
                    <w:rPr>
                      <w:rFonts w:ascii="楷体" w:hAnsi="楷体" w:eastAsia="楷体"/>
                      <w:sz w:val="18"/>
                    </w:rPr>
                    <w:t>D份额 2.75%-3.35%</w:t>
                  </w:r>
                  <w:r>
                    <w:rPr>
                      <w:rFonts w:ascii="楷体" w:hAnsi="楷体" w:eastAsia="楷体"/>
                      <w:sz w:val="18"/>
                    </w:rPr>
                    <w:br w:type="textWrapping"/>
                  </w:r>
                  <w:r>
                    <w:rPr>
                      <w:rFonts w:ascii="楷体" w:hAnsi="楷体" w:eastAsia="楷体"/>
                      <w:sz w:val="18"/>
                    </w:rPr>
                    <w:t>F份额 2.60%-3.20%</w:t>
                  </w:r>
                  <w:r>
                    <w:rPr>
                      <w:rFonts w:ascii="楷体" w:hAnsi="楷体" w:eastAsia="楷体"/>
                      <w:sz w:val="18"/>
                    </w:rPr>
                    <w:br w:type="textWrapping"/>
                  </w:r>
                  <w:r>
                    <w:rPr>
                      <w:rFonts w:ascii="楷体" w:hAnsi="楷体" w:eastAsia="楷体"/>
                      <w:sz w:val="18"/>
                    </w:rPr>
                    <w:t>G份额 2.65%-3.25%</w:t>
                  </w:r>
                  <w:r>
                    <w:rPr>
                      <w:rFonts w:ascii="楷体" w:hAnsi="楷体" w:eastAsia="楷体"/>
                      <w:sz w:val="18"/>
                    </w:rPr>
                    <w:br w:type="textWrapping"/>
                  </w:r>
                  <w:r>
                    <w:rPr>
                      <w:rFonts w:ascii="楷体" w:hAnsi="楷体" w:eastAsia="楷体"/>
                      <w:sz w:val="18"/>
                    </w:rPr>
                    <w:t>J份额 2.70%-3.30%</w:t>
                  </w:r>
                  <w:r>
                    <w:rPr>
                      <w:rFonts w:ascii="楷体" w:hAnsi="楷体" w:eastAsia="楷体"/>
                      <w:sz w:val="18"/>
                    </w:rPr>
                    <w:br w:type="textWrapping"/>
                  </w:r>
                  <w:r>
                    <w:rPr>
                      <w:rFonts w:ascii="楷体" w:hAnsi="楷体" w:eastAsia="楷体"/>
                      <w:sz w:val="18"/>
                    </w:rPr>
                    <w:t>M份额 2.70%-3.30%</w:t>
                  </w:r>
                  <w:r>
                    <w:rPr>
                      <w:rFonts w:ascii="楷体" w:hAnsi="楷体" w:eastAsia="楷体"/>
                      <w:sz w:val="18"/>
                    </w:rPr>
                    <w:br w:type="textWrapping"/>
                  </w:r>
                  <w:r>
                    <w:rPr>
                      <w:rFonts w:ascii="楷体" w:hAnsi="楷体" w:eastAsia="楷体"/>
                      <w:sz w:val="18"/>
                    </w:rPr>
                    <w:t>P份额 2.80%-3.40%</w:t>
                  </w:r>
                  <w:r>
                    <w:rPr>
                      <w:rFonts w:ascii="楷体" w:hAnsi="楷体" w:eastAsia="楷体"/>
                      <w:sz w:val="18"/>
                    </w:rPr>
                    <w:br w:type="textWrapping"/>
                  </w:r>
                  <w:r>
                    <w:rPr>
                      <w:rFonts w:ascii="楷体" w:hAnsi="楷体" w:eastAsia="楷体"/>
                      <w:sz w:val="18"/>
                    </w:rPr>
                    <w:t>V份额 2.75%-3.35%</w:t>
                  </w:r>
                  <w:r>
                    <w:rPr>
                      <w:rFonts w:ascii="楷体" w:hAnsi="楷体" w:eastAsia="楷体"/>
                      <w:sz w:val="18"/>
                    </w:rPr>
                    <w:br w:type="textWrapping"/>
                  </w:r>
                  <w:r>
                    <w:rPr>
                      <w:rFonts w:ascii="楷体" w:hAnsi="楷体" w:eastAsia="楷体"/>
                      <w:sz w:val="18"/>
                    </w:rPr>
                    <w:t>ZA份额 2.60%-3.20%</w:t>
                  </w:r>
                  <w:r>
                    <w:rPr>
                      <w:rFonts w:ascii="楷体" w:hAnsi="楷体" w:eastAsia="楷体"/>
                      <w:sz w:val="18"/>
                    </w:rPr>
                    <w:br w:type="textWrapping"/>
                  </w:r>
                  <w:r>
                    <w:rPr>
                      <w:rFonts w:ascii="楷体" w:hAnsi="楷体" w:eastAsia="楷体"/>
                      <w:sz w:val="18"/>
                    </w:rPr>
                    <w:t>ZF份额 2.60%-3.20%</w:t>
                  </w:r>
                  <w:r>
                    <w:rPr>
                      <w:rFonts w:ascii="楷体" w:hAnsi="楷体" w:eastAsia="楷体"/>
                      <w:sz w:val="18"/>
                    </w:rPr>
                    <w:br w:type="textWrapping"/>
                  </w:r>
                  <w:r>
                    <w:rPr>
                      <w:rFonts w:ascii="楷体" w:hAnsi="楷体" w:eastAsia="楷体"/>
                      <w:sz w:val="18"/>
                    </w:rPr>
                    <w:t>ZN份额 2.79%-3.39%</w:t>
                  </w:r>
                  <w:r>
                    <w:rPr>
                      <w:rFonts w:ascii="楷体" w:hAnsi="楷体" w:eastAsia="楷体"/>
                      <w:sz w:val="18"/>
                    </w:rPr>
                    <w:br w:type="textWrapping"/>
                  </w:r>
                  <w:r>
                    <w:rPr>
                      <w:rFonts w:ascii="楷体" w:hAnsi="楷体" w:eastAsia="楷体"/>
                      <w:sz w:val="18"/>
                    </w:rPr>
                    <w:t>ZQ份额 2.55%-3.15%</w:t>
                  </w:r>
                  <w:r>
                    <w:rPr>
                      <w:rFonts w:ascii="楷体" w:hAnsi="楷体" w:eastAsia="楷体"/>
                      <w:sz w:val="18"/>
                    </w:rPr>
                    <w:br w:type="textWrapping"/>
                  </w:r>
                  <w:r>
                    <w:rPr>
                      <w:rFonts w:ascii="楷体" w:hAnsi="楷体" w:eastAsia="楷体"/>
                      <w:sz w:val="18"/>
                    </w:rPr>
                    <w:t>ZS份额 2.70%-3.30%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hint="eastAsia" w:ascii="楷体" w:hAnsi="楷体" w:eastAsia="楷体"/>
                      <w:sz w:val="18"/>
                      <w:lang w:val="en-US" w:eastAsia="zh-CN"/>
                    </w:rPr>
                    <w:t>7</w:t>
                  </w:r>
                </w:p>
              </w:tc>
              <w:tc>
                <w:tcPr>
                  <w:tcW w:w="1871" w:type="dxa"/>
                  <w:vAlign w:val="center"/>
                </w:tcPr>
                <w:p>
                  <w:pPr>
                    <w:spacing w:before="0" w:after="0" w:line="0" w:lineRule="atLeast"/>
                    <w:jc w:val="center"/>
                  </w:pPr>
                  <w:r>
                    <w:rPr>
                      <w:rFonts w:ascii="楷体" w:hAnsi="楷体" w:eastAsia="楷体"/>
                      <w:sz w:val="18"/>
                    </w:rPr>
                    <w:t>2026年5月22日</w:t>
                  </w:r>
                </w:p>
              </w:tc>
              <w:tc>
                <w:tcPr>
                  <w:tcW w:w="1803" w:type="dxa"/>
                  <w:vAlign w:val="center"/>
                </w:tcPr>
                <w:p>
                  <w:pPr>
                    <w:spacing w:before="0" w:after="0" w:line="0" w:lineRule="atLeast"/>
                    <w:jc w:val="center"/>
                  </w:pPr>
                  <w:r>
                    <w:rPr>
                      <w:rFonts w:ascii="楷体" w:hAnsi="楷体" w:eastAsia="楷体"/>
                      <w:sz w:val="18"/>
                    </w:rPr>
                    <w:t>2027年6月14日</w:t>
                  </w:r>
                </w:p>
              </w:tc>
              <w:tc>
                <w:tcPr>
                  <w:tcW w:w="2701" w:type="dxa"/>
                  <w:vAlign w:val="center"/>
                </w:tcPr>
                <w:p>
                  <w:pPr>
                    <w:spacing w:before="0" w:after="0" w:line="0" w:lineRule="atLeast"/>
                    <w:jc w:val="center"/>
                    <w:rPr>
                      <w:rFonts w:hint="eastAsia" w:ascii="楷体" w:hAnsi="楷体" w:eastAsia="楷体"/>
                      <w:sz w:val="18"/>
                    </w:rPr>
                  </w:pPr>
                  <w:r>
                    <w:rPr>
                      <w:rFonts w:hint="eastAsia" w:ascii="楷体" w:hAnsi="楷体" w:eastAsia="楷体"/>
                      <w:sz w:val="18"/>
                    </w:rPr>
                    <w:t>A份额 2.45%-3.05%</w:t>
                  </w:r>
                </w:p>
                <w:p>
                  <w:pPr>
                    <w:spacing w:before="0" w:after="0" w:line="0" w:lineRule="atLeast"/>
                    <w:jc w:val="center"/>
                    <w:rPr>
                      <w:rFonts w:hint="eastAsia" w:ascii="楷体" w:hAnsi="楷体" w:eastAsia="楷体"/>
                      <w:sz w:val="18"/>
                    </w:rPr>
                  </w:pPr>
                  <w:r>
                    <w:rPr>
                      <w:rFonts w:hint="eastAsia" w:ascii="楷体" w:hAnsi="楷体" w:eastAsia="楷体"/>
                      <w:sz w:val="18"/>
                    </w:rPr>
                    <w:t>B份额 2.48%-3.08%</w:t>
                  </w:r>
                </w:p>
                <w:p>
                  <w:pPr>
                    <w:spacing w:before="0" w:after="0" w:line="0" w:lineRule="atLeast"/>
                    <w:jc w:val="center"/>
                    <w:rPr>
                      <w:rFonts w:hint="eastAsia" w:ascii="楷体" w:hAnsi="楷体" w:eastAsia="楷体"/>
                      <w:sz w:val="18"/>
                    </w:rPr>
                  </w:pPr>
                  <w:r>
                    <w:rPr>
                      <w:rFonts w:hint="eastAsia" w:ascii="楷体" w:hAnsi="楷体" w:eastAsia="楷体"/>
                      <w:sz w:val="18"/>
                    </w:rPr>
                    <w:t>C份额 2.50%-3.10%</w:t>
                  </w:r>
                </w:p>
                <w:p>
                  <w:pPr>
                    <w:spacing w:before="0" w:after="0" w:line="0" w:lineRule="atLeast"/>
                    <w:jc w:val="center"/>
                    <w:rPr>
                      <w:rFonts w:hint="eastAsia" w:ascii="楷体" w:hAnsi="楷体" w:eastAsia="楷体"/>
                      <w:sz w:val="18"/>
                    </w:rPr>
                  </w:pPr>
                  <w:r>
                    <w:rPr>
                      <w:rFonts w:hint="eastAsia" w:ascii="楷体" w:hAnsi="楷体" w:eastAsia="楷体"/>
                      <w:sz w:val="18"/>
                    </w:rPr>
                    <w:t>D份额 2.60%-3.20%</w:t>
                  </w:r>
                </w:p>
                <w:p>
                  <w:pPr>
                    <w:spacing w:before="0" w:after="0" w:line="0" w:lineRule="atLeast"/>
                    <w:jc w:val="center"/>
                    <w:rPr>
                      <w:rFonts w:hint="eastAsia" w:ascii="楷体" w:hAnsi="楷体" w:eastAsia="楷体"/>
                      <w:sz w:val="18"/>
                    </w:rPr>
                  </w:pPr>
                  <w:r>
                    <w:rPr>
                      <w:rFonts w:hint="eastAsia" w:ascii="楷体" w:hAnsi="楷体" w:eastAsia="楷体"/>
                      <w:sz w:val="18"/>
                    </w:rPr>
                    <w:t>F份额 2.45%-3.05%</w:t>
                  </w:r>
                </w:p>
                <w:p>
                  <w:pPr>
                    <w:spacing w:before="0" w:after="0" w:line="0" w:lineRule="atLeast"/>
                    <w:jc w:val="center"/>
                    <w:rPr>
                      <w:rFonts w:hint="eastAsia" w:ascii="楷体" w:hAnsi="楷体" w:eastAsia="楷体"/>
                      <w:sz w:val="18"/>
                    </w:rPr>
                  </w:pPr>
                  <w:r>
                    <w:rPr>
                      <w:rFonts w:hint="eastAsia" w:ascii="楷体" w:hAnsi="楷体" w:eastAsia="楷体"/>
                      <w:sz w:val="18"/>
                    </w:rPr>
                    <w:t>G份额 2.48%-3.08%</w:t>
                  </w:r>
                </w:p>
                <w:p>
                  <w:pPr>
                    <w:spacing w:before="0" w:after="0" w:line="0" w:lineRule="atLeast"/>
                    <w:jc w:val="center"/>
                    <w:rPr>
                      <w:rFonts w:hint="eastAsia" w:ascii="楷体" w:hAnsi="楷体" w:eastAsia="楷体"/>
                      <w:sz w:val="18"/>
                    </w:rPr>
                  </w:pPr>
                  <w:r>
                    <w:rPr>
                      <w:rFonts w:hint="eastAsia" w:ascii="楷体" w:hAnsi="楷体" w:eastAsia="楷体"/>
                      <w:sz w:val="18"/>
                    </w:rPr>
                    <w:t>J份额 2.55%-3.15%</w:t>
                  </w:r>
                </w:p>
                <w:p>
                  <w:pPr>
                    <w:spacing w:before="0" w:after="0" w:line="0" w:lineRule="atLeast"/>
                    <w:jc w:val="center"/>
                    <w:rPr>
                      <w:rFonts w:hint="eastAsia" w:ascii="楷体" w:hAnsi="楷体" w:eastAsia="楷体"/>
                      <w:sz w:val="18"/>
                    </w:rPr>
                  </w:pPr>
                  <w:r>
                    <w:rPr>
                      <w:rFonts w:hint="eastAsia" w:ascii="楷体" w:hAnsi="楷体" w:eastAsia="楷体"/>
                      <w:sz w:val="18"/>
                    </w:rPr>
                    <w:t>M份额 2.55%-3.15%</w:t>
                  </w:r>
                </w:p>
                <w:p>
                  <w:pPr>
                    <w:spacing w:before="0" w:after="0" w:line="0" w:lineRule="atLeast"/>
                    <w:jc w:val="center"/>
                    <w:rPr>
                      <w:rFonts w:hint="eastAsia" w:ascii="楷体" w:hAnsi="楷体" w:eastAsia="楷体"/>
                      <w:sz w:val="18"/>
                    </w:rPr>
                  </w:pPr>
                  <w:r>
                    <w:rPr>
                      <w:rFonts w:hint="eastAsia" w:ascii="楷体" w:hAnsi="楷体" w:eastAsia="楷体"/>
                      <w:sz w:val="18"/>
                    </w:rPr>
                    <w:t>P份额 2.65%-3.25%</w:t>
                  </w:r>
                </w:p>
                <w:p>
                  <w:pPr>
                    <w:spacing w:before="0" w:after="0" w:line="0" w:lineRule="atLeast"/>
                    <w:jc w:val="center"/>
                    <w:rPr>
                      <w:rFonts w:hint="eastAsia" w:ascii="楷体" w:hAnsi="楷体" w:eastAsia="楷体"/>
                      <w:sz w:val="18"/>
                    </w:rPr>
                  </w:pPr>
                  <w:r>
                    <w:rPr>
                      <w:rFonts w:hint="eastAsia" w:ascii="楷体" w:hAnsi="楷体" w:eastAsia="楷体"/>
                      <w:sz w:val="18"/>
                    </w:rPr>
                    <w:t>GS份额 2.55%-3.15%</w:t>
                  </w:r>
                </w:p>
                <w:p>
                  <w:pPr>
                    <w:spacing w:before="0" w:after="0" w:line="0" w:lineRule="atLeast"/>
                    <w:jc w:val="center"/>
                    <w:rPr>
                      <w:rFonts w:hint="eastAsia" w:ascii="楷体" w:hAnsi="楷体" w:eastAsia="楷体"/>
                      <w:sz w:val="18"/>
                    </w:rPr>
                  </w:pPr>
                  <w:r>
                    <w:rPr>
                      <w:rFonts w:hint="eastAsia" w:ascii="楷体" w:hAnsi="楷体" w:eastAsia="楷体"/>
                      <w:sz w:val="18"/>
                    </w:rPr>
                    <w:t>LM份额 2.65%-3.25%</w:t>
                  </w:r>
                </w:p>
                <w:p>
                  <w:pPr>
                    <w:spacing w:before="0" w:after="0" w:line="0" w:lineRule="atLeast"/>
                    <w:jc w:val="center"/>
                    <w:rPr>
                      <w:rFonts w:hint="eastAsia" w:ascii="楷体" w:hAnsi="楷体" w:eastAsia="楷体"/>
                      <w:sz w:val="18"/>
                    </w:rPr>
                  </w:pPr>
                  <w:r>
                    <w:rPr>
                      <w:rFonts w:hint="eastAsia" w:ascii="楷体" w:hAnsi="楷体" w:eastAsia="楷体"/>
                      <w:sz w:val="18"/>
                    </w:rPr>
                    <w:t>U份额 2.45%-3.05%</w:t>
                  </w:r>
                </w:p>
                <w:p>
                  <w:pPr>
                    <w:spacing w:before="0" w:after="0" w:line="0" w:lineRule="atLeast"/>
                    <w:jc w:val="center"/>
                    <w:rPr>
                      <w:rFonts w:hint="eastAsia" w:ascii="楷体" w:hAnsi="楷体" w:eastAsia="楷体"/>
                      <w:sz w:val="18"/>
                    </w:rPr>
                  </w:pPr>
                  <w:r>
                    <w:rPr>
                      <w:rFonts w:hint="eastAsia" w:ascii="楷体" w:hAnsi="楷体" w:eastAsia="楷体"/>
                      <w:sz w:val="18"/>
                    </w:rPr>
                    <w:t>Z份额 2.45%-3.05%</w:t>
                  </w:r>
                </w:p>
                <w:p>
                  <w:pPr>
                    <w:spacing w:before="0" w:after="0" w:line="0" w:lineRule="atLeast"/>
                    <w:jc w:val="center"/>
                    <w:rPr>
                      <w:rFonts w:hint="eastAsia" w:ascii="楷体" w:hAnsi="楷体" w:eastAsia="楷体"/>
                      <w:sz w:val="18"/>
                    </w:rPr>
                  </w:pPr>
                  <w:r>
                    <w:rPr>
                      <w:rFonts w:hint="eastAsia" w:ascii="楷体" w:hAnsi="楷体" w:eastAsia="楷体"/>
                      <w:sz w:val="18"/>
                    </w:rPr>
                    <w:t>ZA份额 2.45%-3.05%</w:t>
                  </w:r>
                </w:p>
                <w:p>
                  <w:pPr>
                    <w:spacing w:before="0" w:after="0" w:line="0" w:lineRule="atLeast"/>
                    <w:jc w:val="center"/>
                    <w:rPr>
                      <w:rFonts w:hint="eastAsia" w:ascii="楷体" w:hAnsi="楷体" w:eastAsia="楷体"/>
                      <w:sz w:val="18"/>
                    </w:rPr>
                  </w:pPr>
                  <w:r>
                    <w:rPr>
                      <w:rFonts w:hint="eastAsia" w:ascii="楷体" w:hAnsi="楷体" w:eastAsia="楷体"/>
                      <w:sz w:val="18"/>
                    </w:rPr>
                    <w:t>ZF份额 2.45%-3.05%</w:t>
                  </w:r>
                </w:p>
                <w:p>
                  <w:pPr>
                    <w:spacing w:before="0" w:after="0" w:line="0" w:lineRule="atLeast"/>
                    <w:jc w:val="center"/>
                    <w:rPr>
                      <w:rFonts w:hint="eastAsia" w:ascii="楷体" w:hAnsi="楷体" w:eastAsia="楷体"/>
                      <w:sz w:val="18"/>
                    </w:rPr>
                  </w:pPr>
                  <w:r>
                    <w:rPr>
                      <w:rFonts w:hint="eastAsia" w:ascii="楷体" w:hAnsi="楷体" w:eastAsia="楷体"/>
                      <w:sz w:val="18"/>
                    </w:rPr>
                    <w:t>ZJ份额 2.70%-3.30%</w:t>
                  </w:r>
                </w:p>
                <w:p>
                  <w:pPr>
                    <w:spacing w:before="0" w:after="0" w:line="0" w:lineRule="atLeast"/>
                    <w:jc w:val="center"/>
                    <w:rPr>
                      <w:rFonts w:hint="eastAsia" w:ascii="楷体" w:hAnsi="楷体" w:eastAsia="楷体"/>
                      <w:sz w:val="18"/>
                    </w:rPr>
                  </w:pPr>
                  <w:r>
                    <w:rPr>
                      <w:rFonts w:hint="eastAsia" w:ascii="楷体" w:hAnsi="楷体" w:eastAsia="楷体"/>
                      <w:sz w:val="18"/>
                    </w:rPr>
                    <w:t>ZL份额 2.60%-3.20%</w:t>
                  </w:r>
                </w:p>
                <w:p>
                  <w:pPr>
                    <w:spacing w:before="0" w:after="0" w:line="0" w:lineRule="atLeast"/>
                    <w:jc w:val="center"/>
                    <w:rPr>
                      <w:rFonts w:hint="eastAsia" w:ascii="楷体" w:hAnsi="楷体" w:eastAsia="楷体"/>
                      <w:sz w:val="18"/>
                    </w:rPr>
                  </w:pPr>
                  <w:r>
                    <w:rPr>
                      <w:rFonts w:hint="eastAsia" w:ascii="楷体" w:hAnsi="楷体" w:eastAsia="楷体"/>
                      <w:sz w:val="18"/>
                    </w:rPr>
                    <w:t>ZN份额 2.55%-3.15%</w:t>
                  </w:r>
                </w:p>
                <w:p>
                  <w:pPr>
                    <w:spacing w:before="0" w:after="0" w:line="0" w:lineRule="atLeast"/>
                    <w:jc w:val="center"/>
                    <w:rPr>
                      <w:rFonts w:hint="eastAsia" w:ascii="楷体" w:hAnsi="楷体" w:eastAsia="楷体"/>
                      <w:sz w:val="18"/>
                    </w:rPr>
                  </w:pPr>
                  <w:r>
                    <w:rPr>
                      <w:rFonts w:hint="eastAsia" w:ascii="楷体" w:hAnsi="楷体" w:eastAsia="楷体"/>
                      <w:sz w:val="18"/>
                    </w:rPr>
                    <w:t>ZQ份额 2.40%-3.00%</w:t>
                  </w:r>
                </w:p>
                <w:p>
                  <w:pPr>
                    <w:spacing w:before="0" w:after="0" w:line="0" w:lineRule="atLeast"/>
                    <w:jc w:val="center"/>
                    <w:rPr>
                      <w:rFonts w:hint="eastAsia" w:ascii="楷体" w:hAnsi="楷体" w:eastAsia="楷体"/>
                      <w:sz w:val="18"/>
                    </w:rPr>
                  </w:pPr>
                  <w:r>
                    <w:rPr>
                      <w:rFonts w:hint="eastAsia" w:ascii="楷体" w:hAnsi="楷体" w:eastAsia="楷体"/>
                      <w:sz w:val="18"/>
                    </w:rPr>
                    <w:t>ZC份额 2.50%-3.10%</w:t>
                  </w:r>
                </w:p>
                <w:p>
                  <w:pPr>
                    <w:spacing w:before="0" w:after="0" w:line="0" w:lineRule="atLeast"/>
                    <w:jc w:val="center"/>
                  </w:pPr>
                  <w:r>
                    <w:rPr>
                      <w:rFonts w:hint="eastAsia" w:ascii="楷体" w:hAnsi="楷体" w:eastAsia="楷体"/>
                      <w:sz w:val="18"/>
                    </w:rPr>
                    <w:t>ZK份额 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0.55%，J份额 0.50%，M份额 0.55%，P份额 0.45%，GS份额 0.55%，LM份额 0.50%，U份额 0.60%，Z份额 0.65%，ZA份额 0.65%，ZF份额 0.65%，ZJ份额 0.40%，ZL份额 0.50%，ZN份额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0.72%，J份额 0.70%，M份额 0.65%，P份额 0.65%，GS份额 0.65%，LM份额 0.60%，U份额 0.70%，Z份额 0.65%，ZA份额 0.65%，ZF份额 0.65%，ZJ份额 0.65%，ZL份额 0.65%，ZN份额 0.65%，ZQ份额 0.70%，ZC份额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 xml:space="preserve">    A份额:江苏紫金农村商业银行股份有限公司/江苏涟水农村商业银行股份有限公司/江苏淮安农村商业银行股份有限公司/江苏仪征农村商业银行股份有限公司/江苏南通农村商业银行股份有限公司/江苏海安农村商业银行股份有限公司/江苏句容农村商业银行股份有限公司/江苏宜兴农村商业银行股份有限公司/江苏高邮农村商业银行股份有限公司/江苏如东农村商业银行股份有限公司/江苏溧水农村商业银行股份有限公司/九江银行股份有限公司/江苏泰兴农村商业银行股份有限公司/江苏扬州农村商业银行股份有限公司/江苏盱眙农村商业银行股份有限公司/江苏新沂农村商业银行股份有限公司/江苏丹阳农村商业银行股份有限公司/江苏高淳农村商业银行股份有限公司/江苏如皋农村商业银行股份有限公司/江苏江阴农村商业银行股份有限公司/江苏东台农村商业银行股份有限公司/江苏沭阳农村商业银行股份有限公司/江苏靖江农村商业银行股份有限公司/江苏邳州农村商业银行股份有限公司/江苏洪泽农村商业银行股份有限公司/江苏阜宁农村商业银行股份有限公司/江苏银行股份有限公司/江苏扬中农村商业银行股份有限公司/宁波东海银行股份有限公司/齐鲁银行股份有限公司/上海农村商业银行股份有限公司/上海银行股份有限公司/苏银理财有限责任公司/威海银行股份有限公司/兴业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紫金农村商业银行股份有限公司/江苏涟水农村商业银行股份有限公司/江苏淮安农村商业银行股份有限公司/江苏仪征农村商业银行股份有限公司/江苏南通农村商业银行股份有限公司/江苏海安农村商业银行股份有限公司/江苏句容农村商业银行股份有限公司/江苏宜兴农村商业银行股份有限公司/江苏高邮农村商业银行股份有限公司/江苏苏州农村商业银行股份有限公司/江苏如东农村商业银行股份有限公司/江苏溧水农村商业银行股份有限公司/江苏泰兴农村商业银行股份有限公司/江苏扬州农村商业银行股份有限公司/江苏盱眙农村商业银行股份有限公司/江苏新沂农村商业银行股份有限公司/江苏丹阳农村商业银行股份有限公司/江苏高淳农村商业银行股份有限公司/江苏如皋农村商业银行股份有限公司/江苏东台农村商业银行股份有限公司/江苏沭阳农村商业银行股份有限公司/江苏靖江农村商业银行股份有限公司/江苏邳州农村商业银行股份有限公司/江苏常熟农村商业银行股份有限公司/江苏洪泽农村商业银行股份有限公司/江苏阜宁农村商业银行股份有限公司/江苏银行股份有限公司/江苏扬中农村商业银行股份有限公司/宁波东海银行股份有限公司/齐鲁银行股份有限公司/苏银理财有限责任公司/威海银行股份有限公司/兴业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甘肃银行股份有限公司/广州银行股份有限公司/广州农村商业银行股份有限公司/华侨银行有限公司/杭州联合农村商业银行股份有限公司/交通银行股份有限公司/九江银行股份有限公司/宁波镇海农村商业银行股份有限公司/宁波慈溪农村商业银行股份有限公司/宁波余姚农村商业银行股份有限公司/宁波通商银行股份有限公司/日照银行股份有限公司/山西银行股份有限公司/深圳农村商业银行股份有限公司/苏州银行股份有限公司/台州银行股份有限公司/天津滨海农村商业银行股份有限公司/潍坊银行股份有限公司/兴业银行股份有限公司/浙江武义农村商业银行股份有限公司/浙江温州龙湾农村商业银行股份有限公司/浙江临海农村商业银行股份有限公司/浙江嘉善农村商业银行股份有限公司/浙商银行股份有限公司/浙江长兴农村商业银行股份有限公司/浙江永嘉农村商业银行股份有限公司/浙江萧山农村商业银行股份有限公司/浙江温州瓯海农村商业银行股份有限公司/浙江义乌农村商业银行股份有限公司/浙江乐清农村商业银行股份有限公司/浙江岱山农村商业银行股份有限公司/浙江上虞农村商业银行股份有限公司/浙江舟山定海海洋农村商业银行股份有限公司/浙江绍兴瑞丰农村商业银行股份有限公司/浙江杭州余杭农村商业银行股份有限公司/浙江德清农村商业银行股份有限公司/浙江泰顺农村商业银行股份有限公司/浙江永康农村商业银行股份有限公司/中邮邮惠万家银行有限责任公司/浙江淳安农村商业银行股份有限公司/浙江桐庐农村商业银行股份有限公司/浙江海宁农村商业银行股份有限公司/浙江开化农村商业银行股份有限公司/浙江江山农村商业银行股份有限公司/浙江青田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银行股份有限公司/广州农村商业银行股份有限公司/徽商银行股份有限公司/杭州联合农村商业银行股份有限公司/九江银行股份有限公司/宁波余姚农村商业银行股份有限公司/宁波通商银行股份有限公司/山西银行股份有限公司/深圳农村商业银行股份有限公司/兴业银行股份有限公司/浙江嘉善农村商业银行股份有限公司/浙江衢州衢江农村商业银行股份有限公司/浙商银行股份有限公司/浙江永嘉农村商业银行股份有限公司/浙江岱山农村商业银行股份有限公司/浙江舟山定海海洋农村商业银行股份有限公司/浙江绍兴瑞丰农村商业银行股份有限公司/浙江杭州余杭农村商业银行股份有限公司/浙江德清农村商业银行股份有限公司/浙江淳安农村商业银行股份有限公司/浙江桐庐农村商业银行股份有限公司/浙江上虞农村商业银行股份有限公司/浙江海宁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J份额:江苏如皋农村商业银行股份有限公司/江苏银行股份有限公司/上海银行股份有限公司/苏银理财有限责任公司/威海银行股份有限公司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M份额:徽商银行股份有限公司/宁波通商银行股份有限公司/兴业银行股份有限公司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LM份额:兰州银行股份有限公司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U份额:徽商银行股份有限公司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A份额:江苏紫金农村商业银行股份有限公司/江苏盐城农村商业银行股份有限公司/江苏睢宁农村商业银行股份有限公司/江苏涟水农村商业银行股份有限公司/江苏淮安农村商业银行股份有限公司/江苏仪征农村商业银行股份有限公司/江苏南通农村商业银行股份有限公司/江苏海安农村商业银行股份有限公司/江苏句容农村商业银行股份有限公司/江苏宜兴农村商业银行股份有限公司/江苏灌南农村商业银行股份有限公司/江苏高邮农村商业银行股份有限公司/江苏苏州农村商业银行股份有限公司/江苏泗洪农村商业银行股份有限公司/江苏如东农村商业银行股份有限公司/江苏溧水农村商业银行股份有限公司/江苏大丰农村商业银行股份有限公司/江苏泰兴农村商业银行股份有限公司/江苏扬州农村商业银行股份有限公司/江苏盱眙农村商业银行股份有限公司/江苏新沂农村商业银行股份有限公司/江苏丹阳农村商业银行股份有限公司/江苏镇江农村商业银行股份有限公司/江苏高淳农村商业银行股份有限公司/江苏响水农村商业银行股份有限公司/江苏如皋农村商业银行股份有限公司/江苏姜堰农村商业银行股份有限公司/江苏江都农村商业银行股份有限公司/江苏东海农村商业银行股份有限公司/江苏东台农村商业银行股份有限公司/江苏沭阳农村商业银行股份有限公司/江苏靖江农村商业银行股份有限公司/江苏民丰农村商业银行股份有限公司/江苏邳州农村商业银行股份有限公司/江苏常熟农村商业银行股份有限公司/江苏启东农村商业银行股份有限公司/江苏金湖农村商业银行股份有限公司/江苏洪泽农村商业银行股份有限公司/江苏灌云农村商业银行股份有限公司/江苏阜宁农村商业银行股份有限公司/江苏丰县农村商业银行股份有限公司/江苏泗阳农村商业银行股份有限公司/江苏建湖农村商业银行股份有限公司/江苏扬中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汉口银行股份有限公司/河北银行股份有限公司/江苏江南农村商业银行股份有限公司/嘉兴银行股份有限公司/江苏张家港农村商业银行股份有限公司/莱商银行股份有限公司/宁波镇海农村商业银行股份有限公司/宁波慈溪农村商业银行股份有限公司/宁波甬城农村商业银行股份有限公司/宁波余姚农村商业银行股份有限公司/厦门银行股份有限公司/石嘴山银行股份有限公司/苏州银行股份有限公司/兴业银行股份有限公司/浙江武义农村商业银行股份有限公司/浙江温州龙湾农村商业银行股份有限公司/浙江衢州柯城农村商业银行股份有限公司/浙江临海农村商业银行股份有限公司/浙江嘉善农村商业银行股份有限公司/浙江衢州衢江农村商业银行股份有限公司/浙江浦江农村商业银行股份有限公司/浙江兰溪农村商业银行股份有限公司/浙江萧山农村商业银行股份有限公司/浙江温州瓯海农村商业银行股份有限公司/浙江义乌农村商业银行股份有限公司/浙江民泰商业银行股份有限公司/浙江岱山农村商业银行股份有限公司/浙江临安农村商业银行股份有限公司/浙江温岭农村商业银行股份有限公司/浙江嵊州农村商业银行股份有限公司/浙江龙泉农村商业银行股份有限公司/中山农村商业银行股份有限公司/浙江杭州余杭农村商业银行股份有限公司/浙江德清农村商业银行股份有限公司/浙江泰顺农村商业银行股份有限公司/浙江永康农村商业银行股份有限公司/浙江新昌农村商业银行股份有限公司/浙江南浔农村商业银行股份有限公司/浙江开化农村商业银行股份有限公司/浙江上虞农村商业银行股份有限公司/浙江江山农村商业银行股份有限公司/浙江青田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ZJ份额:苏银理财有限责任公司/浙江嘉善农村商业银行股份有限公司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ZN份额:广西北部湾银行股份有限公司/汉口银行股份有限公司/河北银行股份有限公司/宁波通商银行股份有限公司/浙江萧山农村商业银行股份有限公司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紫金农村商业银行股份有限公司/江苏盐城农村商业银行股份有限公司/江苏仪征农村商业银行股份有限公司/江苏海安农村商业银行股份有限公司/江苏宜兴农村商业银行股份有限公司/江苏灌南农村商业银行股份有限公司/江苏高邮农村商业银行股份有限公司/江苏如东农村商业银行股份有限公司/江苏溧水农村商业银行股份有限公司/江苏大丰农村商业银行股份有限公司/江苏泰兴农村商业银行股份有限公司/江苏扬州农村商业银行股份有限公司/江苏新沂农村商业银行股份有限公司/江苏丹阳农村商业银行股份有限公司/江苏高淳农村商业银行股份有限公司/江苏响水农村商业银行股份有限公司/江苏如皋农村商业银行股份有限公司/江苏姜堰农村商业银行股份有限公司/江苏江都农村商业银行股份有限公司/江苏东海农村商业银行股份有限公司/江苏东台农村商业银行股份有限公司/江苏民丰农村商业银行股份有限公司/江苏常熟农村商业银行股份有限公司/江苏阜宁农村商业银行股份有限公司/江苏泗阳农村商业银行股份有限公司/江苏建湖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紫金农村商业银行股份有限公司/江苏盐城农村商业银行股份有限公司/江苏仪征农村商业银行股份有限公司/江苏南通农村商业银行股份有限公司/江苏海安农村商业银行股份有限公司/江苏宜兴农村商业银行股份有限公司/江苏灌南农村商业银行股份有限公司/江苏高邮农村商业银行股份有限公司/江苏如东农村商业银行股份有限公司/江苏溧水农村商业银行股份有限公司/江苏大丰农村商业银行股份有限公司/江苏泰兴农村商业银行股份有限公司/江苏扬州农村商业银行股份有限公司/江苏新沂农村商业银行股份有限公司/江苏丹阳农村商业银行股份有限公司/江苏高淳农村商业银行股份有限公司/江苏响水农村商业银行股份有限公司/江苏如皋农村商业银行股份有限公司/江苏姜堰农村商业银行股份有限公司/江苏沛县农村商业银行股份有限公司/江苏江都农村商业银行股份有限公司/江苏东台农村商业银行股份有限公司/江苏民丰农村商业银行股份有限公司/江苏常熟农村商业银行股份有限公司/江苏阜宁农村商业银行股份有限公司/江苏泗阳农村商业银行股份有限公司/江苏建湖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firstLine="420" w:firstLineChars="200"/>
        <w:rPr>
          <w:rFonts w:hint="default" w:ascii="楷体" w:hAnsi="楷体" w:eastAsia="楷体"/>
          <w:sz w:val="21"/>
          <w:szCs w:val="21"/>
          <w:highlight w:val="none"/>
          <w:lang w:val="en-US" w:eastAsia="zh-CN"/>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南京市高淳区建设发展集团有限公司。融资人经营正常，是依法设立的国有公司，主要股东为南京市高淳区人民政府国有资产监督管理办公室，实际控制人为南京市高淳区人民政府国有资产监督管理办公室。（4）非标准化债权类资产：融资人为江苏盐城港控股集团有限公司。融资人经营正常，是依法设立的国有公司，主要股东为盐城市大丰区人民政府、盐城市交通投资建设控股集团有限公司、盐城市海兴集团有限公司，江苏省盐城市滨海县人民政府，江苏省盐城市射阳县人民政府，江苏省盐城市响水县人民政府及盐城市政府国有资产监督管理委员会，实际控制人为盐城市人民政府。（5）非标准化债权类资产：融资人为邳州市交通控股集团有限公司。融资人经营正常，是依法设立的国有公司，主要股东为邳州市交通投资发展集团有限公司，实际控制人为邳州市财政局。（6）非标准化债权类资产：融资人为如东县民泰城乡建设工程有限公司。融资人经营正常，是依法设立的国有公司，主要股东为如东县金鑫交通工程建设投资有限公司，实际控制人为如东县投资管理办公室。（7）非标准化债权类资产：融资人为泰州医药城控股集团有限公司。融资人经营正常，是依法设立的国有公司，主要股东为泰州医药高新技术产业开发区管理委员会，实际控制人为泰州医药高新技术产业开发区管理委员会。（8）非标准化债权类资产：融资人为扬州高新国控集团有限公司。融资人经营正常，是依法设立的国有公司，主要股东为扬州市人民政府，实际控制人为扬州市人民政府。（9）非标准化债权类资产：融资人为盐城市海兴集团有限公司。融资人经营正常，是依法设立的国有公司，主要股东为盐城市海兴控股集团有限公司，实际控制人为盐城市人民政府。（10）非标准化债权类资产：融资人为扬州维扬发展投资有限公司。融资人经营正常，是依法设立的国有公司，主要股东为扬州维投控股集团有限公司，实际控制人为扬州市人民政府。（11）非标准化债权类资产：融资人为盐城市水务集团有限公司。融资人经营正常，是依法设立的国有公司，主要股东为盐城市市政公用投资有限公司，实际控制人为盐城市人民政府。（12）非标准化债权类资产：融资人为无锡市太湖新城资产经营管理有限公司。融资人经营正常，是依法设立的国有公司，主要股东为无锡市太湖新城发展集团有限公司，实际控制人为无锡市人民政府国有资产监督管理委员会。（13）非标准化债权类资产：融资人为靖江市北辰城乡投资建设有限公司。融资人经营正常，是依法设立的国有公司，主要股东为靖江经济技术开发区管理委员会，实际控制人为靖江经济技术开发区管理委员会。（14）非标准化债权类资产：融资人为盐城市城镇化建设投资集团有限公司。融资人经营正常，是依法设立的国有公司，主要股东为盐城市人民政府，实际控制人为盐城市人民政府。（15）非标准化债权类资产：融资人为扬州广合国有资本运营集团有限公司。融资人经营正常，是依法设立的国有公司，主要股东为扬州市人民政府，实际控制人为扬州市人民政府。（16）非标准化债权类资产：融资人为扬州江淮建设发展有限公司。融资人经营正常，是依法设立的国有公司，主要股东为扬州市国联控股集团有限公司，实际控制人为扬州市人民政府。（17）非标准化债权类资产：融资人为江苏淮阴城市产业投资集团有限公司。融资人经营正常，是依法设立的国有公司，主要股东为淮安国控投资集团有限公司，实际控制人为淮安市人民政府。（18）非标准化债权类资产：融资人为诸暨市国有资产经营有限公司。融资人经营正常，是依法设立的国有公司，主要股东为诸暨市财政局(诸暨市人民政府国有资产监督管理办公室)、浙江省财务开发有限责任公司，实际控制人为诸暨市财政局(诸暨市人民政府国有资产监督管理办公室)。（19）非标准化债权类资产：融资人为富港建设集团有限公司。融资人经营正常，是依法设立的国有公司，主要股东为如皋市人民政府、工银金融资产投资有限公司，实际控制人为如皋市人民政府。（20）非标准化债权类资产：融资人为无锡市梁溪产业发展集团有限公司。融资人经营正常，是依法设立的国有公司，主要股东为无锡市梁溪区人民政府国有资产监督管理办公室、无锡市梁溪城市运营服务集团有限公司，实际控制人为无锡市梁溪区人民政府国有资产监督管理办公室。（21）非标准化债权类资产：融资人为诸暨市城乡投资集团有限公司。融资人经营正常，是依法设立的国有公司，主要股东为诸暨市建设集团有限公司，实际控制人为诸暨市财政局。（22）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23）非标准化债权类资产：融资人为台州市黄岩国有资本投资运营集团有限公司。融资人经营正常，是依法设立的国有公司，主要股东为台州市黄岩区财政局，实际控制人为台州市黄岩区财政局。（24）非标准化债权类资产：融资人为镇江文化广电产业集团有限公司。融资人经营正常，是依法设立的国有公司，主要股东为镇江市广播电视台，实际控制人为江苏省镇江市人民政府。（25）非标准化债权类资产：融资人为绍兴市镜湖开发集团有限公司。融资人经营正常，是依法设立的国有公司，主要股东为绍兴市人民政府国有资产监督管理委员会，实际控制人为绍兴市人民政府国有资产监督管理委员会。（26）非标准化债权类资产：融资人为泰兴市城市投资发展集团有限公司。融资人经营正常，是依法设立的国有公司，主要股东为江苏平仲科技发展集团有限公司，实际控制人为泰兴市人民政府国有资产监督管理办公室。（27）非标准化债权类资产：融资人为江苏运东控股集团有限公司。融资人经营正常，是依法设立的国有公司，主要股东为宿迁市宿豫区财政局(宿迁市宿豫区政府国有资产监督管理办公室、宿迁市宿豫区政府金融工作办公室)，实际控制人为宿迁市宿豫区财政局(宿迁市宿豫区政府国有资产监督管理办公室、宿迁市宿豫区政府金融工作办公室)。（28）非标准化债权类资产：融资人为新沂市新源水务投资发展有限公司。融资人经营正常，是依法设立的国有公司，主要股东为新沂市交通投资有限公司，实际控制人为新沂市人民政府。（29）非标准化债权类资产：融资人为徐州市新沂经济技术开发有限责任公司。融资人经营正常，是依法设立的国有公司，主要股东为新沂经济开发区建设发展有限公司，实际控制人为新沂市人民政府。（30）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31）非标准化债权类资产：融资人为湖州经开投资发展集团有限公司。融资人经营正常，是依法设立的国有公司，主要股东为湖州南太湖国有控股集团有限公司，实际控制人为湖州市人民政府国有资产监督管理委员会。（32）非标准化债权类资产：融资人为湖州吴兴城市投资发展集团有限公司。融资人经营正常，是依法设立的国有公司，主要股东为湖州吴兴国控投资运营发展集团有限公司，实际控制人为湖州市吴兴区财政局。（33）非标准化债权类资产：融资人为江苏皋开投资发展集团有限公司。融资人经营正常，是依法设立的国有公司，主要股东为如皋市人民政府，实际控制人为如皋市人民政府。（34）非标准化债权类资产：融资人为常州市春秋淹城建设投资有限公司。融资人经营正常，是依法设立的国有公司，主要股东为江苏武进经济发展集团有限公司，实际控制人为常州市武进区国有(集体)资产管理办公室。（35）非标准化债权类资产：融资人为燕舞集团有限公司。融资人经营正常，是依法设立的国有公司，主要股东为盐城市人民政府、盐城市城市资产投资集团有限公司、江苏悦达集团有限公司，实际控制人为盐城市人民政府。（36）非标准化债权类资产：融资人为兰溪市城市投资集团有限公司。融资人经营正常，是依法设立的国有公司，主要股东为兰溪市城市发展集团有限公司，实际控制人为兰溪市人民政府国有资产监督管理办公室。（37）非标准化债权类资产：融资人为绍兴市越城区城市发展建设集团有限公司。融资人经营正常，是依法设立的国有公司，主要股东为绍兴市越城区财政局，实际控制人为绍兴市越城区财政局。（38）同业借款：融资人为中国中信金融资产管理股份有限公司。融资人经营正常，是依法成立的国有公司，主要股东为中国中信集团有限公司、财政局、中国融信私募基金有限公司，实际控制人为财政部。（39）同业借款：融资人为中国东方资产管理股份有限公司。融资人经营正常，是依法成立的国有公司，主要股东为中央汇金投资有限责任公司、全国社会保障基金理事会、中国电信集团有限公司，实际控制人为国务院。（40）同业借款：融资人为中国信达资产管理股份有限公司。融资人经营正常，是依法成立的国有公司，主要股东为中央汇金投资有限责任公司，实际控制人为国务院。（41）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42）收益凭证：融资人为中国国际金融股份有限公司。融资人经营正常，是依法设立的国有公司，主要股东为中央汇金投资有限责任公司、香港中央结算（代理人）有限公司、香港中央结算有限公司，实际控制人</w:t>
      </w:r>
      <w:r>
        <w:rPr>
          <w:rFonts w:hint="eastAsia" w:ascii="楷体" w:hAnsi="楷体" w:eastAsia="楷体" w:cs="楷体"/>
          <w:color w:val="auto"/>
          <w:kern w:val="2"/>
          <w:sz w:val="21"/>
          <w:szCs w:val="21"/>
          <w:highlight w:val="none"/>
          <w:lang w:val="en-US" w:eastAsia="zh-CN" w:bidi="ar-SA"/>
        </w:rPr>
        <w:t>中央汇金投资有限责任公司。（43）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44）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45）收益凭证：融资人为华泰证券股份有限公司。融资人经营正常，是依法设立的国有公司，主要股东为江苏省国信集团有限公司、香港中央结算（代理人）有限公司、江苏交通控股有限公司，无实际控制人。（46）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47）收益凭证：融资人为申万宏源证券有限公司。融资人经营正常，是依法设立的国有公司，主要股东为申万宏源集团股份有限公司，实际控制人为中央汇金投资有限责任公司。（48）收益凭证：融资人为东方证券股份有限公司。融资人经营正常，是依法设立的国有公司，主要股东为申能（集团）有限公司、香港中央结算（代理人）有限公司、上海海烟投资管理有限公司，实际控制人为上海市国有资产监督管理委员会。（49）收益凭证：融资人为浙商证券股份有限公司。融资人经营正常，是依法设立的国有公司，主要股东为浙江上三高速公路有限公司、台州市金融投资集团有限公司，实际控制人为浙江省交通投资集团有限公司。（50）收益凭证：融资人为国投证券股份有限公司。融资人经营正常，是依法设立的国有公司，主要股东为国投资本股份有限公司、上海毅胜投资有限公司，实际控制人为国家开发投资集团有限公司。</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1）-（2）各资产到期日不超过理财产品投资周期终止日，循环期不还本、摊还期过手摊还本息；（3）-（40）各资产到期日不超过理财产品投资周期终止日，定期付息、到期一次性还本；（41）-（50）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w:t>
      </w:r>
      <w:r>
        <w:rPr>
          <w:rFonts w:hint="eastAsia" w:ascii="楷体" w:hAnsi="楷体" w:eastAsia="楷体"/>
          <w:sz w:val="21"/>
          <w:szCs w:val="21"/>
          <w:highlight w:val="none"/>
          <w:lang w:val="en-US" w:eastAsia="zh-CN"/>
        </w:rPr>
        <w:t>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jc w:val="left"/>
        <w:rPr>
          <w:rFonts w:hint="eastAsia"/>
          <w:highlight w:val="none"/>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910D0B"/>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417D7E"/>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2FB5"/>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214751"/>
    <w:rsid w:val="4B80633B"/>
    <w:rsid w:val="4B850834"/>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A60DD"/>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547D6D"/>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17</Pages>
  <Words>26213</Words>
  <Characters>27965</Characters>
  <Lines>37</Lines>
  <Paragraphs>10</Paragraphs>
  <TotalTime>13</TotalTime>
  <ScaleCrop>false</ScaleCrop>
  <LinksUpToDate>false</LinksUpToDate>
  <CharactersWithSpaces>28141</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2026-04-30T09:20:10Z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