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苏银理财恒源封闭债权303期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1.非标准化债权的特殊风险：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①融资方还款履约能力可能的变化导致的信用风险。②债务人提前还款或逾期还款的风险。③保证人未履行保证义务的风险等。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2.股票投资的特殊风险：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3.黄金、黄金主题股票、黄金ETF基金等黄金类资产的特殊风险：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影响黄金类资产的价格的主要因素包括但不限于：①黄金的供给与需求；②投资者的黄金交易行为；③外汇汇率；④全球和地区性政治经济环境的变化等。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4.结构性存款的特殊风险：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5.债券投资的特殊风险：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6.资产管理计划或基金产品的特殊风险：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3"/>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lang w:val="en-US" w:eastAsia="zh-CN"/>
        </w:rPr>
        <w:t>固定收益类、公募、封闭式，计划存续期限为1年。</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lang w:val="en-US" w:eastAsia="zh-CN"/>
        </w:rPr>
        <w:t>★★二级</w:t>
      </w:r>
      <w:r>
        <w:rPr>
          <w:rFonts w:hint="eastAsia" w:ascii="楷体" w:hAnsi="楷体" w:eastAsia="楷体" w:cs="楷体"/>
          <w:b/>
          <w:color w:val="auto"/>
          <w:sz w:val="21"/>
          <w:szCs w:val="21"/>
          <w:highlight w:val="none"/>
          <w:u w:val="single"/>
        </w:rPr>
        <w:t>，适合</w:t>
      </w:r>
      <w:r>
        <w:rPr>
          <w:rFonts w:hint="eastAsia" w:ascii="楷体" w:hAnsi="楷体" w:eastAsia="楷体" w:cs="楷体"/>
          <w:b/>
          <w:color w:val="auto"/>
          <w:sz w:val="21"/>
          <w:szCs w:val="21"/>
          <w:highlight w:val="none"/>
          <w:u w:val="single"/>
          <w:lang w:val="en-US" w:eastAsia="zh-CN"/>
        </w:rPr>
        <w:t>中低风险型</w:t>
      </w:r>
      <w:r>
        <w:rPr>
          <w:rFonts w:hint="eastAsia" w:ascii="楷体" w:hAnsi="楷体" w:eastAsia="楷体" w:cs="楷体"/>
          <w:b/>
          <w:color w:val="auto"/>
          <w:sz w:val="21"/>
          <w:szCs w:val="21"/>
          <w:highlight w:val="none"/>
          <w:u w:val="single"/>
        </w:rPr>
        <w:t>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rPr>
          <w:rFonts w:hint="eastAsia" w:ascii="楷体" w:hAnsi="楷体" w:eastAsia="楷体" w:cs="楷体"/>
          <w:b/>
          <w:color w:val="auto"/>
          <w:sz w:val="28"/>
          <w:szCs w:val="28"/>
        </w:rPr>
      </w:pPr>
      <w:r>
        <w:rPr>
          <w:rFonts w:hint="eastAsia" w:ascii="楷体" w:hAnsi="楷体" w:eastAsia="楷体" w:cs="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/本机构</w:t>
      </w:r>
      <w:r>
        <w:rPr>
          <w:rFonts w:hint="eastAsia" w:ascii="楷体" w:hAnsi="楷体" w:eastAsia="楷体"/>
          <w:b/>
          <w:color w:val="auto"/>
          <w:sz w:val="21"/>
          <w:szCs w:val="21"/>
          <w:u w:val="single"/>
        </w:rPr>
        <w:t>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both"/>
        <w:rPr>
          <w:rFonts w:hint="eastAsia" w:ascii="楷体" w:hAnsi="楷体" w:eastAsia="楷体" w:cs="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A589E"/>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D3000"/>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82917"/>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AF87BD4"/>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6D5926"/>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4B82"/>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B5195"/>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0A31C0"/>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83FCF"/>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47673D"/>
    <w:rsid w:val="37526CB1"/>
    <w:rsid w:val="375767E6"/>
    <w:rsid w:val="375C6F89"/>
    <w:rsid w:val="37624E4B"/>
    <w:rsid w:val="37667C0A"/>
    <w:rsid w:val="376F58CE"/>
    <w:rsid w:val="37805199"/>
    <w:rsid w:val="37856ABB"/>
    <w:rsid w:val="3785733B"/>
    <w:rsid w:val="378A61F6"/>
    <w:rsid w:val="378D3EFB"/>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AF11D4"/>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6D4203"/>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B49E6"/>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6B6B3A"/>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005ED"/>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62604"/>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482F3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05A42"/>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2026-05-08T07:21:28Z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