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兴银理财稳利丰收封闭式24号固收类理财产品2023年第四季度报告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兴银理财稳利丰收封闭式24号固收类理财产品</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兴银理财稳利丰收封闭式24号固收类理财产品2023年第四季度报告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兴银理财稳利丰收封闭式24号固收类理财产品2023年第四季度报告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兴银理财稳利丰收封闭式24号固收类理财产品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9C310240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Z7002022000854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4,450,100份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9C31024A：3.10%--4.00%/--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稳利丰收封闭式24号A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9C31024A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4,450,100.00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兴银理财稳利丰收封闭式24号固收类理财产品2023年第四季度报告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产品9C31024A自成立日以来，累计净值增长率为4.2060%，年化累计净值增长率为5.8151%。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9C310240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4,637,269.48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9C31024A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4,637,269.48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11年金融从业经验，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一、2023年四季度市场回顾与产品投资策略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四季度以来，债券收益率整体呈现下行趋势，十年国债收益率由季度初的2.66%下行至季末的2.55%，下行11bp。主要原因一是10月以来，制造业PMI再次跌破荣枯线，且12月制造业PMI加速下行，基本面经过前期短暂的反弹后再度走弱，地产及相关产业拖累经济增速，宏观环境仍处于筑底阶段，生产好于需求的格局未能改变，企业主动补库存之路有待加速，经济复苏成色不足成为本轮收益率下行的基石。二是三季度多地放松“认房认贷”政策后，楼市经历脉冲式反弹。但由于居民端资产负债表修复尚未完成，杠杆率亦处于高位，因此即使在政策发力的背景下房地产市场复苏的成色依然偏弱，整体反弹幅度有限。三是汇率压力逐步降低后，央行货币政策外部掣肘下降，资金价格逐渐向政策利率回归，也为后续的货币政策灵活性留出空间。</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产品整体把握了信用债季初静态收益处于高位的加仓机会，采取高杠杆短久期的投资策略，降低产品波动的同时获得了优秀的持有收益。同时在12月收益率快速下行的市场环境下把握投资机会，通过积极交易、公募基金投资等多种手段获得了一定的资本利得。整体来看，四季度产品净值增长较快且波动较低。</w:t>
            </w:r>
            <w:r>
              <w:rPr>
                <w:rFonts w:ascii="宋体" w:hAnsi="宋体" w:eastAsia="宋体" w:cs="宋体"/>
                <w:color w:val="000000"/>
                <w:sz w:val="21"/>
              </w:rPr>
              <w:br w:type="textWrapping"/>
            </w:r>
            <w:r>
              <w:rPr>
                <w:rFonts w:ascii="宋体" w:hAnsi="宋体" w:eastAsia="宋体" w:cs="宋体"/>
                <w:color w:val="000000"/>
                <w:sz w:val="21"/>
              </w:rPr>
              <w:t>二、2024年一季度展望与投资</w:t>
            </w:r>
            <w:r>
              <w:rPr>
                <w:rFonts w:ascii="宋体" w:hAnsi="宋体" w:eastAsia="宋体" w:cs="宋体"/>
                <w:color w:val="000000"/>
                <w:sz w:val="21"/>
              </w:rPr>
              <w:br w:type="textWrapping"/>
            </w:r>
            <w:r>
              <w:rPr>
                <w:rFonts w:ascii="宋体" w:hAnsi="宋体" w:eastAsia="宋体" w:cs="宋体"/>
                <w:color w:val="000000"/>
                <w:sz w:val="21"/>
              </w:rPr>
              <w:t>1、2024年一季度展望</w:t>
            </w:r>
            <w:r>
              <w:rPr>
                <w:rFonts w:ascii="宋体" w:hAnsi="宋体" w:eastAsia="宋体" w:cs="宋体"/>
                <w:color w:val="000000"/>
                <w:sz w:val="21"/>
              </w:rPr>
              <w:br w:type="textWrapping"/>
            </w:r>
            <w:r>
              <w:rPr>
                <w:rFonts w:ascii="宋体" w:hAnsi="宋体" w:eastAsia="宋体" w:cs="宋体"/>
                <w:color w:val="000000"/>
                <w:sz w:val="21"/>
              </w:rPr>
              <w:t xml:space="preserve">    2024年一季度预计基本面仍将维持弱复苏、低通胀的格局。同时往年信贷投放季节性较强，但在央行平滑信贷投放的指导下，预计后续的信贷投放节奏将会前置，部分明年一季度的储备项目将在今年执行，因此银行类机构一</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兴银理财稳利丰收封闭式24号固收类理财产品2023年第四季度报告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季度配置资金相对充裕，有助于推动收益率下行。货币政策方面预计仍有宽松空间，降准降息可期。1月中旬将是货币政策的重要博弈时点。同时未来经济增长压力依然较大，政府加杠杆稳经济预计将是重要的宏观调控手段，重点关注三月份两会公布的赤字率目标，预计利率债的供给情况将成为一季度长久期债券的交易主线。</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基本面仍然处于筑底阶段，预计在一季度中仍不会对债市构成较大利空。货币政策有望延续宽松，因此债券投资中策略仍然以中性偏乐观为主。若遇到超预期政策或止盈盘导致市场调整，依然是较好的加仓机会。策略上增配中高等级信用债、高流动性二级资本债等品种，抓住市场交易机会增厚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bookmarkStart w:id="7"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20无锡农商永续债</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263,877.47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5.69</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兴银理财稳利丰收封闭式24号固收类理财产品2023年第四季度报告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219,059.37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214,957.12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179,814.30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23少海03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174,395.58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173,460.70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万和证券-中交一航局2021年第一期应收账款资产支持专项计划优先级资产支持证券</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172,283.95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169,925.32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23渝铝01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137,086.89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23合川城投PPN003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135,443.48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2.92</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兴银理财稳利丰收封闭式24号固收类理财产品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0.0391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兴银理财稳利丰收封闭式24号固收类理财产品2023年第四季度报告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051010100101518486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兴银理财稳利丰收封闭式24号固收类理财产品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114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800"/>
  <w:compat>
    <w:useFELayout/>
    <w:splitPgBreakAndParaMark/>
    <w:compatSetting w:name="compatibilityMode" w:uri="http://schemas.microsoft.com/office/word" w:val="12"/>
  </w:compat>
  <w:rsids>
    <w:rsidRoot w:val="00000000"/>
    <w:rsid w:val="03C429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2024-01-19T06:53:33Z</dcterms:created>
  <dc:creator>wot_kangyuwei_zy</dc:creator>
  <cp:lastModifiedBy>wot_kangyuwei_zy</cp:lastModifiedBy>
  <dcterms:modified xsi:type="dcterms:W3CDTF">2024-01-19T06:59:02Z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