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天天万利宝稳利2号净值型理财产品E款2023年第四季度报告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天天万利宝稳利2号净值型理财产品E款</w:t>
            </w:r>
            <w:r>
              <w:rPr>
                <w:rFonts w:ascii="宋体" w:hAnsi="宋体" w:eastAsia="宋体" w:cs="宋体"/>
                <w:b/>
                <w:color w:val="000000"/>
                <w:sz w:val="32"/>
              </w:rPr>
              <w:br w:type="textWrapping"/>
            </w:r>
            <w:r>
              <w:rPr>
                <w:rFonts w:ascii="宋体" w:hAnsi="宋体" w:eastAsia="宋体" w:cs="宋体"/>
                <w:b/>
                <w:color w:val="000000"/>
                <w:sz w:val="32"/>
              </w:rPr>
              <w:t>2023年第四季度报告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报告送出日期：2024年1月22日</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天天万利宝稳利2号净值型理财产品E款2023年第四季度报告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天天万利宝稳利2号净值型理财产品E款2023年第四季度报告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r>
              <w:rPr>
                <w:rFonts w:ascii="仿宋" w:hAnsi="仿宋" w:eastAsia="仿宋" w:cs="仿宋"/>
                <w:color w:val="000000"/>
                <w:sz w:val="21"/>
              </w:rPr>
              <w:t xml:space="preserve"> 4. 投资组合情况（期末资产组合情况、杠杆比例、资产前十持仓等）详情请理财持有人登录网银后进行查询。</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天天万利宝稳利2号净值型理财产品E款</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9K218032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Z7002020000022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开放式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5,909,673,877.12份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9K218032：2.50%--3.80%/3.15%</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2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jc w:val="center"/>
                        </w:pPr>
                      </w:p>
                    </w:tc>
                  </w:tr>
                </w:tbl>
                <w:p>
                  <w:pPr>
                    <w:pStyle w:val="4"/>
                    <w:jc w:val="cente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jc w:val="cente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稳利恒盈E 6个月</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9K218032（适用【A】份额）</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5,909,673,877.12</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pPr>
          </w:p>
        </w:tc>
      </w:tr>
      <w:tr>
        <w:tblPrEx>
          <w:tblCellMar>
            <w:top w:w="0" w:type="dxa"/>
            <w:left w:w="10" w:type="dxa"/>
            <w:bottom w:w="0" w:type="dxa"/>
            <w:right w:w="10" w:type="dxa"/>
          </w:tblCellMar>
        </w:tblPrEx>
        <w:trPr>
          <w:gridAfter w:val="2"/>
          <w:trHeight w:val="7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天天万利宝稳利2号净值型理财产品E款2023年第四季度报告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产品9K218032自成立日以来，累计净值增长率为19.1720%，年化累计净值增长率为3.6466%。</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9K218032</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1.00890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1.19172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5,962,271,602.82</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9K218032（适用【A】份额）</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1.00890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1.19172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5,962,271,602.82</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罗琦先生，上海财经大学硕士，10年券商和银行债券投资交易经验。2019年加入兴业银行资管，担任债券投资经理，主要负责纯债和股债混合产品投资管理工作。目前管理多只银行净值型理财产品，投资风格稳健，过往业绩优异。对宏观及利率走势有深入的研究，注重各类资产风险收益比，善于利用各类策略获取超额收益。</w:t>
            </w:r>
          </w:p>
        </w:tc>
        <w:tc>
          <w:tcPr>
            <w:gridSpan w:val="4"/>
          </w:tcPr>
          <w:p>
            <w:pPr>
              <w:pStyle w:val="4"/>
            </w:pPr>
          </w:p>
        </w:tc>
        <w:tc>
          <w:p>
            <w:pPr>
              <w:pStyle w:val="4"/>
            </w:pPr>
          </w:p>
        </w:tc>
      </w:tr>
      <w:tr>
        <w:tblPrEx>
          <w:tblCellMar>
            <w:top w:w="0" w:type="dxa"/>
            <w:left w:w="10" w:type="dxa"/>
            <w:bottom w:w="0" w:type="dxa"/>
            <w:right w:w="10" w:type="dxa"/>
          </w:tblCellMar>
        </w:tblPrEx>
        <w:trPr>
          <w:trHeight w:val="405" w:hRule="exact"/>
        </w:trPr>
        <w:tc>
          <w:p>
            <w:pPr>
              <w:pStyle w:val="4"/>
            </w:pPr>
          </w:p>
        </w:tc>
        <w:tc>
          <w:tcPr>
            <w:gridSpan w:val="2"/>
          </w:tcPr>
          <w:p>
            <w:pPr>
              <w:pStyle w:val="4"/>
            </w:pPr>
          </w:p>
        </w:tc>
        <w:tc>
          <w:tcPr>
            <w:gridSpan w:val="4"/>
          </w:tcPr>
          <w:p>
            <w:pPr>
              <w:pStyle w:val="4"/>
            </w:pPr>
            <w:bookmarkStart w:id="7" w:name="_GoBack"/>
            <w:bookmarkEnd w:id="7"/>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59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一、2023年回顾</w:t>
            </w:r>
            <w:r>
              <w:rPr>
                <w:rFonts w:ascii="宋体" w:hAnsi="宋体" w:eastAsia="宋体" w:cs="宋体"/>
                <w:color w:val="000000"/>
                <w:sz w:val="21"/>
              </w:rPr>
              <w:br w:type="textWrapping"/>
            </w:r>
            <w:r>
              <w:rPr>
                <w:rFonts w:ascii="宋体" w:hAnsi="宋体" w:eastAsia="宋体" w:cs="宋体"/>
                <w:color w:val="000000"/>
                <w:sz w:val="21"/>
              </w:rPr>
              <w:t xml:space="preserve">    2023年债市整体看呈现先上后下行情，十年国债利率从2022年末2.835%下行至2.55%，累计下行约30bp。一至二月底由于疫后经济复苏预期强烈以及相关稳增长政策及时出台，市场利率有所调整，十年国债上行至2.93%附近。3月之后市场从震荡行情转为下行走势，经济波浪式复苏迹象愈发明显，配置资金入场加速了利率大幅下行，随后6月国有大行的存款利率下调以及8月超预期的降息，叠加市场资金面稳健宽松，十年国债下行至年内低点2.54%。8月下旬后进入了政策密集发力期，经济基本面阶段筑底，叠加资金面持续偏紧，市场随之调整，十年国债利率上行至2.72%,一年同业存单大幅上行50bp至2.7%附近，各利率曲线逐步平坦。进入12月，随着资金面回归平稳且政策发力意愿不强，配置需求使得利率再次全面下行，十年国债利率重回年内低点，较年初下行了27bp，一年同业存单收益持平，三年AAA中票下行42bp，三年AA 中票下行66bp。</w:t>
            </w:r>
            <w:r>
              <w:rPr>
                <w:rFonts w:ascii="宋体" w:hAnsi="宋体" w:eastAsia="宋体" w:cs="宋体"/>
                <w:color w:val="000000"/>
                <w:sz w:val="21"/>
              </w:rPr>
              <w:br w:type="textWrapping"/>
            </w:r>
            <w:r>
              <w:rPr>
                <w:rFonts w:ascii="宋体" w:hAnsi="宋体" w:eastAsia="宋体" w:cs="宋体"/>
                <w:color w:val="000000"/>
                <w:sz w:val="21"/>
              </w:rPr>
              <w:t xml:space="preserve">    产品运作方面，在4-5月布局建仓，适当提高久期，进入7、8月后积极增持低波资产和流动性资产，11月后再次转向看多，加仓金融机构债和同业存单，从提高久期、静态和增配低波资产等角度进行积极调仓，平衡组合收益和流动性。</w:t>
            </w:r>
            <w:r>
              <w:rPr>
                <w:rFonts w:ascii="宋体" w:hAnsi="宋体" w:eastAsia="宋体" w:cs="宋体"/>
                <w:color w:val="000000"/>
                <w:sz w:val="21"/>
              </w:rPr>
              <w:br w:type="textWrapping"/>
            </w:r>
            <w:r>
              <w:rPr>
                <w:rFonts w:ascii="宋体" w:hAnsi="宋体" w:eastAsia="宋体" w:cs="宋体"/>
                <w:color w:val="000000"/>
                <w:sz w:val="21"/>
              </w:rPr>
              <w:t>二、2024年一季度投资策略展望</w:t>
            </w:r>
            <w:r>
              <w:rPr>
                <w:rFonts w:ascii="宋体" w:hAnsi="宋体" w:eastAsia="宋体" w:cs="宋体"/>
                <w:color w:val="000000"/>
                <w:sz w:val="21"/>
              </w:rPr>
              <w:br w:type="textWrapping"/>
            </w:r>
            <w:r>
              <w:rPr>
                <w:rFonts w:ascii="宋体" w:hAnsi="宋体" w:eastAsia="宋体" w:cs="宋体"/>
                <w:color w:val="000000"/>
                <w:sz w:val="21"/>
              </w:rPr>
              <w:t xml:space="preserve">    后市展望：近期市场利率对降息、降准预期定价较为充分，如落地后在止盈情绪下市场将面临一定的调整压力，但是从政策定调虽积极但政策抓手不清晰，宽财政意愿不够强烈，经济内生动能不足的情况下，若政策力度相对温和，则复苏仍将曲线偏缓慢，且年初配置需求较大，债券票息价值凸显的背景下，债市上行风险有限，不具备转熊的基础，总体偏震荡格局，市场情绪稳定后存在一定的配置机会。一季度资金面整体偏稳，从绝对收益和利差角度而言当前中短端品种性价比更高。</w:t>
            </w:r>
            <w:r>
              <w:rPr>
                <w:rFonts w:ascii="宋体" w:hAnsi="宋体" w:eastAsia="宋体" w:cs="宋体"/>
                <w:color w:val="000000"/>
                <w:sz w:val="21"/>
              </w:rPr>
              <w:br w:type="textWrapping"/>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天天万利宝稳利2号净值型理财产品E款2023年第四季度报告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下阶段总体策略：中性偏防守策略为主，看好中短端高等级信用债票息和杠杆策略，以及金融机构债的投资机会，在波动中提高组合静态收益，兼顾产品流动性，市场调整后择机加仓进行波段交易增厚组合收益。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4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7.82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38.69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同业存单</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0.73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0.22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金融衍生品</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拆放同业及债券买入返售</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53.78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55.53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37.43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报告期末本产品总资产未超过该产品净资产规模的140%，符合产品协议对本产品杠杆比例的要求。</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w:t>
            </w:r>
            <w:r>
              <w:rPr>
                <w:rFonts w:ascii="宋体" w:hAnsi="宋体" w:eastAsia="宋体" w:cs="宋体"/>
                <w:color w:val="000000"/>
                <w:sz w:val="21"/>
              </w:rPr>
              <w:br w:type="textWrapping"/>
            </w:r>
            <w:r>
              <w:rPr>
                <w:rFonts w:ascii="宋体" w:hAnsi="宋体" w:eastAsia="宋体" w:cs="宋体"/>
                <w:color w:val="000000"/>
                <w:sz w:val="21"/>
              </w:rPr>
              <w:t xml:space="preserve">    为防范无法支付赎回款而产生的流动性风险，本理财产品管理人将合理安排所投资产期限，持续根据市场变化情况做好投资安排，尽可能降低产品流动性风险，有效保障理财持有人利益。</w:t>
            </w:r>
            <w:r>
              <w:rPr>
                <w:rFonts w:ascii="宋体" w:hAnsi="宋体" w:eastAsia="宋体" w:cs="宋体"/>
                <w:color w:val="000000"/>
                <w:sz w:val="21"/>
              </w:rPr>
              <w:br w:type="textWrapping"/>
            </w:r>
            <w:r>
              <w:rPr>
                <w:rFonts w:ascii="宋体" w:hAnsi="宋体" w:eastAsia="宋体" w:cs="宋体"/>
                <w:color w:val="000000"/>
                <w:sz w:val="21"/>
              </w:rPr>
              <w:t xml:space="preserve">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天天万利宝稳利2号净值型理财产品E款2023年第四季度报告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664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徽商银行宁波分行大额存单02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525,612,957.68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8.82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20民生银行二级</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452,398,925.90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7.59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19华夏银行永续债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393,248,731.15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6.60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19工商银行永续债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359,935,191.10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19农业银行永续债01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318,091,520.05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5.34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19中信银行永续债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182,784,570.49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19广发银行永续债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153,630,692.47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20邮储银行永续债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145,603,483.93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19浦发银行永续债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113,571,551.53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19农业银行永续债02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112,528,238.20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1.89</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3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天天万利宝稳利2号净值型理财产品E款2023年第四季度报告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3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20南平土发小微债</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19中信银行永续债</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红塔证券股份有限公司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21江津城建MTN001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23美的置业MTN003(绿色)</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21富皋万泰PPN001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3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20成都开投PPN002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授信</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中证信用增进股份有限公司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天天万利宝稳利2号净值型理财产品E款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0.5216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兴瀚资管-兴添翼51号集合资产管理计划</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0.4648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管理费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上海兴瀚资产管理有限公司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天天万利宝稳利2号净值型理财产品E款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215.4587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天天万利宝稳利2号净值型理财产品E款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51.6533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051010100100688148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兴业银行理财托管专户天天万利宝稳利2号净值型理财产品E款</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2024年1月22日</w:t>
            </w:r>
          </w:p>
        </w:tc>
        <w:tc>
          <w:tcPr>
            <w:gridSpan w:val="4"/>
          </w:tcPr>
          <w:p>
            <w:pPr>
              <w:pStyle w:val="4"/>
            </w:pPr>
          </w:p>
        </w:tc>
        <w:tc>
          <w:p>
            <w:pPr>
              <w:pStyle w:val="4"/>
            </w:pPr>
          </w:p>
        </w:tc>
      </w:tr>
      <w:tr>
        <w:tblPrEx>
          <w:tblCellMar>
            <w:top w:w="0" w:type="dxa"/>
            <w:left w:w="10" w:type="dxa"/>
            <w:bottom w:w="0" w:type="dxa"/>
            <w:right w:w="10" w:type="dxa"/>
          </w:tblCellMar>
        </w:tblPrEx>
        <w:trPr>
          <w:trHeight w:val="68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bl>
    <w:p/>
    <w:sectPr>
      <w:pgSz w:w="11900" w:h="16840"/>
      <w:pgMar w:top="600" w:right="560" w:bottom="240" w:left="6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documentProtection w:enforcement="0"/>
  <w:defaultTabStop w:val="800"/>
  <w:compat>
    <w:useFELayout/>
    <w:splitPgBreakAndParaMark/>
    <w:compatSetting w:name="compatibilityMode" w:uri="http://schemas.microsoft.com/office/word" w:val="12"/>
  </w:compat>
  <w:rsids>
    <w:rsidRoot w:val="00000000"/>
    <w:rsid w:val="295414E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1_TH"/>
    <w:qFormat/>
    <w:uiPriority w:val="0"/>
    <w:pPr>
      <w:spacing w:line="240" w:lineRule="auto"/>
    </w:pPr>
    <w:rPr>
      <w:rFonts w:ascii="SansSerif" w:hAnsi="SansSerif" w:eastAsia="SansSerif" w:cs="SansSerif"/>
      <w:color w:val="000000"/>
      <w:sz w:val="20"/>
      <w:szCs w:val="22"/>
    </w:rPr>
  </w:style>
  <w:style w:type="paragraph" w:customStyle="1" w:styleId="10">
    <w:name w:val="Table 1_CH"/>
    <w:qFormat/>
    <w:uiPriority w:val="0"/>
    <w:pPr>
      <w:spacing w:line="240" w:lineRule="auto"/>
    </w:pPr>
    <w:rPr>
      <w:rFonts w:ascii="SansSerif" w:hAnsi="SansSerif" w:eastAsia="SansSerif" w:cs="SansSerif"/>
      <w:color w:val="000000"/>
      <w:sz w:val="20"/>
      <w:szCs w:val="22"/>
    </w:rPr>
  </w:style>
  <w:style w:type="paragraph" w:customStyle="1" w:styleId="11">
    <w:name w:val="Table 1_T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2024-01-19T10:24:33Z</dcterms:created>
  <dc:creator>wot_lizhanyou_zy</dc:creator>
  <cp:lastModifiedBy>wot_lizhanyou_zy</cp:lastModifiedBy>
  <dcterms:modified xsi:type="dcterms:W3CDTF">2024-01-19T10:24:52Z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