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兴银理财稳利安盈封闭式2023年59期固收类理财产品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[稳利安盈封闭式2023年59期A]到期公告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我司#发售的兴银理财稳利安盈封闭式2023年59期固收类理财产品于2024-04-02到期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363"/>
        <w:gridCol w:w="1239"/>
        <w:gridCol w:w="1239"/>
        <w:gridCol w:w="1239"/>
        <w:gridCol w:w="465"/>
        <w:gridCol w:w="370"/>
        <w:gridCol w:w="749"/>
        <w:gridCol w:w="44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9A12359A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兴银理财稳利安盈封闭式2023年59期固收类理财产品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2023-11-09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2.85%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2142"/>
        <w:gridCol w:w="2145"/>
        <w:gridCol w:w="854"/>
        <w:gridCol w:w="852"/>
        <w:gridCol w:w="85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3459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1540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3459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8,769,513.12</w:t>
            </w:r>
          </w:p>
        </w:tc>
        <w:tc>
          <w:tcPr>
            <w:tcW w:w="1540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182,189.77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128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128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5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0.01</w:t>
            </w:r>
          </w:p>
        </w:tc>
        <w:tc>
          <w:tcPr>
            <w:tcW w:w="128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0.04</w:t>
            </w:r>
          </w:p>
        </w:tc>
        <w:tc>
          <w:tcPr>
            <w:tcW w:w="128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0.01</w:t>
            </w:r>
          </w:p>
        </w:tc>
        <w:tc>
          <w:tcPr>
            <w:tcW w:w="5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产品投资债权类资产不低于80%，根据当前市场环境下大类资产合理配置比例及大类资产收益情况，考虑杠杆和费率等因素，并结合产品投资策略，设定业绩比较基准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2024-04-03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5DDE1"/>
    <w:rsid w:val="A76DF172"/>
    <w:rsid w:val="FDE5D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2024-04-07T14:06:00Z</dcterms:created>
  <dc:creator>叫我三米三</dc:creator>
  <cp:lastModifiedBy>叫我三米三</cp:lastModifiedBy>
  <dcterms:modified xsi:type="dcterms:W3CDTF">2024-04-07T14:10:22Z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D9FD9A0E5DCCDFEECE381266D09AC341_43</vt:lpwstr>
  </property>
</Properties>
</file>