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cs="宋体"/>
          <w:b/>
          <w:kern w:val="2"/>
          <w:sz w:val="48"/>
          <w:szCs w:val="48"/>
          <w:highlight w:val="none"/>
          <w:lang w:val="zh-CN" w:eastAsia="zh-CN" w:bidi="ar-SA"/>
        </w:rPr>
      </w:pPr>
    </w:p>
    <w:p>
      <w:pPr>
        <w:rPr>
          <w:rFonts w:hint="eastAsia" w:ascii="宋体" w:hAnsi="宋体" w:eastAsia="宋体" w:cs="宋体"/>
          <w:highlight w:val="none"/>
        </w:rPr>
      </w:pPr>
      <w:r>
        <w:rPr>
          <w:rFonts w:hint="eastAsia" w:ascii="宋体" w:hAnsi="宋体" w:cs="宋体"/>
          <w:b/>
          <w:kern w:val="2"/>
          <w:sz w:val="52"/>
          <w:szCs w:val="52"/>
          <w:highlight w:val="none"/>
          <w:lang w:val="zh-CN" w:eastAsia="zh-CN" w:bidi="ar-SA"/>
        </w:rPr>
        <w:t>桐庐农商银行守押寄库服务采购项目</w:t>
      </w:r>
    </w:p>
    <w:p>
      <w:pPr>
        <w:jc w:val="center"/>
        <w:rPr>
          <w:rFonts w:hint="eastAsia" w:ascii="宋体" w:hAnsi="宋体" w:cs="宋体"/>
          <w:b/>
          <w:kern w:val="2"/>
          <w:sz w:val="52"/>
          <w:szCs w:val="52"/>
          <w:highlight w:val="none"/>
          <w:lang w:val="zh-CN" w:eastAsia="zh-CN" w:bidi="ar-SA"/>
        </w:rPr>
      </w:pPr>
      <w:r>
        <w:rPr>
          <w:rFonts w:hint="eastAsia" w:ascii="宋体" w:hAnsi="宋体" w:cs="宋体"/>
          <w:b/>
          <w:kern w:val="2"/>
          <w:sz w:val="52"/>
          <w:szCs w:val="52"/>
          <w:highlight w:val="none"/>
          <w:lang w:val="zh-CN" w:eastAsia="zh-CN" w:bidi="ar-SA"/>
        </w:rPr>
        <w:t>竞争性磋商文件</w:t>
      </w:r>
    </w:p>
    <w:p>
      <w:pPr>
        <w:snapToGrid w:val="0"/>
        <w:spacing w:line="360" w:lineRule="auto"/>
        <w:jc w:val="center"/>
        <w:rPr>
          <w:rFonts w:hint="eastAsia" w:ascii="宋体" w:hAnsi="宋体" w:eastAsia="宋体" w:cs="宋体"/>
          <w:sz w:val="30"/>
          <w:szCs w:val="30"/>
          <w:highlight w:val="none"/>
        </w:rPr>
      </w:pPr>
    </w:p>
    <w:p>
      <w:pPr>
        <w:snapToGrid w:val="0"/>
        <w:spacing w:line="360" w:lineRule="auto"/>
        <w:jc w:val="center"/>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 xml:space="preserve">编号: </w:t>
      </w:r>
      <w:r>
        <w:rPr>
          <w:rFonts w:hint="eastAsia" w:ascii="宋体" w:hAnsi="宋体" w:cs="宋体"/>
          <w:bCs/>
          <w:color w:val="000000"/>
          <w:sz w:val="28"/>
          <w:szCs w:val="28"/>
          <w:highlight w:val="none"/>
          <w:lang w:eastAsia="zh-CN"/>
        </w:rPr>
        <w:t>CTJSCG-2024-001-1-1</w:t>
      </w:r>
    </w:p>
    <w:p>
      <w:pPr>
        <w:adjustRightInd/>
        <w:spacing w:line="360" w:lineRule="auto"/>
        <w:rPr>
          <w:rFonts w:hint="eastAsia" w:ascii="宋体" w:hAnsi="宋体" w:eastAsia="宋体" w:cs="宋体"/>
          <w:sz w:val="28"/>
          <w:szCs w:val="20"/>
          <w:highlight w:val="none"/>
        </w:rPr>
      </w:pPr>
    </w:p>
    <w:p>
      <w:pPr>
        <w:spacing w:line="360" w:lineRule="auto"/>
        <w:jc w:val="center"/>
        <w:rPr>
          <w:rFonts w:hint="eastAsia" w:ascii="宋体" w:hAnsi="宋体" w:eastAsia="宋体" w:cs="宋体"/>
          <w:sz w:val="32"/>
          <w:szCs w:val="32"/>
          <w:highlight w:val="none"/>
        </w:rPr>
      </w:pPr>
      <w:r>
        <w:rPr>
          <w:rFonts w:hint="eastAsia" w:ascii="宋体" w:hAnsi="宋体" w:eastAsia="宋体" w:cs="宋体"/>
          <w:b/>
          <w:sz w:val="44"/>
          <w:szCs w:val="44"/>
          <w:highlight w:val="none"/>
        </w:rPr>
        <w:t xml:space="preserve"> </w:t>
      </w:r>
    </w:p>
    <w:p>
      <w:pPr>
        <w:pStyle w:val="17"/>
        <w:rPr>
          <w:rFonts w:hint="eastAsia" w:ascii="宋体" w:hAnsi="宋体" w:eastAsia="宋体" w:cs="宋体"/>
          <w:sz w:val="32"/>
          <w:szCs w:val="32"/>
          <w:highlight w:val="none"/>
        </w:rPr>
      </w:pPr>
    </w:p>
    <w:p>
      <w:pPr>
        <w:pStyle w:val="18"/>
        <w:rPr>
          <w:rFonts w:hint="eastAsia" w:ascii="宋体" w:hAnsi="宋体" w:eastAsia="宋体" w:cs="宋体"/>
          <w:sz w:val="32"/>
          <w:szCs w:val="32"/>
          <w:highlight w:val="none"/>
        </w:rPr>
      </w:pPr>
    </w:p>
    <w:p>
      <w:pPr>
        <w:rPr>
          <w:rFonts w:hint="eastAsia" w:ascii="宋体" w:hAnsi="宋体" w:eastAsia="宋体" w:cs="宋体"/>
          <w:highlight w:val="none"/>
        </w:rPr>
      </w:pPr>
    </w:p>
    <w:p>
      <w:pPr>
        <w:tabs>
          <w:tab w:val="left" w:pos="3486"/>
        </w:tabs>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ab/>
      </w:r>
    </w:p>
    <w:p>
      <w:pPr>
        <w:pStyle w:val="14"/>
        <w:rPr>
          <w:rFonts w:hint="eastAsia" w:ascii="宋体" w:hAnsi="宋体" w:eastAsia="宋体" w:cs="宋体"/>
          <w:sz w:val="32"/>
          <w:szCs w:val="32"/>
          <w:highlight w:val="none"/>
          <w:lang w:eastAsia="zh-CN"/>
        </w:rPr>
      </w:pPr>
    </w:p>
    <w:p>
      <w:pPr>
        <w:pStyle w:val="15"/>
        <w:rPr>
          <w:rFonts w:hint="eastAsia"/>
          <w:lang w:eastAsia="zh-CN"/>
        </w:rPr>
      </w:pPr>
    </w:p>
    <w:p>
      <w:pPr>
        <w:rPr>
          <w:rFonts w:hint="eastAsia" w:ascii="宋体" w:hAnsi="宋体" w:eastAsia="宋体" w:cs="宋体"/>
          <w:sz w:val="32"/>
          <w:szCs w:val="32"/>
          <w:highlight w:val="none"/>
          <w:lang w:eastAsia="zh-CN"/>
        </w:rPr>
      </w:pPr>
    </w:p>
    <w:p>
      <w:pPr>
        <w:pStyle w:val="17"/>
        <w:rPr>
          <w:rFonts w:hint="eastAsia" w:ascii="宋体" w:hAnsi="宋体" w:eastAsia="宋体" w:cs="宋体"/>
          <w:sz w:val="32"/>
          <w:szCs w:val="32"/>
          <w:highlight w:val="none"/>
          <w:lang w:eastAsia="zh-CN"/>
        </w:rPr>
      </w:pPr>
    </w:p>
    <w:p>
      <w:pPr>
        <w:pStyle w:val="18"/>
        <w:rPr>
          <w:rFonts w:hint="eastAsia"/>
          <w:lang w:eastAsia="zh-CN"/>
        </w:rPr>
      </w:pPr>
    </w:p>
    <w:p>
      <w:pPr>
        <w:pStyle w:val="14"/>
        <w:rPr>
          <w:rFonts w:hint="eastAsia" w:ascii="宋体" w:hAnsi="宋体" w:eastAsia="宋体" w:cs="宋体"/>
          <w:highlight w:val="none"/>
          <w:lang w:eastAsia="zh-CN"/>
        </w:rPr>
      </w:pPr>
    </w:p>
    <w:p>
      <w:pPr>
        <w:pStyle w:val="17"/>
        <w:rPr>
          <w:rFonts w:hint="eastAsia" w:ascii="宋体" w:hAnsi="宋体" w:eastAsia="宋体" w:cs="宋体"/>
          <w:highlight w:val="none"/>
        </w:rPr>
      </w:pPr>
    </w:p>
    <w:p>
      <w:pPr>
        <w:spacing w:line="600" w:lineRule="auto"/>
        <w:ind w:firstLine="900" w:firstLineChars="300"/>
        <w:jc w:val="both"/>
        <w:rPr>
          <w:rFonts w:hint="eastAsia" w:ascii="宋体" w:hAnsi="宋体" w:eastAsia="宋体" w:cs="宋体"/>
          <w:sz w:val="30"/>
          <w:szCs w:val="30"/>
          <w:lang w:eastAsia="zh-CN"/>
        </w:rPr>
      </w:pPr>
      <w:r>
        <w:rPr>
          <w:rFonts w:hint="eastAsia" w:ascii="宋体" w:hAnsi="宋体" w:eastAsia="宋体" w:cs="宋体"/>
          <w:sz w:val="30"/>
          <w:szCs w:val="30"/>
        </w:rPr>
        <w:t>采购人（盖公章）：</w:t>
      </w:r>
      <w:r>
        <w:rPr>
          <w:rFonts w:hint="eastAsia" w:ascii="宋体" w:hAnsi="宋体" w:cs="宋体"/>
          <w:sz w:val="30"/>
          <w:szCs w:val="30"/>
          <w:lang w:eastAsia="zh-CN"/>
        </w:rPr>
        <w:t>浙江桐庐农村商业银行股份有限公司</w:t>
      </w:r>
    </w:p>
    <w:p>
      <w:pPr>
        <w:spacing w:line="600" w:lineRule="auto"/>
        <w:ind w:firstLine="900" w:firstLineChars="300"/>
        <w:jc w:val="both"/>
        <w:rPr>
          <w:rFonts w:hint="eastAsia" w:ascii="宋体" w:hAnsi="宋体" w:eastAsia="宋体" w:cs="宋体"/>
          <w:sz w:val="30"/>
          <w:szCs w:val="30"/>
          <w:lang w:eastAsia="zh-CN"/>
        </w:rPr>
      </w:pPr>
      <w:r>
        <w:rPr>
          <w:rFonts w:hint="eastAsia" w:ascii="宋体" w:hAnsi="宋体" w:eastAsia="宋体" w:cs="宋体"/>
          <w:sz w:val="30"/>
          <w:szCs w:val="30"/>
        </w:rPr>
        <w:t>采购代理机构（盖公章）：</w:t>
      </w:r>
      <w:r>
        <w:rPr>
          <w:rFonts w:hint="eastAsia" w:ascii="宋体" w:hAnsi="宋体" w:cs="宋体"/>
          <w:sz w:val="30"/>
          <w:szCs w:val="30"/>
          <w:lang w:eastAsia="zh-CN"/>
        </w:rPr>
        <w:t>浙江承天建设工程管理有限公司</w:t>
      </w:r>
    </w:p>
    <w:p>
      <w:pPr>
        <w:spacing w:line="600" w:lineRule="auto"/>
        <w:jc w:val="center"/>
        <w:rPr>
          <w:rFonts w:hint="eastAsia" w:ascii="宋体" w:hAnsi="宋体" w:eastAsia="宋体" w:cs="宋体"/>
          <w:sz w:val="30"/>
          <w:szCs w:val="30"/>
        </w:rPr>
      </w:pPr>
      <w:r>
        <w:rPr>
          <w:rFonts w:hint="eastAsia" w:ascii="宋体" w:hAnsi="宋体" w:eastAsia="宋体" w:cs="宋体"/>
          <w:sz w:val="30"/>
          <w:szCs w:val="30"/>
        </w:rPr>
        <w:t>二〇二</w:t>
      </w:r>
      <w:r>
        <w:rPr>
          <w:rFonts w:hint="eastAsia" w:ascii="宋体" w:hAnsi="宋体" w:cs="宋体"/>
          <w:sz w:val="30"/>
          <w:szCs w:val="30"/>
          <w:lang w:val="en-US" w:eastAsia="zh-CN"/>
        </w:rPr>
        <w:t>四</w:t>
      </w:r>
      <w:r>
        <w:rPr>
          <w:rFonts w:hint="eastAsia" w:ascii="宋体" w:hAnsi="宋体" w:eastAsia="宋体" w:cs="宋体"/>
          <w:sz w:val="30"/>
          <w:szCs w:val="30"/>
        </w:rPr>
        <w:t>年</w:t>
      </w:r>
      <w:r>
        <w:rPr>
          <w:rFonts w:hint="eastAsia" w:ascii="宋体" w:hAnsi="宋体" w:cs="宋体"/>
          <w:sz w:val="30"/>
          <w:szCs w:val="30"/>
          <w:lang w:val="en-US" w:eastAsia="zh-CN"/>
        </w:rPr>
        <w:t>五</w:t>
      </w:r>
      <w:r>
        <w:rPr>
          <w:rFonts w:hint="eastAsia" w:ascii="宋体" w:hAnsi="宋体" w:eastAsia="宋体" w:cs="宋体"/>
          <w:sz w:val="30"/>
          <w:szCs w:val="30"/>
        </w:rPr>
        <w:t>月</w:t>
      </w: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5"/>
        <w:ind w:left="0" w:leftChars="0" w:firstLine="0" w:firstLineChars="0"/>
        <w:rPr>
          <w:rFonts w:hint="eastAsia" w:ascii="宋体" w:hAnsi="宋体" w:eastAsia="宋体" w:cs="宋体"/>
          <w:highlight w:val="none"/>
        </w:rPr>
      </w:pPr>
    </w:p>
    <w:p>
      <w:pPr>
        <w:spacing w:line="360" w:lineRule="auto"/>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温馨提醒</w:t>
      </w:r>
    </w:p>
    <w:p>
      <w:pPr>
        <w:spacing w:line="360" w:lineRule="auto"/>
        <w:ind w:firstLine="1280" w:firstLineChars="400"/>
        <w:rPr>
          <w:rFonts w:hint="eastAsia" w:ascii="宋体" w:hAnsi="宋体" w:eastAsia="宋体" w:cs="宋体"/>
          <w:sz w:val="32"/>
          <w:szCs w:val="32"/>
          <w:highlight w:val="none"/>
        </w:rPr>
      </w:pPr>
    </w:p>
    <w:p>
      <w:pPr>
        <w:numPr>
          <w:ilvl w:val="0"/>
          <w:numId w:val="3"/>
        </w:numPr>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投标文件应按招标文件要求将“资格文件（一正</w:t>
      </w:r>
      <w:r>
        <w:rPr>
          <w:rFonts w:hint="eastAsia" w:ascii="宋体" w:hAnsi="宋体" w:cs="宋体"/>
          <w:sz w:val="32"/>
          <w:szCs w:val="32"/>
          <w:highlight w:val="none"/>
          <w:lang w:val="en-US" w:eastAsia="zh-CN"/>
        </w:rPr>
        <w:t>四</w:t>
      </w:r>
      <w:r>
        <w:rPr>
          <w:rFonts w:hint="eastAsia" w:ascii="宋体" w:hAnsi="宋体" w:eastAsia="宋体" w:cs="宋体"/>
          <w:sz w:val="32"/>
          <w:szCs w:val="32"/>
          <w:highlight w:val="none"/>
        </w:rPr>
        <w:t>副）”、商务技术文件（一正</w:t>
      </w:r>
      <w:r>
        <w:rPr>
          <w:rFonts w:hint="eastAsia" w:ascii="宋体" w:hAnsi="宋体" w:cs="宋体"/>
          <w:sz w:val="32"/>
          <w:szCs w:val="32"/>
          <w:highlight w:val="none"/>
          <w:lang w:val="en-US" w:eastAsia="zh-CN"/>
        </w:rPr>
        <w:t>四</w:t>
      </w:r>
      <w:r>
        <w:rPr>
          <w:rFonts w:hint="eastAsia" w:ascii="宋体" w:hAnsi="宋体" w:eastAsia="宋体" w:cs="宋体"/>
          <w:sz w:val="32"/>
          <w:szCs w:val="32"/>
          <w:highlight w:val="none"/>
        </w:rPr>
        <w:t>副）和“报价文件（一正</w:t>
      </w:r>
      <w:r>
        <w:rPr>
          <w:rFonts w:hint="eastAsia" w:ascii="宋体" w:hAnsi="宋体" w:cs="宋体"/>
          <w:sz w:val="32"/>
          <w:szCs w:val="32"/>
          <w:highlight w:val="none"/>
          <w:lang w:val="en-US" w:eastAsia="zh-CN"/>
        </w:rPr>
        <w:t>四</w:t>
      </w:r>
      <w:r>
        <w:rPr>
          <w:rFonts w:hint="eastAsia" w:ascii="宋体" w:hAnsi="宋体" w:eastAsia="宋体" w:cs="宋体"/>
          <w:sz w:val="32"/>
          <w:szCs w:val="32"/>
          <w:highlight w:val="none"/>
        </w:rPr>
        <w:t>副）”分别编制、装订成册、包封。</w:t>
      </w:r>
    </w:p>
    <w:p>
      <w:pPr>
        <w:pStyle w:val="21"/>
        <w:rPr>
          <w:rFonts w:hint="eastAsia" w:ascii="宋体" w:hAnsi="宋体" w:eastAsia="宋体" w:cs="宋体"/>
          <w:highlight w:val="none"/>
        </w:rPr>
      </w:pPr>
    </w:p>
    <w:p>
      <w:pPr>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2、资格文件、商务技术文件中不得出现涉及投标价格的内容，否则作无效标处理。</w:t>
      </w:r>
    </w:p>
    <w:p>
      <w:pPr>
        <w:spacing w:before="120" w:beforeLines="50"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b/>
          <w:sz w:val="48"/>
          <w:szCs w:val="48"/>
          <w:highlight w:val="none"/>
        </w:rPr>
      </w:pPr>
    </w:p>
    <w:p>
      <w:pPr>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br w:type="page"/>
      </w:r>
      <w:bookmarkStart w:id="0" w:name="_Hlt67893495"/>
      <w:bookmarkEnd w:id="0"/>
    </w:p>
    <w:p>
      <w:pPr>
        <w:spacing w:line="360" w:lineRule="auto"/>
        <w:jc w:val="center"/>
        <w:rPr>
          <w:rFonts w:hint="eastAsia" w:ascii="宋体" w:hAnsi="宋体" w:eastAsia="宋体" w:cs="宋体"/>
          <w:sz w:val="24"/>
          <w:highlight w:val="none"/>
        </w:rPr>
      </w:pPr>
    </w:p>
    <w:p>
      <w:pPr>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目  录</w:t>
      </w:r>
    </w:p>
    <w:p>
      <w:pPr>
        <w:spacing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sz w:val="32"/>
          <w:szCs w:val="32"/>
          <w:highlight w:val="none"/>
        </w:rPr>
      </w:pPr>
    </w:p>
    <w:p>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第一部分      竞争性磋商公告</w:t>
      </w:r>
    </w:p>
    <w:p>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第二部分      磋商供应商须知</w:t>
      </w:r>
    </w:p>
    <w:p>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第三部分      采购需求</w:t>
      </w:r>
    </w:p>
    <w:p>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第四部分      评标办法</w:t>
      </w:r>
    </w:p>
    <w:p>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第五部分      拟签订的合同文本</w:t>
      </w:r>
    </w:p>
    <w:p>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第六部分      应提交的有关格式范例</w:t>
      </w:r>
    </w:p>
    <w:p>
      <w:pPr>
        <w:spacing w:line="360" w:lineRule="auto"/>
        <w:ind w:firstLine="1280" w:firstLineChars="400"/>
        <w:rPr>
          <w:rFonts w:hint="eastAsia" w:ascii="宋体" w:hAnsi="宋体" w:eastAsia="宋体" w:cs="宋体"/>
          <w:sz w:val="32"/>
          <w:szCs w:val="32"/>
          <w:highlight w:val="none"/>
        </w:rPr>
      </w:pPr>
      <w:r>
        <w:rPr>
          <w:rFonts w:hint="eastAsia" w:ascii="宋体" w:hAnsi="宋体" w:eastAsia="宋体" w:cs="宋体"/>
          <w:sz w:val="32"/>
          <w:szCs w:val="32"/>
          <w:highlight w:val="none"/>
        </w:rPr>
        <w:t>第七部分      最后报价格式</w:t>
      </w:r>
    </w:p>
    <w:p>
      <w:pPr>
        <w:pStyle w:val="21"/>
        <w:rPr>
          <w:rFonts w:hint="eastAsia" w:ascii="宋体" w:hAnsi="宋体" w:eastAsia="宋体" w:cs="宋体"/>
          <w:highlight w:val="none"/>
        </w:rPr>
      </w:pPr>
    </w:p>
    <w:p>
      <w:pPr>
        <w:spacing w:line="360" w:lineRule="auto"/>
        <w:ind w:firstLine="549" w:firstLineChars="229"/>
        <w:rPr>
          <w:rFonts w:hint="eastAsia" w:ascii="宋体" w:hAnsi="宋体" w:eastAsia="宋体" w:cs="宋体"/>
          <w:sz w:val="24"/>
          <w:highlight w:val="none"/>
        </w:rPr>
      </w:pPr>
      <w:bookmarkStart w:id="1" w:name="_Hlt91233176"/>
      <w:bookmarkEnd w:id="1"/>
      <w:bookmarkStart w:id="2" w:name="_Toc91899869"/>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ind w:firstLine="549" w:firstLineChars="229"/>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bookmarkEnd w:id="2"/>
    <w:p>
      <w:pPr>
        <w:adjustRightInd/>
        <w:spacing w:line="360" w:lineRule="auto"/>
        <w:jc w:val="center"/>
        <w:outlineLvl w:val="0"/>
        <w:rPr>
          <w:rFonts w:hint="eastAsia" w:ascii="宋体" w:hAnsi="宋体" w:eastAsia="宋体" w:cs="宋体"/>
          <w:b/>
          <w:sz w:val="36"/>
          <w:szCs w:val="20"/>
          <w:highlight w:val="none"/>
        </w:rPr>
        <w:sectPr>
          <w:headerReference r:id="rId3" w:type="default"/>
          <w:pgSz w:w="11907" w:h="16840"/>
          <w:pgMar w:top="1417" w:right="1474" w:bottom="1417" w:left="1474" w:header="851" w:footer="851" w:gutter="0"/>
          <w:cols w:space="720" w:num="1"/>
        </w:sectPr>
      </w:pPr>
      <w:bookmarkStart w:id="3" w:name="_Hlt74707423"/>
      <w:bookmarkEnd w:id="3"/>
      <w:bookmarkStart w:id="4" w:name="_Hlt74649545"/>
      <w:bookmarkEnd w:id="4"/>
      <w:bookmarkStart w:id="5" w:name="_Hlt74728647"/>
      <w:bookmarkEnd w:id="5"/>
      <w:bookmarkStart w:id="6" w:name="_Hlt74729822"/>
      <w:bookmarkEnd w:id="6"/>
      <w:bookmarkStart w:id="7" w:name="第二部分"/>
      <w:bookmarkStart w:id="8" w:name="_Toc91899870"/>
      <w:bookmarkStart w:id="9" w:name="_Toc91899871"/>
    </w:p>
    <w:p>
      <w:pPr>
        <w:adjustRightInd/>
        <w:spacing w:line="360" w:lineRule="auto"/>
        <w:jc w:val="center"/>
        <w:outlineLvl w:val="0"/>
        <w:rPr>
          <w:rFonts w:hint="eastAsia" w:ascii="宋体" w:hAnsi="宋体" w:eastAsia="宋体" w:cs="宋体"/>
          <w:b/>
          <w:sz w:val="36"/>
          <w:szCs w:val="20"/>
          <w:highlight w:val="none"/>
        </w:rPr>
      </w:pPr>
      <w:r>
        <w:rPr>
          <w:rFonts w:hint="eastAsia" w:ascii="宋体" w:hAnsi="宋体" w:eastAsia="宋体" w:cs="宋体"/>
          <w:b/>
          <w:sz w:val="36"/>
          <w:szCs w:val="20"/>
          <w:highlight w:val="none"/>
        </w:rPr>
        <w:t>第一部分 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 w:val="24"/>
          <w:highlight w:val="none"/>
        </w:rPr>
      </w:pPr>
      <w:r>
        <w:rPr>
          <w:rFonts w:hint="eastAsia" w:ascii="宋体" w:hAnsi="宋体" w:cs="宋体"/>
          <w:bCs/>
          <w:color w:val="000000"/>
          <w:sz w:val="24"/>
          <w:highlight w:val="none"/>
          <w:u w:val="single"/>
          <w:lang w:val="en-US" w:eastAsia="zh-CN"/>
        </w:rPr>
        <w:t>桐庐农商银行守押寄库服务采购项目</w:t>
      </w:r>
      <w:r>
        <w:rPr>
          <w:rFonts w:hint="eastAsia" w:ascii="宋体" w:hAnsi="宋体" w:eastAsia="宋体" w:cs="宋体"/>
          <w:color w:val="000000"/>
          <w:sz w:val="24"/>
          <w:highlight w:val="none"/>
        </w:rPr>
        <w:t>的潜在投标人应在</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HYPERLINK "https://www.zcygov.cn/）获取（下载）招标文件，并于2021年"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门户网站</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桐庐农商银行：https://www.tlrcbk.com/NetPage/noticeList_212.html</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、微信公众号</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潇洒桐庐 温情农商</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HYPERLINK "http://www.tonglu.gov.cn/"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获取（下载）采购文件，</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并于</w:t>
      </w:r>
      <w:r>
        <w:rPr>
          <w:rFonts w:hint="eastAsia" w:ascii="宋体" w:hAnsi="宋体" w:eastAsia="宋体" w:cs="宋体"/>
          <w:color w:val="000000"/>
          <w:sz w:val="24"/>
          <w:highlight w:val="none"/>
          <w:u w:val="single"/>
        </w:rPr>
        <w:t>202</w:t>
      </w:r>
      <w:r>
        <w:rPr>
          <w:rFonts w:hint="eastAsia" w:ascii="宋体" w:hAnsi="宋体" w:eastAsia="宋体" w:cs="宋体"/>
          <w:color w:val="000000"/>
          <w:sz w:val="24"/>
          <w:highlight w:val="none"/>
          <w:u w:val="single"/>
          <w:lang w:val="en-US" w:eastAsia="zh-CN"/>
        </w:rPr>
        <w:t>4</w:t>
      </w:r>
      <w:r>
        <w:rPr>
          <w:rFonts w:hint="eastAsia" w:ascii="宋体" w:hAnsi="宋体" w:eastAsia="宋体" w:cs="宋体"/>
          <w:color w:val="000000"/>
          <w:sz w:val="24"/>
          <w:highlight w:val="none"/>
          <w:u w:val="single"/>
        </w:rPr>
        <w:t>年</w:t>
      </w:r>
      <w:r>
        <w:rPr>
          <w:rFonts w:hint="eastAsia" w:ascii="宋体" w:hAnsi="宋体" w:eastAsia="宋体" w:cs="宋体"/>
          <w:color w:val="000000"/>
          <w:sz w:val="24"/>
          <w:highlight w:val="none"/>
          <w:u w:val="single"/>
          <w:lang w:val="en-US" w:eastAsia="zh-CN"/>
        </w:rPr>
        <w:t>05</w:t>
      </w:r>
      <w:r>
        <w:rPr>
          <w:rFonts w:hint="eastAsia" w:ascii="宋体" w:hAnsi="宋体" w:eastAsia="宋体" w:cs="宋体"/>
          <w:color w:val="000000"/>
          <w:sz w:val="24"/>
          <w:highlight w:val="none"/>
          <w:u w:val="single"/>
          <w:lang w:eastAsia="zh-CN"/>
        </w:rPr>
        <w:t>月</w:t>
      </w:r>
      <w:r>
        <w:rPr>
          <w:rFonts w:hint="eastAsia" w:ascii="宋体" w:hAnsi="宋体" w:eastAsia="宋体" w:cs="宋体"/>
          <w:color w:val="000000"/>
          <w:sz w:val="24"/>
          <w:highlight w:val="none"/>
          <w:u w:val="single"/>
          <w:lang w:val="en-US" w:eastAsia="zh-CN"/>
        </w:rPr>
        <w:t>29日09</w:t>
      </w:r>
      <w:r>
        <w:rPr>
          <w:rFonts w:hint="eastAsia" w:ascii="宋体" w:hAnsi="宋体" w:eastAsia="宋体" w:cs="宋体"/>
          <w:color w:val="000000"/>
          <w:sz w:val="24"/>
          <w:highlight w:val="none"/>
          <w:u w:val="single"/>
        </w:rPr>
        <w:t>点</w:t>
      </w:r>
      <w:r>
        <w:rPr>
          <w:rFonts w:hint="eastAsia" w:ascii="宋体" w:hAnsi="宋体" w:eastAsia="宋体" w:cs="宋体"/>
          <w:color w:val="000000"/>
          <w:sz w:val="24"/>
          <w:highlight w:val="none"/>
          <w:u w:val="single"/>
          <w:lang w:val="en-US" w:eastAsia="zh-CN"/>
        </w:rPr>
        <w:t>30</w:t>
      </w:r>
      <w:r>
        <w:rPr>
          <w:rFonts w:hint="eastAsia" w:ascii="宋体" w:hAnsi="宋体" w:eastAsia="宋体" w:cs="宋体"/>
          <w:color w:val="000000"/>
          <w:sz w:val="24"/>
          <w:highlight w:val="none"/>
          <w:u w:val="single"/>
        </w:rPr>
        <w:t>分00秒</w:t>
      </w:r>
      <w:r>
        <w:rPr>
          <w:rFonts w:hint="eastAsia" w:ascii="宋体" w:hAnsi="宋体" w:eastAsia="宋体" w:cs="宋体"/>
          <w:color w:val="000000"/>
          <w:sz w:val="24"/>
          <w:highlight w:val="none"/>
        </w:rPr>
        <w:fldChar w:fldCharType="end"/>
      </w:r>
      <w:r>
        <w:rPr>
          <w:rFonts w:hint="eastAsia" w:ascii="宋体" w:hAnsi="宋体" w:eastAsia="宋体" w:cs="宋体"/>
          <w:bCs/>
          <w:color w:val="000000"/>
          <w:sz w:val="24"/>
          <w:highlight w:val="none"/>
        </w:rPr>
        <w:t>（北京时间）前</w:t>
      </w:r>
      <w:r>
        <w:rPr>
          <w:rFonts w:hint="eastAsia" w:ascii="宋体" w:hAnsi="宋体" w:eastAsia="宋体" w:cs="宋体"/>
          <w:color w:val="000000"/>
          <w:sz w:val="24"/>
          <w:highlight w:val="none"/>
        </w:rPr>
        <w:t>将投标文件送至</w:t>
      </w:r>
      <w:r>
        <w:rPr>
          <w:rFonts w:hint="eastAsia" w:ascii="宋体" w:hAnsi="宋体" w:eastAsia="宋体" w:cs="宋体"/>
          <w:color w:val="000000"/>
          <w:sz w:val="24"/>
          <w:highlight w:val="none"/>
          <w:lang w:val="en-US" w:eastAsia="zh-CN"/>
        </w:rPr>
        <w:t>浙江承天建设工程管理有限公司</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桐庐县迎春南路61号萧商大厦23楼</w:t>
      </w:r>
      <w:r>
        <w:rPr>
          <w:rFonts w:hint="eastAsia" w:ascii="宋体" w:hAnsi="宋体" w:eastAsia="宋体" w:cs="宋体"/>
          <w:color w:val="000000"/>
          <w:sz w:val="24"/>
          <w:highlight w:val="none"/>
        </w:rPr>
        <w:t>），逾期送达作无效标处理。</w:t>
      </w:r>
    </w:p>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b/>
          <w:sz w:val="24"/>
          <w:highlight w:val="none"/>
        </w:rPr>
      </w:pPr>
      <w:r>
        <w:rPr>
          <w:rFonts w:hint="eastAsia" w:ascii="宋体" w:hAnsi="宋体" w:eastAsia="宋体" w:cs="宋体"/>
          <w:b/>
          <w:sz w:val="24"/>
          <w:highlight w:val="none"/>
        </w:rPr>
        <w:t xml:space="preserve">一、项目基本情况                                            </w:t>
      </w:r>
    </w:p>
    <w:p>
      <w:pPr>
        <w:spacing w:line="360" w:lineRule="auto"/>
        <w:ind w:right="-199" w:rightChars="-95" w:firstLine="241" w:firstLineChars="100"/>
        <w:rPr>
          <w:rFonts w:hint="eastAsia" w:ascii="宋体" w:hAnsi="宋体" w:eastAsia="宋体" w:cs="宋体"/>
          <w:bCs/>
          <w:color w:val="000000"/>
          <w:sz w:val="24"/>
          <w:highlight w:val="none"/>
          <w:lang w:eastAsia="zh-CN"/>
        </w:rPr>
      </w:pPr>
      <w:r>
        <w:rPr>
          <w:rFonts w:hint="eastAsia" w:ascii="宋体" w:hAnsi="宋体" w:eastAsia="宋体" w:cs="宋体"/>
          <w:b/>
          <w:sz w:val="24"/>
          <w:highlight w:val="none"/>
        </w:rPr>
        <w:t>项目编号：</w:t>
      </w:r>
      <w:r>
        <w:rPr>
          <w:rFonts w:hint="eastAsia" w:ascii="宋体" w:hAnsi="宋体" w:cs="宋体"/>
          <w:bCs/>
          <w:color w:val="000000"/>
          <w:sz w:val="24"/>
          <w:highlight w:val="none"/>
          <w:lang w:eastAsia="zh-CN"/>
        </w:rPr>
        <w:t>CTJSCG-2024-001-1-1</w:t>
      </w:r>
    </w:p>
    <w:p>
      <w:pPr>
        <w:spacing w:line="360" w:lineRule="auto"/>
        <w:ind w:firstLine="241" w:firstLineChars="100"/>
        <w:rPr>
          <w:rFonts w:hint="eastAsia" w:ascii="宋体" w:hAnsi="宋体" w:eastAsia="宋体" w:cs="宋体"/>
          <w:sz w:val="24"/>
          <w:highlight w:val="none"/>
          <w:u w:val="single"/>
          <w:lang w:eastAsia="zh-CN"/>
        </w:rPr>
      </w:pPr>
      <w:r>
        <w:rPr>
          <w:rFonts w:hint="eastAsia" w:ascii="宋体" w:hAnsi="宋体" w:eastAsia="宋体" w:cs="宋体"/>
          <w:b/>
          <w:sz w:val="24"/>
          <w:highlight w:val="none"/>
        </w:rPr>
        <w:t>项目名称：</w:t>
      </w:r>
      <w:r>
        <w:rPr>
          <w:rFonts w:hint="eastAsia" w:ascii="宋体" w:hAnsi="宋体" w:cs="宋体"/>
          <w:bCs/>
          <w:color w:val="000000"/>
          <w:sz w:val="24"/>
          <w:highlight w:val="none"/>
          <w:u w:val="none"/>
          <w:lang w:val="en-US" w:eastAsia="zh-CN"/>
        </w:rPr>
        <w:t>桐庐农商银行守押寄库服务采购项目</w:t>
      </w:r>
    </w:p>
    <w:p>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采购需求：</w:t>
      </w:r>
      <w:r>
        <w:rPr>
          <w:rFonts w:hint="eastAsia" w:ascii="宋体" w:hAnsi="宋体" w:eastAsia="宋体" w:cs="宋体"/>
          <w:bCs/>
          <w:color w:val="000000"/>
          <w:sz w:val="24"/>
          <w:highlight w:val="none"/>
          <w:lang w:val="en-US" w:eastAsia="zh-CN"/>
        </w:rPr>
        <w:t>详见竞争性</w:t>
      </w:r>
      <w:r>
        <w:rPr>
          <w:rFonts w:hint="eastAsia" w:ascii="宋体" w:hAnsi="宋体" w:cs="宋体"/>
          <w:bCs/>
          <w:color w:val="000000"/>
          <w:sz w:val="24"/>
          <w:highlight w:val="none"/>
          <w:lang w:val="en-US" w:eastAsia="zh-CN"/>
        </w:rPr>
        <w:t>磋商</w:t>
      </w:r>
      <w:r>
        <w:rPr>
          <w:rFonts w:hint="eastAsia" w:ascii="宋体" w:hAnsi="宋体" w:eastAsia="宋体" w:cs="宋体"/>
          <w:bCs/>
          <w:color w:val="000000"/>
          <w:sz w:val="24"/>
          <w:highlight w:val="none"/>
          <w:lang w:val="en-US" w:eastAsia="zh-CN"/>
        </w:rPr>
        <w:t>文件第三部分采购需求</w:t>
      </w:r>
    </w:p>
    <w:p>
      <w:pPr>
        <w:pStyle w:val="39"/>
        <w:keepNext w:val="0"/>
        <w:keepLines w:val="0"/>
        <w:pageBreakBefore w:val="0"/>
        <w:widowControl w:val="0"/>
        <w:kinsoku/>
        <w:wordWrap/>
        <w:overflowPunct/>
        <w:topLinePunct w:val="0"/>
        <w:autoSpaceDE/>
        <w:autoSpaceDN/>
        <w:bidi w:val="0"/>
        <w:adjustRightInd w:val="0"/>
        <w:snapToGrid/>
        <w:spacing w:before="0"/>
        <w:ind w:left="0" w:leftChars="0" w:firstLine="241" w:firstLineChars="100"/>
        <w:textAlignment w:val="auto"/>
        <w:outlineLvl w:val="2"/>
        <w:rPr>
          <w:rFonts w:hint="default" w:ascii="宋体" w:hAnsi="宋体" w:eastAsia="宋体" w:cs="宋体"/>
          <w:b/>
          <w:color w:val="auto"/>
          <w:kern w:val="2"/>
          <w:sz w:val="24"/>
          <w:szCs w:val="24"/>
          <w:highlight w:val="none"/>
          <w:lang w:val="en-US" w:eastAsia="zh-CN" w:bidi="ar-SA"/>
        </w:rPr>
      </w:pPr>
      <w:r>
        <w:rPr>
          <w:rFonts w:hint="eastAsia" w:ascii="宋体" w:hAnsi="宋体" w:cs="宋体"/>
          <w:b/>
          <w:highlight w:val="none"/>
          <w:lang w:val="en-US" w:eastAsia="zh-CN"/>
        </w:rPr>
        <w:t>本项目服务期</w:t>
      </w:r>
      <w:r>
        <w:rPr>
          <w:rFonts w:hint="eastAsia" w:ascii="宋体" w:hAnsi="宋体" w:eastAsia="宋体" w:cs="宋体"/>
          <w:b/>
          <w:color w:val="auto"/>
          <w:kern w:val="2"/>
          <w:sz w:val="24"/>
          <w:szCs w:val="24"/>
          <w:highlight w:val="none"/>
          <w:lang w:val="en-US" w:eastAsia="zh-CN" w:bidi="ar-SA"/>
        </w:rPr>
        <w:t>：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p>
      <w:pPr>
        <w:pStyle w:val="14"/>
        <w:spacing w:line="360" w:lineRule="auto"/>
        <w:ind w:left="0" w:leftChars="0" w:firstLine="241" w:firstLineChars="100"/>
        <w:rPr>
          <w:rFonts w:hint="eastAsia" w:ascii="宋体" w:hAnsi="宋体" w:eastAsia="宋体" w:cs="宋体"/>
          <w:b/>
          <w:sz w:val="24"/>
          <w:highlight w:val="none"/>
        </w:rPr>
      </w:pPr>
      <w:r>
        <w:rPr>
          <w:rFonts w:hint="eastAsia" w:ascii="宋体" w:hAnsi="宋体" w:eastAsia="宋体" w:cs="宋体"/>
          <w:b/>
          <w:color w:val="auto"/>
          <w:sz w:val="24"/>
          <w:highlight w:val="none"/>
        </w:rPr>
        <w:t>本项目接受联合体投标：</w:t>
      </w:r>
      <w:sdt>
        <w:sdtPr>
          <w:rPr>
            <w:rFonts w:hint="eastAsia" w:ascii="宋体" w:hAnsi="宋体" w:eastAsia="宋体" w:cs="宋体"/>
            <w:color w:val="auto"/>
            <w:kern w:val="0"/>
            <w:sz w:val="24"/>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b/>
          <w:color w:val="auto"/>
          <w:sz w:val="24"/>
          <w:highlight w:val="none"/>
        </w:rPr>
        <w:t>是，</w:t>
      </w:r>
      <w:sdt>
        <w:sdtPr>
          <w:rPr>
            <w:rFonts w:hint="eastAsia" w:ascii="宋体" w:hAnsi="宋体" w:eastAsia="宋体" w:cs="宋体"/>
            <w:color w:val="auto"/>
            <w:kern w:val="0"/>
            <w:sz w:val="24"/>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二、申请人的资格要求：</w:t>
      </w:r>
    </w:p>
    <w:p>
      <w:p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p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至本项目投标截止时间前，供应商未列入失信被执行人、重大税收违法案件当事人名单、政府采购严重违法失信行为记录名单（以“信用中国”网站www.creditchina.gov.cn、“中国政府采购网”www.ccgp.gov.cn查询结果为准）；</w:t>
      </w:r>
    </w:p>
    <w:p>
      <w:p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3.单位负责人为同一人或者存在直接控股、管理关系的不同供应商，不得同时参加同一合同项下的投标；</w:t>
      </w:r>
    </w:p>
    <w:p>
      <w:p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4.供应商具有有效的保安服务许可证（服务范围含：守护、押运）；</w:t>
      </w:r>
    </w:p>
    <w:p>
      <w:p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5.供应商应拥有在杭州市行政辖区内符合满足桐庐农商银行寄库需要以及公安部门要求的金库（自建、租入均可）；</w:t>
      </w:r>
    </w:p>
    <w:p>
      <w:pPr>
        <w:spacing w:line="360" w:lineRule="auto"/>
        <w:ind w:firstLine="480" w:firstLineChars="200"/>
        <w:rPr>
          <w:rFonts w:hint="default" w:eastAsia="宋体"/>
          <w:highlight w:val="none"/>
          <w:lang w:val="en-US" w:eastAsia="zh-CN"/>
        </w:rPr>
      </w:pPr>
      <w:r>
        <w:rPr>
          <w:rFonts w:hint="eastAsia" w:ascii="宋体" w:hAnsi="宋体" w:eastAsia="宋体" w:cs="宋体"/>
          <w:b w:val="0"/>
          <w:bCs/>
          <w:color w:val="auto"/>
          <w:sz w:val="24"/>
          <w:highlight w:val="none"/>
          <w:lang w:val="en-US" w:eastAsia="zh-CN"/>
        </w:rPr>
        <w:t>6.本项目不接受联合体投标，禁止转包。</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三、获取竞争性磋商文件 </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29日09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分</w:t>
      </w:r>
      <w:r>
        <w:rPr>
          <w:rFonts w:hint="eastAsia" w:ascii="宋体" w:hAnsi="宋体" w:eastAsia="宋体" w:cs="宋体"/>
          <w:bCs/>
          <w:color w:val="auto"/>
          <w:sz w:val="24"/>
          <w:highlight w:val="none"/>
          <w:u w:val="single"/>
        </w:rPr>
        <w:t>00秒</w:t>
      </w:r>
      <w:r>
        <w:rPr>
          <w:rFonts w:hint="eastAsia" w:ascii="宋体" w:hAnsi="宋体" w:eastAsia="宋体" w:cs="宋体"/>
          <w:color w:val="auto"/>
          <w:sz w:val="24"/>
          <w:highlight w:val="none"/>
          <w:u w:val="single"/>
        </w:rPr>
        <w:t>前</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pPr>
        <w:spacing w:line="360" w:lineRule="auto"/>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门户网站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桐庐农商银行：https://www.tlrcbk.com/NetPage/noticeList_212.html</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、微信公众号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潇洒桐庐 温情农商</w:t>
      </w:r>
      <w:r>
        <w:rPr>
          <w:rFonts w:hint="eastAsia" w:ascii="宋体" w:hAnsi="宋体" w:eastAsia="宋体" w:cs="宋体"/>
          <w:color w:val="auto"/>
          <w:sz w:val="24"/>
          <w:highlight w:val="none"/>
          <w:lang w:eastAsia="zh-CN"/>
        </w:rPr>
        <w:t>）</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供应商通过在线获取（采购公告下方）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不提供纸制版采购文件。</w:t>
      </w:r>
      <w:r>
        <w:rPr>
          <w:rFonts w:hint="eastAsia" w:ascii="仿宋" w:hAnsi="仿宋" w:eastAsia="仿宋" w:cs="仿宋"/>
          <w:color w:val="auto"/>
          <w:sz w:val="24"/>
          <w:highlight w:val="none"/>
        </w:rPr>
        <w:t xml:space="preserve"> </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 xml:space="preserve">0 </w:t>
      </w:r>
      <w:r>
        <w:rPr>
          <w:rFonts w:hint="eastAsia" w:ascii="宋体" w:hAnsi="宋体" w:eastAsia="宋体" w:cs="宋体"/>
          <w:color w:val="auto"/>
          <w:sz w:val="24"/>
          <w:highlight w:val="none"/>
        </w:rPr>
        <w:tab/>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四、提交磋商响应文件截止时间、开标时间和地点</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提交磋商响应文件截止时间：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29日09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分</w:t>
      </w:r>
      <w:r>
        <w:rPr>
          <w:rFonts w:hint="eastAsia" w:ascii="宋体" w:hAnsi="宋体" w:eastAsia="宋体" w:cs="宋体"/>
          <w:bCs/>
          <w:color w:val="auto"/>
          <w:sz w:val="24"/>
          <w:highlight w:val="none"/>
          <w:u w:val="single"/>
        </w:rPr>
        <w:t>00秒</w:t>
      </w:r>
      <w:r>
        <w:rPr>
          <w:rFonts w:hint="eastAsia" w:ascii="宋体" w:hAnsi="宋体" w:eastAsia="宋体" w:cs="宋体"/>
          <w:color w:val="auto"/>
          <w:sz w:val="24"/>
          <w:highlight w:val="none"/>
        </w:rPr>
        <w:t>（北京时间）</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投标地点：</w:t>
      </w:r>
      <w:r>
        <w:rPr>
          <w:rFonts w:hint="eastAsia" w:ascii="宋体" w:hAnsi="宋体" w:eastAsia="宋体" w:cs="宋体"/>
          <w:color w:val="auto"/>
          <w:sz w:val="24"/>
          <w:highlight w:val="none"/>
          <w:lang w:val="en-US" w:eastAsia="zh-CN"/>
        </w:rPr>
        <w:t>桐庐县迎春南路61号萧商大厦23楼浙江承天建设工程管理有限公司</w:t>
      </w:r>
    </w:p>
    <w:p>
      <w:pPr>
        <w:spacing w:line="360" w:lineRule="auto"/>
        <w:ind w:firstLine="482" w:firstLineChars="20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29日09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分</w:t>
      </w:r>
      <w:r>
        <w:rPr>
          <w:rFonts w:hint="eastAsia" w:ascii="宋体" w:hAnsi="宋体" w:eastAsia="宋体" w:cs="宋体"/>
          <w:bCs/>
          <w:color w:val="auto"/>
          <w:sz w:val="24"/>
          <w:highlight w:val="none"/>
          <w:u w:val="single"/>
        </w:rPr>
        <w:t>00秒</w:t>
      </w:r>
    </w:p>
    <w:p>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开标地点：</w:t>
      </w:r>
      <w:r>
        <w:rPr>
          <w:rFonts w:hint="eastAsia" w:ascii="宋体" w:hAnsi="宋体" w:eastAsia="宋体" w:cs="宋体"/>
          <w:color w:val="auto"/>
          <w:sz w:val="24"/>
          <w:highlight w:val="none"/>
          <w:lang w:val="en-US" w:eastAsia="zh-CN"/>
        </w:rPr>
        <w:t>桐庐县迎春南路61号萧商大厦23楼浙江承天建设工程管理有限公司</w:t>
      </w:r>
    </w:p>
    <w:p>
      <w:pPr>
        <w:spacing w:line="360" w:lineRule="auto"/>
        <w:rPr>
          <w:rFonts w:hint="eastAsia" w:ascii="宋体" w:hAnsi="宋体" w:eastAsia="宋体" w:cs="宋体"/>
          <w:b/>
          <w:sz w:val="24"/>
          <w:highlight w:val="none"/>
        </w:rPr>
      </w:pPr>
      <w:r>
        <w:rPr>
          <w:rFonts w:hint="eastAsia" w:ascii="宋体" w:hAnsi="宋体" w:cs="宋体"/>
          <w:b/>
          <w:sz w:val="24"/>
          <w:highlight w:val="none"/>
          <w:lang w:val="en-US" w:eastAsia="zh-CN"/>
        </w:rPr>
        <w:t>五</w:t>
      </w:r>
      <w:r>
        <w:rPr>
          <w:rFonts w:hint="eastAsia" w:ascii="宋体" w:hAnsi="宋体" w:eastAsia="宋体" w:cs="宋体"/>
          <w:b/>
          <w:sz w:val="24"/>
          <w:highlight w:val="none"/>
        </w:rPr>
        <w:t>、其他补充事宜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供应商认为交易文件使自己的权益受到损害的，可以在</w:t>
      </w:r>
      <w:r>
        <w:rPr>
          <w:rFonts w:hint="eastAsia" w:ascii="宋体" w:hAnsi="宋体" w:eastAsia="宋体" w:cs="宋体"/>
          <w:sz w:val="24"/>
          <w:highlight w:val="none"/>
          <w:lang w:val="en-US" w:eastAsia="zh-CN"/>
        </w:rPr>
        <w:t>2024年05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17时</w:t>
      </w:r>
      <w:r>
        <w:rPr>
          <w:rFonts w:hint="eastAsia" w:ascii="宋体" w:hAnsi="宋体" w:eastAsia="宋体" w:cs="宋体"/>
          <w:sz w:val="24"/>
          <w:highlight w:val="none"/>
        </w:rPr>
        <w:t>前，以书面形式向交易发起人和采购代理机构提出质疑。质疑供应商对交易发起人、采购代理机构的答复不满意或者交易发起人、采购代理机构未在规定的时间内作出答复的，可以在答复期满后十五个工作日内向相关采购监管及投诉受理部门投诉。交易发起人将在规定的时间内统一进行澄清和答复，并通知所有响应的供应商。供应商未按规定要求提出的，则视同认可招标文件，但法律法规及规范性文件有明确规定的除外。</w:t>
      </w:r>
    </w:p>
    <w:p>
      <w:pPr>
        <w:spacing w:line="360" w:lineRule="auto"/>
        <w:rPr>
          <w:rFonts w:hint="eastAsia" w:ascii="宋体" w:hAnsi="宋体" w:eastAsia="宋体" w:cs="宋体"/>
          <w:b/>
          <w:sz w:val="24"/>
          <w:highlight w:val="none"/>
        </w:rPr>
      </w:pPr>
      <w:r>
        <w:rPr>
          <w:rFonts w:hint="eastAsia" w:ascii="宋体" w:hAnsi="宋体" w:cs="宋体"/>
          <w:b/>
          <w:sz w:val="24"/>
          <w:highlight w:val="none"/>
          <w:lang w:val="en-US" w:eastAsia="zh-CN"/>
        </w:rPr>
        <w:t>六</w:t>
      </w:r>
      <w:r>
        <w:rPr>
          <w:rFonts w:hint="eastAsia" w:ascii="宋体" w:hAnsi="宋体" w:eastAsia="宋体" w:cs="宋体"/>
          <w:b/>
          <w:sz w:val="24"/>
          <w:highlight w:val="none"/>
        </w:rPr>
        <w:t>、对本次采购提出询问、质疑、投诉，请按以下方式联系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1.采购人信息</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sz w:val="24"/>
          <w:highlight w:val="none"/>
        </w:rPr>
        <w:t xml:space="preserve"> </w:t>
      </w:r>
      <w:r>
        <w:rPr>
          <w:rFonts w:hint="eastAsia" w:ascii="宋体" w:hAnsi="宋体" w:eastAsia="宋体" w:cs="宋体"/>
          <w:color w:val="auto"/>
          <w:sz w:val="24"/>
          <w:highlight w:val="none"/>
        </w:rPr>
        <w:t xml:space="preserve">   名    称：</w:t>
      </w:r>
      <w:r>
        <w:rPr>
          <w:rFonts w:hint="eastAsia" w:ascii="宋体" w:hAnsi="宋体" w:cs="宋体"/>
          <w:color w:val="auto"/>
          <w:sz w:val="24"/>
          <w:highlight w:val="none"/>
          <w:lang w:eastAsia="zh-CN"/>
        </w:rPr>
        <w:t>浙江桐庐农村商业银行股份有限公司</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    </w:t>
      </w:r>
      <w:r>
        <w:rPr>
          <w:rFonts w:hint="eastAsia" w:ascii="宋体" w:hAnsi="宋体" w:eastAsia="宋体" w:cs="宋体"/>
          <w:color w:val="auto"/>
          <w:sz w:val="24"/>
          <w:highlight w:val="none"/>
          <w:lang w:eastAsia="zh-CN"/>
        </w:rPr>
        <w:t xml:space="preserve">址：浙江省杭州市桐庐县城迎春南路278号 </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项目联系人：</w:t>
      </w:r>
      <w:r>
        <w:rPr>
          <w:rFonts w:hint="eastAsia" w:ascii="宋体" w:hAnsi="宋体" w:cs="宋体"/>
          <w:b w:val="0"/>
          <w:bCs w:val="0"/>
          <w:color w:val="auto"/>
          <w:kern w:val="2"/>
          <w:sz w:val="24"/>
          <w:szCs w:val="24"/>
          <w:highlight w:val="none"/>
          <w:lang w:val="en-US" w:eastAsia="zh-CN" w:bidi="ar-SA"/>
        </w:rPr>
        <w:t>胡根源</w:t>
      </w:r>
    </w:p>
    <w:p>
      <w:pPr>
        <w:spacing w:line="360" w:lineRule="auto"/>
        <w:ind w:firstLine="48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sz w:val="24"/>
          <w:highlight w:val="none"/>
        </w:rPr>
        <w:t>项目联系方式：</w:t>
      </w:r>
      <w:r>
        <w:rPr>
          <w:rFonts w:hint="eastAsia" w:ascii="宋体" w:hAnsi="宋体" w:cs="宋体"/>
          <w:b w:val="0"/>
          <w:bCs w:val="0"/>
          <w:color w:val="auto"/>
          <w:kern w:val="2"/>
          <w:sz w:val="24"/>
          <w:szCs w:val="24"/>
          <w:highlight w:val="none"/>
          <w:lang w:val="en-US" w:eastAsia="zh-CN" w:bidi="ar-SA"/>
        </w:rPr>
        <w:t>13357123907</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 xml:space="preserve">    2.采购代理机构信息            </w:t>
      </w:r>
    </w:p>
    <w:p>
      <w:pPr>
        <w:spacing w:line="360" w:lineRule="auto"/>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名    称：</w:t>
      </w:r>
      <w:r>
        <w:rPr>
          <w:rFonts w:hint="eastAsia" w:ascii="宋体" w:hAnsi="宋体" w:cs="宋体"/>
          <w:color w:val="000000"/>
          <w:sz w:val="24"/>
          <w:highlight w:val="none"/>
          <w:lang w:eastAsia="zh-CN"/>
        </w:rPr>
        <w:t>浙江承天建设工程管理有限公司</w:t>
      </w:r>
    </w:p>
    <w:p>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地    </w:t>
      </w:r>
      <w:r>
        <w:rPr>
          <w:rFonts w:hint="eastAsia" w:ascii="宋体" w:hAnsi="宋体" w:eastAsia="宋体" w:cs="宋体"/>
          <w:color w:val="000000"/>
          <w:sz w:val="24"/>
          <w:highlight w:val="none"/>
          <w:lang w:eastAsia="zh-CN"/>
        </w:rPr>
        <w:t>址：</w:t>
      </w:r>
      <w:r>
        <w:rPr>
          <w:rFonts w:hint="eastAsia" w:ascii="宋体" w:hAnsi="宋体" w:eastAsia="宋体" w:cs="宋体"/>
          <w:color w:val="000000"/>
          <w:sz w:val="24"/>
          <w:highlight w:val="none"/>
          <w:lang w:val="en-US" w:eastAsia="zh-CN"/>
        </w:rPr>
        <w:t>桐庐县迎春南路61号萧商大厦23楼</w:t>
      </w:r>
      <w:r>
        <w:rPr>
          <w:rFonts w:hint="eastAsia" w:ascii="宋体" w:hAnsi="宋体" w:eastAsia="宋体" w:cs="宋体"/>
          <w:color w:val="000000"/>
          <w:sz w:val="24"/>
          <w:highlight w:val="none"/>
          <w:lang w:eastAsia="zh-CN"/>
        </w:rPr>
        <w:t xml:space="preserve">     </w:t>
      </w:r>
      <w:r>
        <w:rPr>
          <w:rFonts w:hint="eastAsia" w:ascii="宋体" w:hAnsi="宋体" w:eastAsia="宋体" w:cs="宋体"/>
          <w:color w:val="000000"/>
          <w:sz w:val="24"/>
          <w:highlight w:val="none"/>
        </w:rPr>
        <w:t xml:space="preserve">      </w: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项目联系人：</w:t>
      </w:r>
      <w:r>
        <w:rPr>
          <w:rFonts w:hint="eastAsia" w:ascii="宋体" w:hAnsi="宋体" w:cs="宋体"/>
          <w:color w:val="000000"/>
          <w:sz w:val="24"/>
          <w:highlight w:val="none"/>
          <w:lang w:val="en-US" w:eastAsia="zh-CN"/>
        </w:rPr>
        <w:t>朱嘉航</w:t>
      </w:r>
      <w:r>
        <w:rPr>
          <w:rFonts w:hint="eastAsia" w:ascii="宋体" w:hAnsi="宋体" w:eastAsia="宋体" w:cs="宋体"/>
          <w:color w:val="000000"/>
          <w:sz w:val="24"/>
          <w:highlight w:val="none"/>
        </w:rPr>
        <w:t xml:space="preserve">         </w:t>
      </w:r>
    </w:p>
    <w:p>
      <w:pPr>
        <w:spacing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 xml:space="preserve">    项目联系方式：</w:t>
      </w:r>
      <w:r>
        <w:rPr>
          <w:rFonts w:hint="eastAsia" w:ascii="宋体" w:hAnsi="宋体" w:cs="宋体"/>
          <w:color w:val="000000"/>
          <w:sz w:val="24"/>
          <w:highlight w:val="none"/>
          <w:lang w:val="en-US" w:eastAsia="zh-CN"/>
        </w:rPr>
        <w:t>13735895157</w:t>
      </w:r>
    </w:p>
    <w:p>
      <w:pPr>
        <w:spacing w:line="360" w:lineRule="auto"/>
        <w:ind w:firstLine="480" w:firstLineChars="200"/>
        <w:rPr>
          <w:rFonts w:hint="eastAsia" w:ascii="宋体" w:hAnsi="宋体" w:eastAsia="宋体" w:cs="宋体"/>
          <w:color w:val="000000"/>
          <w:sz w:val="24"/>
          <w:highlight w:val="none"/>
        </w:rPr>
      </w:pPr>
    </w:p>
    <w:p>
      <w:pPr>
        <w:spacing w:line="360" w:lineRule="auto"/>
        <w:rPr>
          <w:rFonts w:hint="eastAsia" w:ascii="宋体" w:hAnsi="宋体" w:eastAsia="宋体" w:cs="宋体"/>
          <w:sz w:val="24"/>
          <w:highlight w:val="none"/>
        </w:rPr>
      </w:pPr>
    </w:p>
    <w:p>
      <w:pPr>
        <w:adjustRightInd/>
        <w:spacing w:line="360" w:lineRule="auto"/>
        <w:jc w:val="center"/>
        <w:outlineLvl w:val="0"/>
        <w:rPr>
          <w:rFonts w:hint="eastAsia" w:ascii="宋体" w:hAnsi="宋体" w:eastAsia="宋体" w:cs="宋体"/>
          <w:b/>
          <w:sz w:val="36"/>
          <w:szCs w:val="20"/>
          <w:highlight w:val="none"/>
        </w:rPr>
      </w:pPr>
      <w:r>
        <w:rPr>
          <w:rFonts w:hint="eastAsia" w:ascii="宋体" w:hAnsi="宋体" w:eastAsia="宋体" w:cs="宋体"/>
          <w:b/>
          <w:sz w:val="36"/>
          <w:szCs w:val="20"/>
          <w:highlight w:val="none"/>
        </w:rPr>
        <w:br w:type="page"/>
      </w:r>
      <w:r>
        <w:rPr>
          <w:rFonts w:hint="eastAsia" w:ascii="宋体" w:hAnsi="宋体" w:eastAsia="宋体" w:cs="宋体"/>
          <w:b/>
          <w:sz w:val="36"/>
          <w:szCs w:val="20"/>
          <w:highlight w:val="none"/>
        </w:rPr>
        <w:t>第二部分</w:t>
      </w:r>
      <w:bookmarkEnd w:id="7"/>
      <w:r>
        <w:rPr>
          <w:rFonts w:hint="eastAsia" w:ascii="宋体" w:hAnsi="宋体" w:eastAsia="宋体" w:cs="宋体"/>
          <w:b/>
          <w:sz w:val="36"/>
          <w:szCs w:val="20"/>
          <w:highlight w:val="none"/>
        </w:rPr>
        <w:t xml:space="preserve"> 磋商供应商须知</w:t>
      </w:r>
      <w:bookmarkEnd w:id="8"/>
    </w:p>
    <w:p>
      <w:pPr>
        <w:snapToGrid w:val="0"/>
        <w:spacing w:line="360" w:lineRule="auto"/>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前附表</w:t>
      </w:r>
    </w:p>
    <w:tbl>
      <w:tblPr>
        <w:tblStyle w:val="29"/>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77"/>
        <w:gridCol w:w="7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项目</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采购项目</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cs="宋体"/>
                <w:sz w:val="24"/>
                <w:highlight w:val="none"/>
                <w:lang w:eastAsia="zh-CN"/>
              </w:rPr>
              <w:t>桐庐农商银行守押寄库服务采购项目</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cs="宋体"/>
                <w:sz w:val="24"/>
                <w:highlight w:val="none"/>
                <w:lang w:eastAsia="zh-CN"/>
              </w:rPr>
              <w:t>CTJSCG-2024-001-1-1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采购方式</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32" w:type="dxa"/>
            <w:vMerge w:val="restart"/>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3</w:t>
            </w:r>
          </w:p>
        </w:tc>
        <w:tc>
          <w:tcPr>
            <w:tcW w:w="1477" w:type="dxa"/>
            <w:vMerge w:val="restart"/>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投标人应当提供的投标文件</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（1）资格证明文件：见竞争性磋商文件第二部分11.1。</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zh-CN"/>
              </w:rPr>
              <w:t>投标人未提供有效的资格证明文件的，视为投标人不具备磋商文件中规定的资格要求，投标无效。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32" w:type="dxa"/>
            <w:vMerge w:val="continue"/>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p>
        </w:tc>
        <w:tc>
          <w:tcPr>
            <w:tcW w:w="1477" w:type="dxa"/>
            <w:vMerge w:val="continue"/>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（2）商务技术文件：见竞争性磋商文件第二部分11.2。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2" w:type="dxa"/>
            <w:vMerge w:val="continue"/>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p>
        </w:tc>
        <w:tc>
          <w:tcPr>
            <w:tcW w:w="1477" w:type="dxa"/>
            <w:vMerge w:val="continue"/>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（3）报价文件：见竞争性磋商文件第二部分11.3。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4</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投标文件的组成</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b/>
                <w:bCs/>
                <w:sz w:val="24"/>
                <w:highlight w:val="none"/>
              </w:rPr>
              <w:t>资格文件</w:t>
            </w:r>
            <w:r>
              <w:rPr>
                <w:rFonts w:hint="eastAsia" w:ascii="宋体" w:hAnsi="宋体" w:eastAsia="宋体" w:cs="宋体"/>
                <w:b/>
                <w:bCs/>
                <w:sz w:val="24"/>
                <w:highlight w:val="none"/>
                <w:lang w:val="zh-CN"/>
              </w:rPr>
              <w:t>、商务技术文件、报价文件正本各1份，副本各</w:t>
            </w:r>
            <w:r>
              <w:rPr>
                <w:rFonts w:hint="eastAsia" w:ascii="宋体" w:hAnsi="宋体" w:cs="宋体"/>
                <w:b/>
                <w:bCs/>
                <w:sz w:val="24"/>
                <w:highlight w:val="none"/>
                <w:lang w:val="en-US" w:eastAsia="zh-CN"/>
              </w:rPr>
              <w:t>4</w:t>
            </w:r>
            <w:r>
              <w:rPr>
                <w:rFonts w:hint="eastAsia" w:ascii="宋体" w:hAnsi="宋体" w:eastAsia="宋体" w:cs="宋体"/>
                <w:b/>
                <w:bCs/>
                <w:sz w:val="24"/>
                <w:highlight w:val="none"/>
                <w:lang w:val="zh-CN"/>
              </w:rPr>
              <w:t>份分别编</w:t>
            </w:r>
            <w:r>
              <w:rPr>
                <w:rFonts w:hint="eastAsia" w:ascii="宋体" w:hAnsi="宋体" w:eastAsia="宋体" w:cs="宋体"/>
                <w:b/>
                <w:bCs/>
                <w:sz w:val="24"/>
                <w:highlight w:val="none"/>
                <w:u w:val="none"/>
                <w:lang w:val="zh-CN"/>
              </w:rPr>
              <w:t>制并单独装订成册</w:t>
            </w:r>
            <w:r>
              <w:rPr>
                <w:rFonts w:hint="eastAsia" w:ascii="宋体" w:hAnsi="宋体" w:eastAsia="宋体" w:cs="宋体"/>
                <w:b/>
                <w:bCs/>
                <w:sz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5</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评标程序</w:t>
            </w:r>
          </w:p>
        </w:tc>
        <w:tc>
          <w:tcPr>
            <w:tcW w:w="7474" w:type="dxa"/>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详见第四部分评标办法。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6</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7474" w:type="dxa"/>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自投标截止日起90天。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7</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本项目投标应以人民币报价；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8</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踏勘现场</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组织（详细内容）</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9</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样品</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提供，具体详见磋商文件，中标人提供的样品将由采购人保管、封存并作为履约验收的参考</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10</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演示</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要求，具体详见磋商文件</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11</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评标办法</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综合评分法</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 最低价评标价法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12</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是否进口</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不允许进口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3</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合同签订</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采购人与中标人应当在《中标通知书》发出之日起</w:t>
            </w:r>
            <w:r>
              <w:rPr>
                <w:rFonts w:hint="eastAsia" w:ascii="宋体" w:hAnsi="宋体" w:cs="宋体"/>
                <w:sz w:val="24"/>
                <w:highlight w:val="none"/>
                <w:lang w:val="en-US" w:eastAsia="zh-CN"/>
              </w:rPr>
              <w:t>30</w:t>
            </w:r>
            <w:r>
              <w:rPr>
                <w:rFonts w:hint="eastAsia" w:ascii="宋体" w:hAnsi="宋体" w:eastAsia="宋体" w:cs="宋体"/>
                <w:sz w:val="24"/>
                <w:highlight w:val="none"/>
              </w:rPr>
              <w:t>日内签订采购合同。同时，采购代理机构对合同内容进行审查，如发现与采购结果和投标承诺内容不一致的，应予以纠正。中标人拖延、拒签合同的,将被取消中标资格。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履约保证金</w:t>
            </w:r>
          </w:p>
        </w:tc>
        <w:tc>
          <w:tcPr>
            <w:tcW w:w="7474" w:type="dxa"/>
            <w:vAlign w:val="center"/>
          </w:tcPr>
          <w:p>
            <w:pPr>
              <w:spacing w:line="380" w:lineRule="exact"/>
              <w:rPr>
                <w:rFonts w:hint="eastAsia" w:ascii="宋体" w:hAnsi="宋体" w:eastAsia="宋体" w:cs="宋体"/>
                <w:sz w:val="24"/>
                <w:highlight w:val="none"/>
              </w:rPr>
            </w:pPr>
            <w:r>
              <w:rPr>
                <w:rFonts w:hint="eastAsia" w:ascii="宋体" w:hAnsi="宋体" w:eastAsia="宋体" w:cs="宋体"/>
                <w:sz w:val="24"/>
                <w:highlight w:val="none"/>
              </w:rPr>
              <w:t>成交供应商在签订合同的同时应向交易发起人缴纳20万元的履约保证金，本项目服务结束，成交供应商无索赔事件，由交易发起人无息退还。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代理服务费</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采购代理服务费交纳形式：汇票/支票/电汇/现金。</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采购代理服务费由中标人在收到中标通知书时以人民币方式向采购代理机构支付。本项目为</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类采购项目，采购代理服务费依据浙价服[2003]77号文件</w:t>
            </w:r>
            <w:r>
              <w:rPr>
                <w:rFonts w:hint="eastAsia" w:ascii="宋体" w:hAnsi="宋体" w:eastAsia="宋体" w:cs="宋体"/>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jc w:val="center"/>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16</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解释权</w:t>
            </w:r>
          </w:p>
        </w:tc>
        <w:tc>
          <w:tcPr>
            <w:tcW w:w="7474" w:type="dxa"/>
            <w:vAlign w:val="center"/>
          </w:tcPr>
          <w:p>
            <w:pPr>
              <w:keepNext w:val="0"/>
              <w:keepLines w:val="0"/>
              <w:pageBreakBefore w:val="0"/>
              <w:widowControl w:val="0"/>
              <w:kinsoku/>
              <w:wordWrap/>
              <w:overflowPunct/>
              <w:topLinePunct w:val="0"/>
              <w:autoSpaceDE/>
              <w:autoSpaceDN/>
              <w:bidi w:val="0"/>
              <w:adjustRightInd w:val="0"/>
              <w:snapToGrid/>
              <w:spacing w:before="0" w:beforeLines="5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本竞争性磋商文件的解释权属于采购人。</w:t>
            </w:r>
          </w:p>
        </w:tc>
      </w:tr>
      <w:bookmarkEnd w:id="9"/>
    </w:tbl>
    <w:p>
      <w:pPr>
        <w:adjustRightInd/>
        <w:spacing w:line="360" w:lineRule="auto"/>
        <w:outlineLvl w:val="0"/>
        <w:rPr>
          <w:rFonts w:hint="eastAsia" w:ascii="宋体" w:hAnsi="宋体" w:eastAsia="宋体" w:cs="宋体"/>
          <w:b/>
          <w:sz w:val="32"/>
          <w:szCs w:val="20"/>
          <w:highlight w:val="none"/>
        </w:rPr>
      </w:pPr>
      <w:bookmarkStart w:id="10" w:name="第三部分"/>
      <w:bookmarkStart w:id="11" w:name="_Toc164416483"/>
    </w:p>
    <w:p>
      <w:pPr>
        <w:adjustRightInd/>
        <w:spacing w:line="360" w:lineRule="auto"/>
        <w:ind w:firstLine="3845" w:firstLineChars="1197"/>
        <w:outlineLvl w:val="0"/>
        <w:rPr>
          <w:rFonts w:hint="eastAsia" w:ascii="宋体" w:hAnsi="宋体" w:eastAsia="宋体" w:cs="宋体"/>
          <w:b/>
          <w:sz w:val="32"/>
          <w:szCs w:val="20"/>
          <w:highlight w:val="none"/>
        </w:rPr>
      </w:pPr>
      <w:r>
        <w:rPr>
          <w:rFonts w:hint="eastAsia" w:ascii="宋体" w:hAnsi="宋体" w:eastAsia="宋体" w:cs="宋体"/>
          <w:b/>
          <w:sz w:val="32"/>
          <w:szCs w:val="20"/>
          <w:highlight w:val="none"/>
        </w:rPr>
        <w:t>一、总则</w:t>
      </w:r>
    </w:p>
    <w:p>
      <w:pPr>
        <w:snapToGrid w:val="0"/>
        <w:spacing w:line="360" w:lineRule="auto"/>
        <w:ind w:firstLine="361" w:firstLineChars="150"/>
        <w:jc w:val="left"/>
        <w:outlineLvl w:val="1"/>
        <w:rPr>
          <w:rFonts w:hint="eastAsia" w:ascii="宋体" w:hAnsi="宋体" w:eastAsia="宋体" w:cs="宋体"/>
          <w:b/>
          <w:sz w:val="24"/>
          <w:highlight w:val="none"/>
        </w:rPr>
      </w:pPr>
      <w:r>
        <w:rPr>
          <w:rFonts w:hint="eastAsia" w:ascii="宋体" w:hAnsi="宋体" w:eastAsia="宋体" w:cs="宋体"/>
          <w:b/>
          <w:sz w:val="24"/>
          <w:highlight w:val="none"/>
        </w:rPr>
        <w:t>1.适用范围</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本竞争性磋商文件适用于该项目的招标、投标、开标、资格审查及信用信息查询、评标、定标、合同、验收等行为（法律、法规另有规定的，从其规定）。</w:t>
      </w:r>
    </w:p>
    <w:p>
      <w:pPr>
        <w:adjustRightInd/>
        <w:spacing w:line="360" w:lineRule="auto"/>
        <w:outlineLvl w:val="0"/>
        <w:rPr>
          <w:rFonts w:hint="eastAsia" w:ascii="宋体" w:hAnsi="宋体" w:eastAsia="宋体" w:cs="宋体"/>
          <w:b/>
          <w:sz w:val="24"/>
          <w:highlight w:val="none"/>
        </w:rPr>
      </w:pPr>
      <w:r>
        <w:rPr>
          <w:rFonts w:hint="eastAsia" w:ascii="宋体" w:hAnsi="宋体" w:eastAsia="宋体" w:cs="宋体"/>
          <w:b/>
          <w:sz w:val="24"/>
          <w:highlight w:val="none"/>
        </w:rPr>
        <w:t xml:space="preserve">   2.定义</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“采购人”系指</w:t>
      </w:r>
      <w:r>
        <w:rPr>
          <w:rFonts w:hint="eastAsia" w:ascii="宋体" w:hAnsi="宋体" w:cs="宋体"/>
          <w:sz w:val="24"/>
          <w:highlight w:val="none"/>
          <w:lang w:eastAsia="zh-CN"/>
        </w:rPr>
        <w:t>浙江桐庐农村商业银行股份有限公司</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“采购机构”系指</w:t>
      </w:r>
      <w:r>
        <w:rPr>
          <w:rFonts w:hint="eastAsia" w:ascii="宋体" w:hAnsi="宋体" w:cs="宋体"/>
          <w:sz w:val="24"/>
          <w:highlight w:val="none"/>
          <w:lang w:eastAsia="zh-CN"/>
        </w:rPr>
        <w:t>浙江承天建设工程管理有限公司</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 “供应商”系指是指响应招标、参加投标竞争的法人、其他组织或者自然人。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5</w:t>
      </w:r>
      <w:r>
        <w:rPr>
          <w:rFonts w:hint="eastAsia" w:ascii="宋体" w:hAnsi="宋体" w:eastAsia="宋体" w:cs="宋体"/>
          <w:sz w:val="24"/>
          <w:highlight w:val="none"/>
        </w:rPr>
        <w:t xml:space="preserve"> “▲” 系指实质性要求条款。</w:t>
      </w:r>
    </w:p>
    <w:p>
      <w:pPr>
        <w:adjustRightInd/>
        <w:spacing w:line="360" w:lineRule="auto"/>
        <w:outlineLvl w:val="0"/>
        <w:rPr>
          <w:rFonts w:hint="eastAsia" w:ascii="宋体" w:hAnsi="宋体" w:eastAsia="宋体" w:cs="宋体"/>
          <w:b/>
          <w:sz w:val="24"/>
          <w:highlight w:val="none"/>
        </w:rPr>
      </w:pPr>
      <w:r>
        <w:rPr>
          <w:rFonts w:hint="eastAsia" w:ascii="宋体" w:hAnsi="宋体" w:eastAsia="宋体" w:cs="宋体"/>
          <w:b/>
          <w:sz w:val="24"/>
          <w:highlight w:val="none"/>
        </w:rPr>
        <w:t xml:space="preserve">   3.</w:t>
      </w:r>
      <w:r>
        <w:rPr>
          <w:rFonts w:hint="eastAsia" w:ascii="宋体" w:hAnsi="宋体" w:eastAsia="宋体" w:cs="宋体"/>
          <w:highlight w:val="none"/>
        </w:rPr>
        <w:t xml:space="preserve"> </w:t>
      </w:r>
      <w:r>
        <w:rPr>
          <w:rFonts w:hint="eastAsia" w:ascii="宋体" w:hAnsi="宋体" w:eastAsia="宋体" w:cs="宋体"/>
          <w:b/>
          <w:sz w:val="24"/>
          <w:highlight w:val="none"/>
        </w:rPr>
        <w:t>采购项目需要落实的政府采购政策</w:t>
      </w:r>
    </w:p>
    <w:p>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无。</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询问、质疑、投诉</w:t>
      </w:r>
    </w:p>
    <w:p>
      <w:pPr>
        <w:autoSpaceDE w:val="0"/>
        <w:autoSpaceDN w:val="0"/>
        <w:spacing w:line="360" w:lineRule="auto"/>
        <w:ind w:firstLine="240" w:firstLineChars="1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4.1供应商询问</w:t>
      </w:r>
    </w:p>
    <w:p>
      <w:pPr>
        <w:autoSpaceDE w:val="0"/>
        <w:autoSpaceDN w:val="0"/>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4.2供应商质疑</w:t>
      </w:r>
    </w:p>
    <w:p>
      <w:pPr>
        <w:pStyle w:val="21"/>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lang w:val="zh-CN"/>
        </w:rPr>
        <w:t>4.2</w:t>
      </w:r>
      <w:r>
        <w:rPr>
          <w:rFonts w:hint="eastAsia" w:ascii="宋体" w:hAnsi="宋体" w:eastAsia="宋体" w:cs="宋体"/>
          <w:sz w:val="24"/>
          <w:highlight w:val="none"/>
        </w:rPr>
        <w:t>.1提出质疑的供应商应当是参与所质疑项目采购活动的供应商。潜在供应商已依法获取其可质疑的竞争性磋商文件的，可以对该文件提出质疑。</w:t>
      </w:r>
    </w:p>
    <w:p>
      <w:pPr>
        <w:pStyle w:val="21"/>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lang w:val="zh-CN"/>
        </w:rPr>
        <w:t>4.2</w:t>
      </w:r>
      <w:r>
        <w:rPr>
          <w:rFonts w:hint="eastAsia" w:ascii="宋体" w:hAnsi="宋体" w:eastAsia="宋体" w:cs="宋体"/>
          <w:sz w:val="24"/>
          <w:highlight w:val="none"/>
        </w:rPr>
        <w:t>.2供应商认为竞争性磋商文件、采购过程和中标结果使自己的权益受到损害的，可以在知道或者应知其权益受到损害之日起七个工作日内，以书面形式向采购人或者采购机构提出质疑，否则，采购人或者采购机构不予受理：</w:t>
      </w:r>
    </w:p>
    <w:p>
      <w:pPr>
        <w:pStyle w:val="14"/>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4.2.2.1对竞争性磋商文件提出质疑的，质疑期限为供应商获得竞争性磋商文件之日或者竞争性磋商文件公告期限届满之日起计算。</w:t>
      </w:r>
    </w:p>
    <w:p>
      <w:pPr>
        <w:pStyle w:val="21"/>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4.2.2.2对采购过程提出质疑的，质疑期限为各采购程序环节结束之日起计算。对同一采购程序环节的质疑，供应商</w:t>
      </w:r>
      <w:r>
        <w:rPr>
          <w:rFonts w:hint="eastAsia" w:ascii="宋体" w:hAnsi="宋体" w:eastAsia="宋体" w:cs="宋体"/>
          <w:sz w:val="24"/>
          <w:highlight w:val="none"/>
          <w:lang w:eastAsia="zh-CN"/>
        </w:rPr>
        <w:t>需</w:t>
      </w:r>
      <w:r>
        <w:rPr>
          <w:rFonts w:hint="eastAsia" w:ascii="宋体" w:hAnsi="宋体" w:eastAsia="宋体" w:cs="宋体"/>
          <w:sz w:val="24"/>
          <w:highlight w:val="none"/>
        </w:rPr>
        <w:t>一次性提出。</w:t>
      </w:r>
    </w:p>
    <w:p>
      <w:pPr>
        <w:pStyle w:val="21"/>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4.2.2.3对采购结果提出质疑的，质疑期限自采购结果公告期限届满之日起计算。</w:t>
      </w:r>
    </w:p>
    <w:p>
      <w:pPr>
        <w:pStyle w:val="21"/>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4.2.3</w:t>
      </w:r>
      <w:r>
        <w:rPr>
          <w:rFonts w:hint="eastAsia" w:ascii="宋体" w:hAnsi="宋体" w:eastAsia="宋体" w:cs="宋体"/>
          <w:sz w:val="24"/>
          <w:highlight w:val="none"/>
        </w:rPr>
        <w:t>供应商提出质疑应当提交质疑函和必要的证明材料。质疑函应当包括下列内容：</w:t>
      </w:r>
    </w:p>
    <w:p>
      <w:pPr>
        <w:pStyle w:val="21"/>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4.2.3.1供应商的姓名或者名称、地址、邮编、联系人及联系电话；</w:t>
      </w:r>
    </w:p>
    <w:p>
      <w:pPr>
        <w:pStyle w:val="21"/>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4.2.3.2质疑项目的名称、编号；</w:t>
      </w:r>
    </w:p>
    <w:p>
      <w:pPr>
        <w:pStyle w:val="21"/>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4.2.3.1具体、明确的质疑事项和与质疑事项相关的请求；</w:t>
      </w:r>
    </w:p>
    <w:p>
      <w:pPr>
        <w:pStyle w:val="21"/>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4.2.3.4事实依据；</w:t>
      </w:r>
    </w:p>
    <w:p>
      <w:pPr>
        <w:pStyle w:val="21"/>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4.2.3.5必要的法律依据；</w:t>
      </w:r>
    </w:p>
    <w:p>
      <w:pPr>
        <w:pStyle w:val="21"/>
        <w:spacing w:line="360" w:lineRule="auto"/>
        <w:ind w:firstLine="960" w:firstLineChars="4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4.2.3.6提出质疑的日期。</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供应商提交的质疑函需一式三份。供应商为自然人的，应当由本人签字；供应商为法人或者其他组织的，应当由法定代表人、主要负责人，或者其授权代表签字或者盖章，并加盖公章。</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质疑函范本及制作说明详见附件</w:t>
      </w:r>
      <w:r>
        <w:rPr>
          <w:rFonts w:hint="eastAsia" w:cs="宋体"/>
          <w:highlight w:val="none"/>
          <w:lang w:val="en-US" w:eastAsia="zh-CN"/>
        </w:rPr>
        <w:t>1</w:t>
      </w:r>
      <w:r>
        <w:rPr>
          <w:rFonts w:hint="eastAsia" w:ascii="宋体" w:hAnsi="宋体" w:eastAsia="宋体" w:cs="宋体"/>
          <w:highlight w:val="none"/>
        </w:rPr>
        <w:t>。</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lang w:val="zh-CN"/>
        </w:rPr>
        <w:t>4.2</w:t>
      </w:r>
      <w:r>
        <w:rPr>
          <w:rFonts w:hint="eastAsia" w:ascii="宋体" w:hAnsi="宋体" w:eastAsia="宋体" w:cs="宋体"/>
          <w:highlight w:val="none"/>
        </w:rPr>
        <w:t>.4采购人或者采购机构应当在收到供应商的书面质疑后七个工作日内作出答复，并以书面形式通知质疑供应商和其他与质疑处理结果有利害关系的采购当事人，但答复的内容不得涉及商业秘密。</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lang w:val="zh-CN"/>
        </w:rPr>
        <w:t>4.2</w:t>
      </w:r>
      <w:r>
        <w:rPr>
          <w:rFonts w:hint="eastAsia" w:ascii="宋体" w:hAnsi="宋体" w:eastAsia="宋体" w:cs="宋体"/>
          <w:highlight w:val="none"/>
        </w:rPr>
        <w:t>.5询问或者质疑事项可能影响采购结果的，采购人应当暂停签订合同，已经签订合同的，应当中止履行合同。</w:t>
      </w:r>
    </w:p>
    <w:p>
      <w:pPr>
        <w:pStyle w:val="42"/>
        <w:snapToGrid w:val="0"/>
        <w:spacing w:after="240" w:afterAutospacing="0" w:line="360" w:lineRule="auto"/>
        <w:ind w:firstLine="400"/>
        <w:contextualSpacing/>
        <w:rPr>
          <w:rFonts w:hint="eastAsia" w:ascii="宋体" w:hAnsi="宋体" w:eastAsia="宋体" w:cs="宋体"/>
          <w:highlight w:val="none"/>
          <w:lang w:val="zh-CN"/>
        </w:rPr>
      </w:pPr>
      <w:r>
        <w:rPr>
          <w:rFonts w:hint="eastAsia" w:ascii="宋体" w:hAnsi="宋体" w:eastAsia="宋体" w:cs="宋体"/>
          <w:highlight w:val="none"/>
          <w:lang w:val="zh-CN"/>
        </w:rPr>
        <w:t>4.3供应商投诉</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4.3.1质疑供应商对采购人、采购机构的答复不满意或者采购人、采购机构未在规定的时间内作出答复的，可以在答复期满后十五个工作日内向同级采购监督管理部门提出投诉。</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4.3.</w:t>
      </w:r>
      <w:r>
        <w:rPr>
          <w:rFonts w:hint="eastAsia" w:ascii="宋体" w:hAnsi="宋体" w:eastAsia="宋体" w:cs="宋体"/>
          <w:highlight w:val="none"/>
          <w:lang w:val="zh-CN"/>
        </w:rPr>
        <w:t>2</w:t>
      </w:r>
      <w:r>
        <w:rPr>
          <w:rFonts w:hint="eastAsia" w:ascii="宋体" w:hAnsi="宋体" w:eastAsia="宋体" w:cs="宋体"/>
          <w:highlight w:val="none"/>
        </w:rPr>
        <w:t>供应商投诉的事项不得超出已质疑事项的范围，基于质疑答复内容提出的投诉事项除外。</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4.3.3供应商投诉应当有明确的请求和必要的证明材料。</w:t>
      </w:r>
    </w:p>
    <w:p>
      <w:pPr>
        <w:pStyle w:val="42"/>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投诉书范本及制作说明详见附件</w:t>
      </w:r>
      <w:r>
        <w:rPr>
          <w:rFonts w:hint="eastAsia" w:cs="宋体"/>
          <w:highlight w:val="none"/>
          <w:lang w:val="en-US" w:eastAsia="zh-CN"/>
        </w:rPr>
        <w:t>2</w:t>
      </w:r>
      <w:r>
        <w:rPr>
          <w:rFonts w:hint="eastAsia" w:ascii="宋体" w:hAnsi="宋体" w:eastAsia="宋体" w:cs="宋体"/>
          <w:highlight w:val="none"/>
        </w:rPr>
        <w:t>。</w:t>
      </w:r>
    </w:p>
    <w:p>
      <w:pPr>
        <w:pStyle w:val="39"/>
        <w:snapToGrid w:val="0"/>
        <w:spacing w:before="0"/>
        <w:ind w:firstLine="360"/>
        <w:rPr>
          <w:rFonts w:hint="eastAsia" w:ascii="宋体" w:hAnsi="宋体" w:eastAsia="宋体" w:cs="宋体"/>
          <w:sz w:val="18"/>
          <w:szCs w:val="18"/>
          <w:highlight w:val="none"/>
        </w:rPr>
      </w:pPr>
    </w:p>
    <w:p>
      <w:pPr>
        <w:adjustRightInd/>
        <w:spacing w:line="360" w:lineRule="auto"/>
        <w:jc w:val="center"/>
        <w:outlineLvl w:val="0"/>
        <w:rPr>
          <w:rFonts w:hint="eastAsia" w:ascii="宋体" w:hAnsi="宋体" w:eastAsia="宋体" w:cs="宋体"/>
          <w:b/>
          <w:sz w:val="32"/>
          <w:szCs w:val="20"/>
          <w:highlight w:val="none"/>
        </w:rPr>
      </w:pPr>
      <w:r>
        <w:rPr>
          <w:rFonts w:hint="eastAsia" w:ascii="宋体" w:hAnsi="宋体" w:eastAsia="宋体" w:cs="宋体"/>
          <w:b/>
          <w:sz w:val="32"/>
          <w:szCs w:val="20"/>
          <w:highlight w:val="none"/>
        </w:rPr>
        <w:t xml:space="preserve">      二、竞争性磋商文件的构成、澄清、修改</w:t>
      </w:r>
    </w:p>
    <w:p>
      <w:pPr>
        <w:pStyle w:val="21"/>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5．竞争性磋商文件的构成</w:t>
      </w:r>
    </w:p>
    <w:p>
      <w:pPr>
        <w:pStyle w:val="2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 竞争性磋商文件包括下列文件及附件：</w:t>
      </w:r>
    </w:p>
    <w:p>
      <w:pPr>
        <w:pStyle w:val="21"/>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5.1.1竞争性磋商公告；</w:t>
      </w:r>
    </w:p>
    <w:p>
      <w:pPr>
        <w:pStyle w:val="21"/>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5.1.2磋商供应商须知；</w:t>
      </w:r>
    </w:p>
    <w:p>
      <w:pPr>
        <w:pStyle w:val="21"/>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5.1.3采购需求；</w:t>
      </w:r>
    </w:p>
    <w:p>
      <w:pPr>
        <w:pStyle w:val="21"/>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5.1.4评标办法；</w:t>
      </w:r>
    </w:p>
    <w:p>
      <w:pPr>
        <w:pStyle w:val="21"/>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5.1.5拟签订的合同文本；</w:t>
      </w:r>
    </w:p>
    <w:p>
      <w:pPr>
        <w:pStyle w:val="21"/>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highlight w:val="none"/>
        </w:rPr>
        <w:t>5.1.6</w:t>
      </w:r>
      <w:r>
        <w:rPr>
          <w:rFonts w:hint="eastAsia" w:ascii="宋体" w:hAnsi="宋体" w:eastAsia="宋体" w:cs="宋体"/>
          <w:sz w:val="24"/>
          <w:szCs w:val="24"/>
          <w:highlight w:val="none"/>
        </w:rPr>
        <w:t>应提交的有关格式范例。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5.2与本项目有关的</w:t>
      </w:r>
      <w:r>
        <w:rPr>
          <w:rFonts w:hint="eastAsia" w:ascii="宋体" w:hAnsi="宋体" w:eastAsia="宋体" w:cs="宋体"/>
          <w:bCs/>
          <w:sz w:val="24"/>
          <w:highlight w:val="none"/>
        </w:rPr>
        <w:t>澄清或者修改的内容为竞争性磋商文件的组成部分</w:t>
      </w:r>
      <w:r>
        <w:rPr>
          <w:rFonts w:hint="eastAsia" w:ascii="宋体" w:hAnsi="宋体" w:eastAsia="宋体" w:cs="宋体"/>
          <w:sz w:val="24"/>
          <w:highlight w:val="none"/>
        </w:rPr>
        <w:t>。</w:t>
      </w:r>
    </w:p>
    <w:p>
      <w:pPr>
        <w:pStyle w:val="21"/>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6. 竞争性磋商文件的澄清、修改</w:t>
      </w:r>
    </w:p>
    <w:p>
      <w:pPr>
        <w:pStyle w:val="39"/>
        <w:snapToGrid w:val="0"/>
        <w:spacing w:before="0"/>
        <w:ind w:firstLine="480"/>
        <w:rPr>
          <w:rFonts w:hint="eastAsia" w:ascii="宋体" w:hAnsi="宋体" w:eastAsia="宋体" w:cs="宋体"/>
          <w:highlight w:val="none"/>
        </w:rPr>
      </w:pPr>
      <w:r>
        <w:rPr>
          <w:rFonts w:hint="eastAsia" w:ascii="宋体" w:hAnsi="宋体" w:eastAsia="宋体" w:cs="宋体"/>
          <w:highlight w:val="none"/>
        </w:rPr>
        <w:t>6.1已获取竞争性磋商文件的潜在供应商，若有问题需要澄清，应于投标截止时间前，以书面形式向采购机构提出。</w:t>
      </w:r>
    </w:p>
    <w:p>
      <w:pPr>
        <w:pStyle w:val="39"/>
        <w:snapToGrid w:val="0"/>
        <w:spacing w:before="0"/>
        <w:ind w:firstLine="480"/>
        <w:rPr>
          <w:rFonts w:hint="eastAsia" w:ascii="宋体" w:hAnsi="宋体" w:eastAsia="宋体" w:cs="宋体"/>
          <w:highlight w:val="none"/>
        </w:rPr>
      </w:pPr>
      <w:r>
        <w:rPr>
          <w:rFonts w:hint="eastAsia" w:ascii="宋体" w:hAnsi="宋体" w:eastAsia="宋体" w:cs="宋体"/>
          <w:highlight w:val="none"/>
        </w:rPr>
        <w:t>6.2 采购机构对竞争性磋商文件进行澄清或修改的，将同时通知已获取竞争性磋商文件的潜在供应商。依法应当公告的，将按规定公告，同时视情况延长投标截止时间和开标时间。该澄清或者修改的内容为竞争性磋商文件的组成部分。</w:t>
      </w:r>
    </w:p>
    <w:p>
      <w:pPr>
        <w:keepNext w:val="0"/>
        <w:keepLines w:val="0"/>
        <w:pageBreakBefore w:val="0"/>
        <w:widowControl w:val="0"/>
        <w:kinsoku/>
        <w:wordWrap/>
        <w:overflowPunct/>
        <w:topLinePunct w:val="0"/>
        <w:autoSpaceDE/>
        <w:autoSpaceDN/>
        <w:bidi w:val="0"/>
        <w:adjustRightInd/>
        <w:snapToGrid/>
        <w:spacing w:before="0" w:beforeLines="250" w:line="360" w:lineRule="auto"/>
        <w:jc w:val="center"/>
        <w:textAlignment w:val="auto"/>
        <w:outlineLvl w:val="0"/>
        <w:rPr>
          <w:rFonts w:hint="eastAsia" w:ascii="宋体" w:hAnsi="宋体" w:eastAsia="宋体" w:cs="宋体"/>
          <w:b/>
          <w:sz w:val="30"/>
          <w:szCs w:val="20"/>
          <w:highlight w:val="none"/>
        </w:rPr>
      </w:pPr>
      <w:r>
        <w:rPr>
          <w:rFonts w:hint="eastAsia" w:ascii="宋体" w:hAnsi="宋体" w:eastAsia="宋体" w:cs="宋体"/>
          <w:b/>
          <w:sz w:val="30"/>
          <w:szCs w:val="20"/>
          <w:highlight w:val="none"/>
        </w:rPr>
        <w:t>三、磋商响应</w:t>
      </w:r>
    </w:p>
    <w:p>
      <w:pPr>
        <w:pStyle w:val="21"/>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7. 竞争性磋商文件的获取</w:t>
      </w:r>
    </w:p>
    <w:p>
      <w:pPr>
        <w:spacing w:line="360" w:lineRule="auto"/>
        <w:ind w:firstLine="480" w:firstLineChars="200"/>
        <w:rPr>
          <w:rFonts w:hint="eastAsia" w:ascii="宋体" w:hAnsi="宋体" w:eastAsia="宋体" w:cs="宋体"/>
          <w:snapToGrid w:val="0"/>
          <w:kern w:val="28"/>
          <w:sz w:val="24"/>
          <w:highlight w:val="none"/>
        </w:rPr>
      </w:pPr>
      <w:r>
        <w:rPr>
          <w:rFonts w:hint="eastAsia" w:ascii="宋体" w:hAnsi="宋体" w:eastAsia="宋体" w:cs="宋体"/>
          <w:snapToGrid w:val="0"/>
          <w:kern w:val="28"/>
          <w:sz w:val="24"/>
          <w:highlight w:val="none"/>
        </w:rPr>
        <w:t>详见竞争性磋商公告中获取竞争性磋商文件的时间期限、地点、方式及竞争性磋商文件售价。</w:t>
      </w:r>
    </w:p>
    <w:p>
      <w:pPr>
        <w:pStyle w:val="21"/>
        <w:numPr>
          <w:ilvl w:val="0"/>
          <w:numId w:val="4"/>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开标前答疑会或现场考察</w:t>
      </w:r>
    </w:p>
    <w:p>
      <w:pPr>
        <w:pStyle w:val="2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采购人组织潜在供应商现场考察或者召开开标前答疑会的，潜在供应商按第二部分供应商须知前附表的规定参加现场考察或者开标前答疑会。</w:t>
      </w:r>
    </w:p>
    <w:p>
      <w:pPr>
        <w:pStyle w:val="21"/>
        <w:numPr>
          <w:ilvl w:val="0"/>
          <w:numId w:val="5"/>
        </w:numPr>
        <w:spacing w:line="360" w:lineRule="auto"/>
        <w:rPr>
          <w:rFonts w:hint="eastAsia" w:ascii="宋体" w:hAnsi="宋体" w:eastAsia="宋体" w:cs="宋体"/>
          <w:b/>
          <w:szCs w:val="24"/>
          <w:highlight w:val="none"/>
        </w:rPr>
      </w:pPr>
      <w:r>
        <w:rPr>
          <w:rFonts w:hint="eastAsia" w:ascii="宋体" w:hAnsi="宋体" w:eastAsia="宋体" w:cs="宋体"/>
          <w:b/>
          <w:kern w:val="28"/>
          <w:sz w:val="24"/>
          <w:szCs w:val="24"/>
          <w:highlight w:val="none"/>
        </w:rPr>
        <w:t>磋商保证金</w:t>
      </w:r>
    </w:p>
    <w:p>
      <w:pPr>
        <w:pStyle w:val="14"/>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本项目不需缴纳磋商保证金。</w:t>
      </w:r>
    </w:p>
    <w:p>
      <w:pPr>
        <w:pStyle w:val="21"/>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10. 磋商响应文件的语言</w:t>
      </w:r>
    </w:p>
    <w:p>
      <w:pPr>
        <w:autoSpaceDE w:val="0"/>
        <w:autoSpaceDN w:val="0"/>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磋商响应文件及供应商与采购有关的来往通知、函件和文件均应使用中文。</w:t>
      </w:r>
    </w:p>
    <w:p>
      <w:pPr>
        <w:pStyle w:val="21"/>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11. 磋商响应文件的组成</w:t>
      </w:r>
    </w:p>
    <w:p>
      <w:pPr>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11.1资格文件：</w:t>
      </w:r>
    </w:p>
    <w:p>
      <w:pPr>
        <w:snapToGrid w:val="0"/>
        <w:spacing w:line="360" w:lineRule="auto"/>
        <w:ind w:firstLine="960" w:firstLineChars="4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highlight w:val="none"/>
        </w:rPr>
        <w:t>11.1.1符合参加采购活动应当具备的一般条件的承诺函；</w:t>
      </w:r>
    </w:p>
    <w:p>
      <w:pPr>
        <w:snapToGrid w:val="0"/>
        <w:spacing w:line="360" w:lineRule="auto"/>
        <w:ind w:firstLine="960" w:firstLineChars="400"/>
        <w:rPr>
          <w:rFonts w:hint="eastAsia" w:ascii="宋体" w:hAnsi="宋体" w:cs="宋体"/>
          <w:sz w:val="24"/>
          <w:highlight w:val="none"/>
          <w:lang w:eastAsia="zh-CN"/>
        </w:rPr>
      </w:pPr>
      <w:r>
        <w:rPr>
          <w:rFonts w:hint="eastAsia" w:ascii="宋体" w:hAnsi="宋体" w:eastAsia="宋体" w:cs="宋体"/>
          <w:sz w:val="24"/>
          <w:highlight w:val="none"/>
        </w:rPr>
        <w:t>11.1.</w:t>
      </w:r>
      <w:r>
        <w:rPr>
          <w:rFonts w:hint="eastAsia" w:ascii="宋体" w:hAnsi="宋体" w:cs="宋体"/>
          <w:sz w:val="24"/>
          <w:highlight w:val="none"/>
          <w:lang w:val="en-US" w:eastAsia="zh-CN"/>
        </w:rPr>
        <w:t>2</w:t>
      </w:r>
      <w:r>
        <w:rPr>
          <w:rFonts w:hint="eastAsia" w:ascii="宋体" w:hAnsi="宋体" w:eastAsia="宋体" w:cs="宋体"/>
          <w:sz w:val="24"/>
          <w:highlight w:val="none"/>
        </w:rPr>
        <w:t>本项目的特定资格要求</w:t>
      </w:r>
      <w:r>
        <w:rPr>
          <w:rFonts w:hint="eastAsia" w:ascii="宋体" w:hAnsi="宋体" w:cs="宋体"/>
          <w:sz w:val="24"/>
          <w:highlight w:val="none"/>
          <w:lang w:eastAsia="zh-CN"/>
        </w:rPr>
        <w:t>；</w:t>
      </w:r>
    </w:p>
    <w:p>
      <w:pPr>
        <w:snapToGrid w:val="0"/>
        <w:spacing w:line="360" w:lineRule="auto"/>
        <w:ind w:firstLine="960" w:firstLineChars="400"/>
        <w:rPr>
          <w:rFonts w:hint="eastAsia"/>
          <w:lang w:eastAsia="zh-CN"/>
        </w:rPr>
      </w:pPr>
      <w:r>
        <w:rPr>
          <w:rFonts w:hint="eastAsia" w:ascii="宋体" w:hAnsi="宋体" w:eastAsia="宋体" w:cs="宋体"/>
          <w:sz w:val="24"/>
          <w:highlight w:val="none"/>
        </w:rPr>
        <w:t>11.1.</w:t>
      </w:r>
      <w:r>
        <w:rPr>
          <w:rFonts w:hint="eastAsia" w:ascii="宋体" w:hAnsi="宋体" w:cs="宋体"/>
          <w:sz w:val="24"/>
          <w:highlight w:val="none"/>
          <w:lang w:val="en-US" w:eastAsia="zh-CN"/>
        </w:rPr>
        <w:t>3营业执照</w:t>
      </w:r>
      <w:r>
        <w:rPr>
          <w:rFonts w:hint="eastAsia" w:ascii="宋体" w:hAnsi="宋体" w:cs="宋体"/>
          <w:sz w:val="24"/>
          <w:highlight w:val="none"/>
          <w:lang w:eastAsia="zh-CN"/>
        </w:rPr>
        <w:t>。</w:t>
      </w:r>
    </w:p>
    <w:p>
      <w:pPr>
        <w:snapToGrid w:val="0"/>
        <w:spacing w:line="360" w:lineRule="auto"/>
        <w:ind w:firstLine="482" w:firstLineChars="200"/>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11.</w:t>
      </w:r>
      <w:r>
        <w:rPr>
          <w:rFonts w:hint="eastAsia" w:ascii="宋体" w:hAnsi="宋体" w:eastAsia="宋体" w:cs="宋体"/>
          <w:b/>
          <w:bCs/>
          <w:sz w:val="24"/>
          <w:highlight w:val="none"/>
        </w:rPr>
        <w:t>2</w:t>
      </w:r>
      <w:r>
        <w:rPr>
          <w:rFonts w:hint="eastAsia" w:ascii="宋体" w:hAnsi="宋体" w:eastAsia="宋体" w:cs="宋体"/>
          <w:b/>
          <w:bCs/>
          <w:sz w:val="24"/>
          <w:highlight w:val="none"/>
          <w:lang w:val="zh-CN"/>
        </w:rPr>
        <w:t xml:space="preserve">  </w:t>
      </w:r>
      <w:r>
        <w:rPr>
          <w:rFonts w:hint="eastAsia" w:ascii="宋体" w:hAnsi="宋体" w:eastAsia="宋体" w:cs="宋体"/>
          <w:b/>
          <w:bCs/>
          <w:sz w:val="24"/>
          <w:highlight w:val="none"/>
        </w:rPr>
        <w:t>商务技术</w:t>
      </w:r>
      <w:r>
        <w:rPr>
          <w:rFonts w:hint="eastAsia" w:ascii="宋体" w:hAnsi="宋体" w:eastAsia="宋体" w:cs="宋体"/>
          <w:b/>
          <w:bCs/>
          <w:sz w:val="24"/>
          <w:highlight w:val="none"/>
          <w:lang w:val="zh-CN"/>
        </w:rPr>
        <w:t>文件：</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11.2.1磋商承诺函；</w:t>
      </w:r>
      <w:r>
        <w:rPr>
          <w:rFonts w:hint="eastAsia" w:ascii="宋体" w:hAnsi="宋体" w:eastAsia="宋体" w:cs="宋体"/>
          <w:sz w:val="24"/>
          <w:highlight w:val="none"/>
          <w:lang w:val="zh-CN"/>
        </w:rPr>
        <w:t xml:space="preserve"> </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11.2.2授权委托书或法定代表人（单位负责人、自然人本人）身份证明；</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11.2.3符合性审查资料；</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11.2.4评标标准相应的商务技术资料；</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11.2.5商务技术偏离表；</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cs="宋体"/>
          <w:sz w:val="24"/>
          <w:highlight w:val="none"/>
          <w:lang w:val="en-US" w:eastAsia="zh-CN"/>
        </w:rPr>
        <w:t>11.2.6</w:t>
      </w:r>
      <w:r>
        <w:rPr>
          <w:rFonts w:hint="eastAsia" w:ascii="宋体" w:hAnsi="宋体" w:eastAsia="宋体" w:cs="宋体"/>
          <w:sz w:val="24"/>
          <w:highlight w:val="none"/>
        </w:rPr>
        <w:t>评分对应表</w:t>
      </w:r>
    </w:p>
    <w:p>
      <w:pPr>
        <w:snapToGrid w:val="0"/>
        <w:spacing w:line="360" w:lineRule="auto"/>
        <w:ind w:firstLine="960" w:firstLineChars="400"/>
        <w:rPr>
          <w:rFonts w:hint="eastAsia" w:ascii="宋体" w:hAnsi="宋体" w:eastAsia="宋体" w:cs="宋体"/>
          <w:highlight w:val="none"/>
          <w:lang w:val="zh-CN"/>
        </w:rPr>
      </w:pPr>
      <w:r>
        <w:rPr>
          <w:rFonts w:hint="eastAsia" w:ascii="宋体" w:hAnsi="宋体" w:eastAsia="宋体" w:cs="宋体"/>
          <w:sz w:val="24"/>
          <w:highlight w:val="none"/>
          <w:lang w:val="zh-CN"/>
        </w:rPr>
        <w:t>11.</w:t>
      </w:r>
      <w:r>
        <w:rPr>
          <w:rFonts w:hint="eastAsia" w:ascii="宋体" w:hAnsi="宋体" w:eastAsia="宋体" w:cs="宋体"/>
          <w:sz w:val="24"/>
          <w:highlight w:val="none"/>
        </w:rPr>
        <w:t>2</w:t>
      </w:r>
      <w:r>
        <w:rPr>
          <w:rFonts w:hint="eastAsia" w:ascii="宋体" w:hAnsi="宋体" w:eastAsia="宋体" w:cs="宋体"/>
          <w:sz w:val="24"/>
          <w:highlight w:val="none"/>
          <w:lang w:val="zh-CN"/>
        </w:rPr>
        <w:t>.</w:t>
      </w:r>
      <w:r>
        <w:rPr>
          <w:rFonts w:hint="eastAsia" w:ascii="宋体" w:hAnsi="宋体" w:cs="宋体"/>
          <w:sz w:val="24"/>
          <w:highlight w:val="none"/>
          <w:lang w:val="en-US" w:eastAsia="zh-CN"/>
        </w:rPr>
        <w:t>7</w:t>
      </w:r>
      <w:r>
        <w:rPr>
          <w:rFonts w:hint="eastAsia" w:ascii="宋体" w:hAnsi="宋体" w:eastAsia="宋体" w:cs="宋体"/>
          <w:sz w:val="24"/>
          <w:highlight w:val="none"/>
          <w:lang w:val="zh-CN"/>
        </w:rPr>
        <w:t>采购供应商廉洁自律承诺书。</w:t>
      </w:r>
    </w:p>
    <w:p>
      <w:pPr>
        <w:snapToGrid w:val="0"/>
        <w:spacing w:line="360" w:lineRule="auto"/>
        <w:ind w:firstLine="482" w:firstLineChars="200"/>
        <w:rPr>
          <w:rFonts w:hint="eastAsia" w:ascii="宋体" w:hAnsi="宋体" w:eastAsia="宋体" w:cs="宋体"/>
          <w:b/>
          <w:bCs/>
          <w:sz w:val="24"/>
          <w:highlight w:val="none"/>
          <w:u w:val="single"/>
          <w:lang w:val="zh-CN"/>
        </w:rPr>
      </w:pPr>
      <w:r>
        <w:rPr>
          <w:rFonts w:hint="eastAsia" w:ascii="宋体" w:hAnsi="宋体" w:eastAsia="宋体" w:cs="宋体"/>
          <w:b/>
          <w:bCs/>
          <w:kern w:val="0"/>
          <w:sz w:val="24"/>
          <w:highlight w:val="none"/>
          <w:lang w:val="zh-CN"/>
        </w:rPr>
        <w:t>11.</w:t>
      </w:r>
      <w:r>
        <w:rPr>
          <w:rFonts w:hint="eastAsia" w:ascii="宋体" w:hAnsi="宋体" w:eastAsia="宋体" w:cs="宋体"/>
          <w:b/>
          <w:bCs/>
          <w:kern w:val="0"/>
          <w:sz w:val="24"/>
          <w:highlight w:val="none"/>
        </w:rPr>
        <w:t>3</w:t>
      </w:r>
      <w:r>
        <w:rPr>
          <w:rFonts w:hint="eastAsia" w:ascii="宋体" w:hAnsi="宋体" w:eastAsia="宋体" w:cs="宋体"/>
          <w:b/>
          <w:bCs/>
          <w:sz w:val="24"/>
          <w:highlight w:val="none"/>
        </w:rPr>
        <w:t xml:space="preserve">报价文件： </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11.3.1开标一览表（报价表）；</w:t>
      </w:r>
    </w:p>
    <w:p>
      <w:pPr>
        <w:spacing w:line="360" w:lineRule="auto"/>
        <w:ind w:firstLine="723" w:firstLineChars="300"/>
        <w:rPr>
          <w:rFonts w:hint="eastAsia" w:ascii="宋体" w:hAnsi="宋体" w:eastAsia="宋体" w:cs="宋体"/>
          <w:b/>
          <w:sz w:val="24"/>
          <w:highlight w:val="none"/>
        </w:rPr>
      </w:pPr>
      <w:r>
        <w:rPr>
          <w:rFonts w:hint="eastAsia" w:ascii="宋体" w:hAnsi="宋体" w:eastAsia="宋体" w:cs="宋体"/>
          <w:b/>
          <w:sz w:val="24"/>
          <w:highlight w:val="none"/>
        </w:rPr>
        <w:t>磋商响应文件含有采购人不能接受的附加条件的，投标无效；</w:t>
      </w:r>
    </w:p>
    <w:p>
      <w:pPr>
        <w:spacing w:line="360" w:lineRule="auto"/>
        <w:ind w:firstLine="723" w:firstLineChars="300"/>
        <w:rPr>
          <w:rFonts w:hint="eastAsia" w:ascii="宋体" w:hAnsi="宋体" w:eastAsia="宋体" w:cs="宋体"/>
          <w:b/>
          <w:sz w:val="24"/>
          <w:szCs w:val="21"/>
          <w:highlight w:val="none"/>
        </w:rPr>
      </w:pPr>
      <w:r>
        <w:rPr>
          <w:rFonts w:hint="eastAsia" w:ascii="宋体" w:hAnsi="宋体" w:eastAsia="宋体" w:cs="宋体"/>
          <w:b/>
          <w:sz w:val="24"/>
          <w:highlight w:val="none"/>
        </w:rPr>
        <w:t>供应商提供虚假材料投标的，投标无效。</w:t>
      </w:r>
    </w:p>
    <w:p>
      <w:pPr>
        <w:pStyle w:val="39"/>
        <w:snapToGrid w:val="0"/>
        <w:spacing w:before="0"/>
        <w:ind w:firstLine="0" w:firstLineChars="0"/>
        <w:outlineLvl w:val="0"/>
        <w:rPr>
          <w:rFonts w:hint="eastAsia" w:ascii="宋体" w:hAnsi="宋体" w:eastAsia="宋体" w:cs="宋体"/>
          <w:b/>
          <w:szCs w:val="24"/>
          <w:highlight w:val="none"/>
        </w:rPr>
      </w:pPr>
      <w:r>
        <w:rPr>
          <w:rFonts w:hint="eastAsia" w:ascii="宋体" w:hAnsi="宋体" w:eastAsia="宋体" w:cs="宋体"/>
          <w:b/>
          <w:szCs w:val="24"/>
          <w:highlight w:val="none"/>
        </w:rPr>
        <w:t>12</w:t>
      </w:r>
      <w:r>
        <w:rPr>
          <w:rFonts w:hint="eastAsia" w:ascii="宋体" w:hAnsi="宋体" w:eastAsia="宋体" w:cs="宋体"/>
          <w:b/>
          <w:kern w:val="0"/>
          <w:szCs w:val="24"/>
          <w:highlight w:val="none"/>
          <w:lang w:val="zh-CN"/>
        </w:rPr>
        <w:t>.</w:t>
      </w:r>
      <w:r>
        <w:rPr>
          <w:rFonts w:hint="eastAsia" w:ascii="宋体" w:hAnsi="宋体" w:eastAsia="宋体" w:cs="宋体"/>
          <w:b/>
          <w:szCs w:val="24"/>
          <w:highlight w:val="none"/>
        </w:rPr>
        <w:t>磋商响应文件的编制</w:t>
      </w:r>
    </w:p>
    <w:p>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kern w:val="0"/>
          <w:sz w:val="24"/>
          <w:highlight w:val="none"/>
          <w:lang w:val="zh-CN"/>
        </w:rPr>
        <w:t>12.1磋商响应文件分为资格文件、商务技术文件、报价文件三部分。各供应商在编制磋商响应文件时请按照竞争性磋商文件第六部分规定的格式进行，混乱的编排导致磋商响应文件被误读或磋商小组查找不到有效文件是供应商的风险。</w:t>
      </w:r>
    </w:p>
    <w:p>
      <w:pPr>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13.磋商响应文件的签署、盖章</w:t>
      </w:r>
    </w:p>
    <w:p>
      <w:pPr>
        <w:pStyle w:val="39"/>
        <w:snapToGrid w:val="0"/>
        <w:spacing w:before="0"/>
        <w:ind w:firstLine="480"/>
        <w:rPr>
          <w:rFonts w:hint="eastAsia" w:ascii="宋体" w:hAnsi="宋体" w:eastAsia="宋体" w:cs="宋体"/>
          <w:b/>
          <w:highlight w:val="none"/>
        </w:rPr>
      </w:pPr>
      <w:r>
        <w:rPr>
          <w:rFonts w:hint="eastAsia" w:ascii="宋体" w:hAnsi="宋体" w:eastAsia="宋体" w:cs="宋体"/>
          <w:szCs w:val="24"/>
          <w:highlight w:val="none"/>
        </w:rPr>
        <w:t>磋商响应文件按照竞争性磋商文件第六部分格式要</w:t>
      </w:r>
      <w:r>
        <w:rPr>
          <w:rFonts w:hint="eastAsia" w:ascii="宋体" w:hAnsi="宋体" w:eastAsia="宋体" w:cs="宋体"/>
          <w:highlight w:val="none"/>
        </w:rPr>
        <w:t>求进行签署、盖章。</w:t>
      </w:r>
      <w:r>
        <w:rPr>
          <w:rFonts w:hint="eastAsia" w:ascii="宋体" w:hAnsi="宋体" w:eastAsia="宋体" w:cs="宋体"/>
          <w:b/>
          <w:highlight w:val="none"/>
        </w:rPr>
        <w:t>▲供应商的磋商响应文件未按照竞争性磋商文件要求签署、盖章的，其投标无效</w:t>
      </w:r>
      <w:r>
        <w:rPr>
          <w:rFonts w:hint="eastAsia" w:ascii="宋体" w:hAnsi="宋体" w:eastAsia="宋体" w:cs="宋体"/>
          <w:szCs w:val="24"/>
          <w:highlight w:val="none"/>
        </w:rPr>
        <w:t>。</w:t>
      </w:r>
    </w:p>
    <w:p>
      <w:pPr>
        <w:pStyle w:val="39"/>
        <w:numPr>
          <w:ilvl w:val="0"/>
          <w:numId w:val="6"/>
        </w:numPr>
        <w:spacing w:before="0"/>
        <w:ind w:firstLine="0" w:firstLineChars="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投标文件的份数</w:t>
      </w:r>
    </w:p>
    <w:p>
      <w:pPr>
        <w:pStyle w:val="39"/>
        <w:spacing w:before="0"/>
        <w:ind w:firstLine="480"/>
        <w:rPr>
          <w:rFonts w:hint="eastAsia" w:ascii="宋体" w:hAnsi="宋体" w:eastAsia="宋体" w:cs="宋体"/>
          <w:color w:val="000000"/>
          <w:kern w:val="0"/>
          <w:szCs w:val="24"/>
          <w:highlight w:val="none"/>
          <w:lang w:val="zh-CN"/>
        </w:rPr>
      </w:pPr>
      <w:r>
        <w:rPr>
          <w:rFonts w:hint="eastAsia" w:ascii="宋体" w:hAnsi="宋体" w:eastAsia="宋体" w:cs="宋体"/>
          <w:color w:val="000000"/>
          <w:kern w:val="0"/>
          <w:szCs w:val="24"/>
          <w:highlight w:val="none"/>
        </w:rPr>
        <w:t>14.1</w:t>
      </w:r>
      <w:r>
        <w:rPr>
          <w:rFonts w:hint="eastAsia" w:ascii="宋体" w:hAnsi="宋体" w:eastAsia="宋体" w:cs="宋体"/>
          <w:color w:val="000000"/>
          <w:kern w:val="0"/>
          <w:szCs w:val="24"/>
          <w:highlight w:val="none"/>
          <w:lang w:val="zh-CN"/>
        </w:rPr>
        <w:t>供应商应按照本招标文件规定的格式编制、装订磋商响应文件，磋商响应文件内容不完整、编排混乱导致磋商响应文件被误读、漏读或者查找不到相关内容的，是供应商的责任。</w:t>
      </w:r>
    </w:p>
    <w:p>
      <w:pPr>
        <w:pStyle w:val="6"/>
        <w:keepNext w:val="0"/>
        <w:keepLines w:val="0"/>
        <w:numPr>
          <w:ilvl w:val="4"/>
          <w:numId w:val="0"/>
        </w:numPr>
        <w:tabs>
          <w:tab w:val="left" w:pos="105"/>
        </w:tabs>
        <w:snapToGrid w:val="0"/>
        <w:spacing w:line="360" w:lineRule="auto"/>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rPr>
        <w:t xml:space="preserve">14.2 </w:t>
      </w:r>
      <w:r>
        <w:rPr>
          <w:rFonts w:hint="eastAsia" w:ascii="宋体" w:hAnsi="宋体" w:eastAsia="宋体" w:cs="宋体"/>
          <w:color w:val="000000"/>
          <w:kern w:val="0"/>
          <w:sz w:val="24"/>
          <w:highlight w:val="none"/>
          <w:lang w:val="zh-CN"/>
        </w:rPr>
        <w:t>供应商应按</w:t>
      </w:r>
      <w:r>
        <w:rPr>
          <w:rFonts w:hint="eastAsia" w:ascii="宋体" w:hAnsi="宋体" w:eastAsia="宋体" w:cs="宋体"/>
          <w:color w:val="000000"/>
          <w:kern w:val="0"/>
          <w:sz w:val="24"/>
          <w:highlight w:val="none"/>
        </w:rPr>
        <w:t>响应资格文件</w:t>
      </w:r>
      <w:r>
        <w:rPr>
          <w:rFonts w:hint="eastAsia" w:ascii="宋体" w:hAnsi="宋体" w:eastAsia="宋体" w:cs="宋体"/>
          <w:color w:val="000000"/>
          <w:kern w:val="0"/>
          <w:sz w:val="24"/>
          <w:highlight w:val="none"/>
          <w:lang w:val="zh-CN"/>
        </w:rPr>
        <w:t>、商务技术文件、报价文件正本各1份，副本各</w:t>
      </w:r>
      <w:r>
        <w:rPr>
          <w:rFonts w:hint="eastAsia" w:ascii="宋体" w:hAnsi="宋体" w:cs="宋体"/>
          <w:color w:val="000000"/>
          <w:kern w:val="0"/>
          <w:sz w:val="24"/>
          <w:highlight w:val="none"/>
          <w:lang w:val="en-US" w:eastAsia="zh-CN"/>
        </w:rPr>
        <w:t>4</w:t>
      </w:r>
      <w:r>
        <w:rPr>
          <w:rFonts w:hint="eastAsia" w:ascii="宋体" w:hAnsi="宋体" w:eastAsia="宋体" w:cs="宋体"/>
          <w:color w:val="000000"/>
          <w:kern w:val="0"/>
          <w:sz w:val="24"/>
          <w:highlight w:val="none"/>
          <w:lang w:val="zh-CN"/>
        </w:rPr>
        <w:t>份分别编制并单独装订成册，磋商响应文件的封面应注明“正本”、“副本”字样，使用胶装订本。</w:t>
      </w:r>
      <w:r>
        <w:rPr>
          <w:rFonts w:hint="eastAsia" w:ascii="宋体" w:hAnsi="宋体" w:eastAsia="宋体" w:cs="宋体"/>
          <w:color w:val="000000"/>
          <w:kern w:val="0"/>
          <w:sz w:val="24"/>
          <w:highlight w:val="none"/>
        </w:rPr>
        <w:t>磋商</w:t>
      </w:r>
      <w:r>
        <w:rPr>
          <w:rFonts w:hint="eastAsia" w:ascii="宋体" w:hAnsi="宋体" w:eastAsia="宋体" w:cs="宋体"/>
          <w:color w:val="000000"/>
          <w:kern w:val="0"/>
          <w:sz w:val="24"/>
          <w:highlight w:val="none"/>
          <w:lang w:val="zh-CN"/>
        </w:rPr>
        <w:t>响应文件的正本需打印或用不褪色的墨水填写。正本与副本内容不一致的，以正本为准。</w:t>
      </w:r>
    </w:p>
    <w:p>
      <w:pPr>
        <w:pStyle w:val="6"/>
        <w:keepNext w:val="0"/>
        <w:keepLines w:val="0"/>
        <w:numPr>
          <w:ilvl w:val="4"/>
          <w:numId w:val="0"/>
        </w:numPr>
        <w:tabs>
          <w:tab w:val="left" w:pos="105"/>
          <w:tab w:val="left" w:pos="2940"/>
        </w:tabs>
        <w:snapToGrid w:val="0"/>
        <w:spacing w:line="360" w:lineRule="auto"/>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rPr>
        <w:t>14.3 磋商</w:t>
      </w:r>
      <w:r>
        <w:rPr>
          <w:rFonts w:hint="eastAsia" w:ascii="宋体" w:hAnsi="宋体" w:eastAsia="宋体" w:cs="宋体"/>
          <w:color w:val="000000"/>
          <w:kern w:val="0"/>
          <w:sz w:val="24"/>
          <w:highlight w:val="none"/>
          <w:lang w:val="zh-CN"/>
        </w:rPr>
        <w:t>响应文件须由供应商在规定位置盖公章并由法定代表人或法定代表授权人签署，供应商应写全称。</w:t>
      </w:r>
    </w:p>
    <w:p>
      <w:pPr>
        <w:pStyle w:val="6"/>
        <w:keepNext w:val="0"/>
        <w:keepLines w:val="0"/>
        <w:numPr>
          <w:ilvl w:val="4"/>
          <w:numId w:val="0"/>
        </w:numPr>
        <w:tabs>
          <w:tab w:val="left" w:pos="105"/>
        </w:tabs>
        <w:snapToGrid w:val="0"/>
        <w:spacing w:line="360" w:lineRule="auto"/>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 磋商</w:t>
      </w:r>
      <w:r>
        <w:rPr>
          <w:rFonts w:hint="eastAsia" w:ascii="宋体" w:hAnsi="宋体" w:eastAsia="宋体" w:cs="宋体"/>
          <w:color w:val="000000"/>
          <w:kern w:val="0"/>
          <w:sz w:val="24"/>
          <w:highlight w:val="none"/>
          <w:lang w:val="zh-CN"/>
        </w:rPr>
        <w:t>响应文件不得涂改，若有修改错漏处，须加盖单位公章或者法定代表人或委托代理人签字或盖章。</w:t>
      </w:r>
      <w:r>
        <w:rPr>
          <w:rFonts w:hint="eastAsia" w:ascii="宋体" w:hAnsi="宋体" w:eastAsia="宋体" w:cs="宋体"/>
          <w:color w:val="000000"/>
          <w:kern w:val="0"/>
          <w:sz w:val="24"/>
          <w:highlight w:val="none"/>
        </w:rPr>
        <w:t>磋商</w:t>
      </w:r>
      <w:r>
        <w:rPr>
          <w:rFonts w:hint="eastAsia" w:ascii="宋体" w:hAnsi="宋体" w:eastAsia="宋体" w:cs="宋体"/>
          <w:color w:val="000000"/>
          <w:kern w:val="0"/>
          <w:sz w:val="24"/>
          <w:highlight w:val="none"/>
          <w:lang w:val="zh-CN"/>
        </w:rPr>
        <w:t>响应文件因字迹潦草或表达不清所引起的后果由供应商负责。</w:t>
      </w:r>
      <w:r>
        <w:rPr>
          <w:rFonts w:hint="eastAsia" w:ascii="宋体" w:hAnsi="宋体" w:eastAsia="宋体" w:cs="宋体"/>
          <w:color w:val="000000"/>
          <w:kern w:val="0"/>
          <w:sz w:val="24"/>
          <w:highlight w:val="none"/>
        </w:rPr>
        <w:t xml:space="preserve"> </w:t>
      </w:r>
    </w:p>
    <w:p>
      <w:pPr>
        <w:pStyle w:val="6"/>
        <w:keepNext w:val="0"/>
        <w:keepLines w:val="0"/>
        <w:numPr>
          <w:ilvl w:val="4"/>
          <w:numId w:val="0"/>
        </w:numPr>
        <w:tabs>
          <w:tab w:val="left" w:pos="105"/>
          <w:tab w:val="center" w:pos="4535"/>
        </w:tabs>
        <w:snapToGrid w:val="0"/>
        <w:spacing w:line="360" w:lineRule="auto"/>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15.</w:t>
      </w:r>
      <w:r>
        <w:rPr>
          <w:rFonts w:hint="eastAsia" w:ascii="宋体" w:hAnsi="宋体" w:eastAsia="宋体" w:cs="宋体"/>
          <w:color w:val="000000"/>
          <w:sz w:val="24"/>
          <w:highlight w:val="none"/>
        </w:rPr>
        <w:t>磋商</w:t>
      </w:r>
      <w:r>
        <w:rPr>
          <w:rFonts w:hint="eastAsia" w:ascii="宋体" w:hAnsi="宋体" w:eastAsia="宋体" w:cs="宋体"/>
          <w:color w:val="000000"/>
          <w:sz w:val="24"/>
          <w:highlight w:val="none"/>
          <w:lang w:val="zh-CN"/>
        </w:rPr>
        <w:t>响应文件的包装、递交</w:t>
      </w:r>
      <w:r>
        <w:rPr>
          <w:rFonts w:hint="eastAsia" w:ascii="宋体" w:hAnsi="宋体" w:eastAsia="宋体" w:cs="宋体"/>
          <w:color w:val="000000"/>
          <w:sz w:val="24"/>
          <w:highlight w:val="none"/>
          <w:lang w:val="zh-CN"/>
        </w:rPr>
        <w:tab/>
      </w:r>
      <w:r>
        <w:rPr>
          <w:rFonts w:hint="eastAsia" w:ascii="宋体" w:hAnsi="宋体" w:eastAsia="宋体" w:cs="宋体"/>
          <w:color w:val="000000"/>
          <w:sz w:val="24"/>
          <w:highlight w:val="none"/>
        </w:rPr>
        <w:t xml:space="preserve">                             </w:t>
      </w:r>
    </w:p>
    <w:p>
      <w:pPr>
        <w:pStyle w:val="6"/>
        <w:keepNext w:val="0"/>
        <w:keepLines w:val="0"/>
        <w:numPr>
          <w:ilvl w:val="4"/>
          <w:numId w:val="0"/>
        </w:numPr>
        <w:tabs>
          <w:tab w:val="left" w:pos="105"/>
          <w:tab w:val="center" w:pos="4535"/>
        </w:tabs>
        <w:snapToGrid w:val="0"/>
        <w:spacing w:line="360" w:lineRule="auto"/>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rPr>
        <w:t>15.1</w:t>
      </w:r>
      <w:r>
        <w:rPr>
          <w:rFonts w:hint="eastAsia" w:ascii="宋体" w:hAnsi="宋体" w:eastAsia="宋体" w:cs="宋体"/>
          <w:color w:val="000000"/>
          <w:kern w:val="0"/>
          <w:sz w:val="24"/>
          <w:highlight w:val="none"/>
          <w:lang w:val="zh-CN"/>
        </w:rPr>
        <w:t>供应商应按</w:t>
      </w:r>
      <w:r>
        <w:rPr>
          <w:rFonts w:hint="eastAsia" w:ascii="宋体" w:hAnsi="宋体" w:eastAsia="宋体" w:cs="宋体"/>
          <w:color w:val="000000"/>
          <w:kern w:val="0"/>
          <w:sz w:val="24"/>
          <w:highlight w:val="none"/>
        </w:rPr>
        <w:t>资格文件、商务技术</w:t>
      </w:r>
      <w:r>
        <w:rPr>
          <w:rFonts w:hint="eastAsia" w:ascii="宋体" w:hAnsi="宋体" w:eastAsia="宋体" w:cs="宋体"/>
          <w:color w:val="000000"/>
          <w:kern w:val="0"/>
          <w:sz w:val="24"/>
          <w:highlight w:val="none"/>
          <w:lang w:val="zh-CN"/>
        </w:rPr>
        <w:t>文件、报价文件三部分分别密封封装</w:t>
      </w:r>
      <w:r>
        <w:rPr>
          <w:rFonts w:hint="eastAsia" w:ascii="宋体" w:hAnsi="宋体" w:eastAsia="宋体" w:cs="宋体"/>
          <w:color w:val="000000"/>
          <w:sz w:val="24"/>
          <w:highlight w:val="none"/>
        </w:rPr>
        <w:t>磋商</w:t>
      </w:r>
      <w:r>
        <w:rPr>
          <w:rFonts w:hint="eastAsia" w:ascii="宋体" w:hAnsi="宋体" w:eastAsia="宋体" w:cs="宋体"/>
          <w:color w:val="000000"/>
          <w:kern w:val="0"/>
          <w:sz w:val="24"/>
          <w:highlight w:val="none"/>
          <w:lang w:val="zh-CN"/>
        </w:rPr>
        <w:t>响应文件，[参照《磋商响应文件外层包装封面格式》（见附件）的要求]在包装封面上注明供应商名称、供应商地址、磋商响应文件名称（</w:t>
      </w:r>
      <w:r>
        <w:rPr>
          <w:rFonts w:hint="eastAsia" w:ascii="宋体" w:hAnsi="宋体" w:eastAsia="宋体" w:cs="宋体"/>
          <w:color w:val="000000"/>
          <w:kern w:val="0"/>
          <w:sz w:val="24"/>
          <w:highlight w:val="none"/>
        </w:rPr>
        <w:t>资格文件</w:t>
      </w:r>
      <w:r>
        <w:rPr>
          <w:rFonts w:hint="eastAsia" w:ascii="宋体" w:hAnsi="宋体" w:eastAsia="宋体" w:cs="宋体"/>
          <w:color w:val="000000"/>
          <w:kern w:val="0"/>
          <w:sz w:val="24"/>
          <w:highlight w:val="none"/>
          <w:lang w:val="zh-CN"/>
        </w:rPr>
        <w:t>、商务技术文件等）、项目名称、项目编号等内容，并加盖供应商公章。</w:t>
      </w:r>
    </w:p>
    <w:p>
      <w:pPr>
        <w:pStyle w:val="6"/>
        <w:numPr>
          <w:ilvl w:val="4"/>
          <w:numId w:val="0"/>
        </w:numPr>
        <w:tabs>
          <w:tab w:val="left" w:pos="105"/>
        </w:tabs>
        <w:adjustRightInd/>
        <w:snapToGrid w:val="0"/>
        <w:spacing w:line="360" w:lineRule="auto"/>
        <w:ind w:firstLine="480" w:firstLineChars="2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rPr>
        <w:t xml:space="preserve">15.2 </w:t>
      </w:r>
      <w:r>
        <w:rPr>
          <w:rFonts w:hint="eastAsia" w:ascii="宋体" w:hAnsi="宋体" w:eastAsia="宋体" w:cs="宋体"/>
          <w:color w:val="000000"/>
          <w:kern w:val="0"/>
          <w:sz w:val="24"/>
          <w:highlight w:val="none"/>
          <w:lang w:val="zh-CN"/>
        </w:rPr>
        <w:t>未按规定密封或标记的磋商响应文件将有可能被拒绝，由此造成磋商响应文件被误投或提前拆封的风险由供应商承担。</w:t>
      </w:r>
    </w:p>
    <w:p>
      <w:pPr>
        <w:pStyle w:val="39"/>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16.磋商响应文件的无效处理</w:t>
      </w:r>
    </w:p>
    <w:p>
      <w:pPr>
        <w:pStyle w:val="15"/>
        <w:spacing w:line="360" w:lineRule="auto"/>
        <w:ind w:firstLine="360" w:firstLineChars="150"/>
        <w:rPr>
          <w:rFonts w:hint="eastAsia" w:ascii="宋体" w:hAnsi="宋体" w:eastAsia="宋体" w:cs="宋体"/>
          <w:szCs w:val="21"/>
          <w:highlight w:val="none"/>
          <w:lang w:eastAsia="zh-CN"/>
        </w:rPr>
      </w:pPr>
      <w:r>
        <w:rPr>
          <w:rFonts w:hint="eastAsia" w:ascii="宋体" w:hAnsi="宋体" w:eastAsia="宋体" w:cs="宋体"/>
          <w:szCs w:val="21"/>
          <w:highlight w:val="none"/>
        </w:rPr>
        <w:t>有竞争性磋商文件第四部分</w:t>
      </w:r>
      <w:r>
        <w:rPr>
          <w:rFonts w:hint="eastAsia" w:ascii="宋体" w:hAnsi="宋体" w:eastAsia="宋体" w:cs="宋体"/>
          <w:highlight w:val="none"/>
        </w:rPr>
        <w:t>第13项规定</w:t>
      </w:r>
      <w:r>
        <w:rPr>
          <w:rFonts w:hint="eastAsia" w:ascii="宋体" w:hAnsi="宋体" w:eastAsia="宋体" w:cs="宋体"/>
          <w:szCs w:val="21"/>
          <w:highlight w:val="none"/>
        </w:rPr>
        <w:t>的情形之一的，投标无效</w:t>
      </w:r>
      <w:r>
        <w:rPr>
          <w:rFonts w:hint="eastAsia" w:cs="宋体"/>
          <w:szCs w:val="21"/>
          <w:highlight w:val="none"/>
          <w:lang w:eastAsia="zh-CN"/>
        </w:rPr>
        <w:t>。</w:t>
      </w:r>
    </w:p>
    <w:p>
      <w:pPr>
        <w:pStyle w:val="39"/>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17.投标有效期</w:t>
      </w:r>
    </w:p>
    <w:p>
      <w:pPr>
        <w:spacing w:line="360" w:lineRule="auto"/>
        <w:ind w:firstLine="480" w:firstLineChars="200"/>
        <w:rPr>
          <w:rFonts w:hint="eastAsia" w:ascii="宋体" w:hAnsi="宋体" w:eastAsia="宋体" w:cs="宋体"/>
          <w:b/>
          <w:sz w:val="24"/>
          <w:szCs w:val="21"/>
          <w:highlight w:val="none"/>
        </w:rPr>
      </w:pPr>
      <w:r>
        <w:rPr>
          <w:rFonts w:hint="eastAsia" w:ascii="宋体" w:hAnsi="宋体" w:eastAsia="宋体" w:cs="宋体"/>
          <w:sz w:val="24"/>
          <w:szCs w:val="20"/>
          <w:highlight w:val="none"/>
        </w:rPr>
        <w:t>17.1投标有效期为从提交磋商响应文件的截止之日起90天。▲</w:t>
      </w:r>
      <w:r>
        <w:rPr>
          <w:rFonts w:hint="eastAsia" w:ascii="宋体" w:hAnsi="宋体" w:eastAsia="宋体" w:cs="宋体"/>
          <w:b/>
          <w:sz w:val="24"/>
          <w:szCs w:val="20"/>
          <w:highlight w:val="none"/>
        </w:rPr>
        <w:t>供应商的磋商响应文件中承</w:t>
      </w:r>
      <w:r>
        <w:rPr>
          <w:rFonts w:hint="eastAsia" w:ascii="宋体" w:hAnsi="宋体" w:eastAsia="宋体" w:cs="宋体"/>
          <w:b/>
          <w:sz w:val="24"/>
          <w:szCs w:val="21"/>
          <w:highlight w:val="none"/>
        </w:rPr>
        <w:t>诺的投标有效期少于竞争性磋商文件中载明的投标有效期的，投标无效。</w:t>
      </w:r>
    </w:p>
    <w:p>
      <w:pPr>
        <w:pStyle w:val="39"/>
        <w:spacing w:before="0"/>
        <w:ind w:firstLine="480"/>
        <w:rPr>
          <w:rFonts w:hint="eastAsia" w:ascii="宋体" w:hAnsi="宋体" w:eastAsia="宋体" w:cs="宋体"/>
          <w:highlight w:val="none"/>
        </w:rPr>
      </w:pPr>
      <w:r>
        <w:rPr>
          <w:rFonts w:hint="eastAsia" w:ascii="宋体" w:hAnsi="宋体" w:eastAsia="宋体" w:cs="宋体"/>
          <w:highlight w:val="none"/>
        </w:rPr>
        <w:t>17.2磋商响应文件合格投递后，自投标截止日期起，在投标有效期内有效。</w:t>
      </w:r>
    </w:p>
    <w:p>
      <w:pPr>
        <w:pStyle w:val="39"/>
        <w:spacing w:before="0"/>
        <w:ind w:firstLine="480"/>
        <w:rPr>
          <w:rFonts w:hint="eastAsia" w:ascii="宋体" w:hAnsi="宋体" w:eastAsia="宋体" w:cs="宋体"/>
          <w:b/>
          <w:sz w:val="32"/>
          <w:highlight w:val="none"/>
        </w:rPr>
      </w:pPr>
      <w:r>
        <w:rPr>
          <w:rFonts w:hint="eastAsia" w:ascii="宋体" w:hAnsi="宋体" w:eastAsia="宋体" w:cs="宋体"/>
          <w:highlight w:val="none"/>
        </w:rPr>
        <w:t>17.3在原定投标有效期满之前，如果出现特殊情况，采购机构可以以书面形式通知供应商延长投标有效期。供应商同意延长的，不得要求或被允许修改其磋商响应文件，供应商拒绝延长的，其投标无效。</w:t>
      </w:r>
    </w:p>
    <w:p>
      <w:pPr>
        <w:pStyle w:val="39"/>
        <w:keepNext w:val="0"/>
        <w:keepLines w:val="0"/>
        <w:pageBreakBefore w:val="0"/>
        <w:widowControl w:val="0"/>
        <w:kinsoku/>
        <w:wordWrap/>
        <w:overflowPunct/>
        <w:topLinePunct w:val="0"/>
        <w:autoSpaceDE/>
        <w:autoSpaceDN/>
        <w:bidi w:val="0"/>
        <w:adjustRightInd w:val="0"/>
        <w:snapToGrid/>
        <w:spacing w:before="0" w:beforeLines="400"/>
        <w:ind w:firstLine="1928" w:firstLineChars="600"/>
        <w:textAlignment w:val="auto"/>
        <w:rPr>
          <w:rFonts w:hint="eastAsia" w:ascii="宋体" w:hAnsi="宋体" w:eastAsia="宋体" w:cs="宋体"/>
          <w:b/>
          <w:sz w:val="32"/>
          <w:highlight w:val="none"/>
        </w:rPr>
      </w:pPr>
      <w:r>
        <w:rPr>
          <w:rFonts w:hint="eastAsia" w:ascii="宋体" w:hAnsi="宋体" w:eastAsia="宋体" w:cs="宋体"/>
          <w:b/>
          <w:sz w:val="32"/>
          <w:highlight w:val="none"/>
        </w:rPr>
        <w:t>四、开标、资格审查与信用信息查询</w:t>
      </w:r>
    </w:p>
    <w:p>
      <w:pPr>
        <w:pStyle w:val="43"/>
        <w:spacing w:before="0" w:line="360" w:lineRule="auto"/>
        <w:ind w:left="0" w:leftChars="0" w:firstLine="0" w:firstLineChars="0"/>
        <w:contextualSpacing/>
        <w:rPr>
          <w:rFonts w:hint="eastAsia" w:ascii="宋体" w:hAnsi="宋体" w:eastAsia="宋体" w:cs="宋体"/>
          <w:sz w:val="24"/>
          <w:highlight w:val="none"/>
        </w:rPr>
      </w:pPr>
      <w:r>
        <w:rPr>
          <w:rFonts w:hint="eastAsia" w:ascii="宋体" w:hAnsi="宋体" w:eastAsia="宋体" w:cs="宋体"/>
          <w:b/>
          <w:sz w:val="24"/>
          <w:szCs w:val="24"/>
          <w:highlight w:val="none"/>
        </w:rPr>
        <w:t>18.开标</w:t>
      </w:r>
      <w:r>
        <w:rPr>
          <w:rFonts w:hint="eastAsia" w:ascii="宋体" w:hAnsi="宋体" w:eastAsia="宋体" w:cs="宋体"/>
          <w:sz w:val="24"/>
          <w:highlight w:val="none"/>
        </w:rPr>
        <w:t xml:space="preserve"> </w:t>
      </w:r>
    </w:p>
    <w:p>
      <w:pPr>
        <w:pStyle w:val="43"/>
        <w:spacing w:before="0" w:line="360" w:lineRule="auto"/>
        <w:ind w:left="0"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18.1采购机构按照竞争性磋商文件规定的时间组织开标，所有供应商均应当准时参加。</w:t>
      </w:r>
    </w:p>
    <w:p>
      <w:pPr>
        <w:pStyle w:val="39"/>
        <w:spacing w:before="0"/>
        <w:ind w:firstLine="0" w:firstLineChars="0"/>
        <w:rPr>
          <w:rFonts w:hint="eastAsia"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19、资格审查</w:t>
      </w:r>
    </w:p>
    <w:p>
      <w:pPr>
        <w:pStyle w:val="39"/>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19.1开标后，采购人或采购机构将依法对供应商的资格进行审查。</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19.2</w:t>
      </w:r>
      <w:r>
        <w:rPr>
          <w:rFonts w:hint="eastAsia" w:ascii="宋体" w:hAnsi="宋体" w:eastAsia="宋体" w:cs="宋体"/>
          <w:sz w:val="24"/>
          <w:highlight w:val="none"/>
        </w:rPr>
        <w:t>采购人或采购机构依据法律法规和竞争性磋商文件的规定，对供应商的基本资格条件、特定资格条件进行审查。</w:t>
      </w:r>
    </w:p>
    <w:p>
      <w:pPr>
        <w:pStyle w:val="39"/>
        <w:spacing w:before="0"/>
        <w:ind w:firstLine="480"/>
        <w:rPr>
          <w:rFonts w:hint="eastAsia" w:ascii="宋体" w:hAnsi="宋体" w:eastAsia="宋体" w:cs="宋体"/>
          <w:highlight w:val="none"/>
        </w:rPr>
      </w:pPr>
      <w:r>
        <w:rPr>
          <w:rFonts w:hint="eastAsia" w:ascii="宋体" w:hAnsi="宋体" w:eastAsia="宋体" w:cs="宋体"/>
          <w:kern w:val="0"/>
          <w:szCs w:val="24"/>
          <w:highlight w:val="none"/>
        </w:rPr>
        <w:t>19.3供应商未按照竞争性磋商文件要求提供与</w:t>
      </w:r>
      <w:r>
        <w:rPr>
          <w:rFonts w:hint="eastAsia" w:ascii="宋体" w:hAnsi="宋体" w:eastAsia="宋体" w:cs="宋体"/>
          <w:highlight w:val="none"/>
        </w:rPr>
        <w:t>基本资格条件、特定资格条件相应的</w:t>
      </w:r>
      <w:r>
        <w:rPr>
          <w:rFonts w:hint="eastAsia" w:ascii="宋体" w:hAnsi="宋体" w:eastAsia="宋体" w:cs="宋体"/>
          <w:kern w:val="0"/>
          <w:szCs w:val="24"/>
          <w:highlight w:val="none"/>
        </w:rPr>
        <w:t>有效资格证明材料的，视为</w:t>
      </w:r>
      <w:r>
        <w:rPr>
          <w:rFonts w:hint="eastAsia" w:ascii="宋体" w:hAnsi="宋体" w:eastAsia="宋体" w:cs="宋体"/>
          <w:highlight w:val="none"/>
        </w:rPr>
        <w:t>供应商不具备竞争性磋商文件中规定的资格要求，其投标无效。</w:t>
      </w:r>
    </w:p>
    <w:p>
      <w:pPr>
        <w:pStyle w:val="39"/>
        <w:spacing w:before="0"/>
        <w:ind w:firstLine="480"/>
        <w:rPr>
          <w:rFonts w:hint="eastAsia" w:ascii="宋体" w:hAnsi="宋体" w:eastAsia="宋体" w:cs="宋体"/>
          <w:highlight w:val="none"/>
        </w:rPr>
      </w:pPr>
      <w:r>
        <w:rPr>
          <w:rFonts w:hint="eastAsia" w:ascii="宋体" w:hAnsi="宋体" w:eastAsia="宋体" w:cs="宋体"/>
          <w:kern w:val="0"/>
          <w:szCs w:val="24"/>
          <w:highlight w:val="none"/>
        </w:rPr>
        <w:t>19.</w:t>
      </w:r>
      <w:r>
        <w:rPr>
          <w:rFonts w:hint="eastAsia" w:ascii="宋体" w:hAnsi="宋体" w:eastAsia="宋体" w:cs="宋体"/>
          <w:highlight w:val="none"/>
        </w:rPr>
        <w:t>4对未通过资格审查的供应商，采购人或采购机构告知其未通过的原因。</w:t>
      </w:r>
    </w:p>
    <w:p>
      <w:pPr>
        <w:pStyle w:val="39"/>
        <w:spacing w:before="0"/>
        <w:ind w:left="0" w:leftChars="0"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20、信用信息查询</w:t>
      </w:r>
    </w:p>
    <w:p>
      <w:pPr>
        <w:pStyle w:val="39"/>
        <w:spacing w:before="0"/>
        <w:ind w:firstLine="495" w:firstLineChars="0"/>
        <w:rPr>
          <w:rFonts w:hint="eastAsia" w:ascii="宋体" w:hAnsi="宋体" w:eastAsia="宋体" w:cs="宋体"/>
          <w:kern w:val="0"/>
          <w:szCs w:val="24"/>
          <w:highlight w:val="none"/>
        </w:rPr>
      </w:pPr>
      <w:r>
        <w:rPr>
          <w:rFonts w:hint="eastAsia" w:ascii="宋体" w:hAnsi="宋体" w:eastAsia="宋体" w:cs="宋体"/>
          <w:kern w:val="0"/>
          <w:szCs w:val="24"/>
          <w:highlight w:val="none"/>
        </w:rPr>
        <w:t>20.1信用信息查询渠道及截止时间：采购机构将通过“信用中国”网站(www.creditchina.gov.cn)、中国政府采购网(www.ccgp.gov.cn)渠道查询供应商投标截止时间当天的信用记录。</w:t>
      </w:r>
    </w:p>
    <w:p>
      <w:pPr>
        <w:pStyle w:val="39"/>
        <w:spacing w:before="0"/>
        <w:ind w:firstLine="495" w:firstLineChars="0"/>
        <w:rPr>
          <w:rFonts w:hint="eastAsia" w:ascii="宋体" w:hAnsi="宋体" w:eastAsia="宋体" w:cs="宋体"/>
          <w:kern w:val="0"/>
          <w:szCs w:val="24"/>
          <w:highlight w:val="none"/>
        </w:rPr>
      </w:pPr>
      <w:r>
        <w:rPr>
          <w:rFonts w:hint="eastAsia" w:ascii="宋体" w:hAnsi="宋体" w:eastAsia="宋体" w:cs="宋体"/>
          <w:kern w:val="0"/>
          <w:szCs w:val="24"/>
          <w:highlight w:val="none"/>
        </w:rPr>
        <w:t>20.2信用信息查询记录和证据留存的具体方式：现场查询的供应商的信用记录、查询结果经确认后将与采购文件一起存档。</w:t>
      </w:r>
    </w:p>
    <w:p>
      <w:pPr>
        <w:pStyle w:val="39"/>
        <w:spacing w:before="0"/>
        <w:ind w:firstLine="495" w:firstLineChars="0"/>
        <w:rPr>
          <w:rFonts w:hint="eastAsia" w:ascii="宋体" w:hAnsi="宋体" w:eastAsia="宋体" w:cs="宋体"/>
          <w:kern w:val="0"/>
          <w:szCs w:val="24"/>
          <w:highlight w:val="none"/>
        </w:rPr>
      </w:pPr>
      <w:r>
        <w:rPr>
          <w:rFonts w:hint="eastAsia" w:ascii="宋体" w:hAnsi="宋体" w:eastAsia="宋体" w:cs="宋体"/>
          <w:kern w:val="0"/>
          <w:szCs w:val="24"/>
          <w:highlight w:val="none"/>
        </w:rPr>
        <w:t>20.3信用信息的使用规则：经查询列入失信被执行人名单、重大税收违法案件当事人名单、政府采购严重违法失信行为记录名单的供应商将被拒绝参与政府采购活动。</w:t>
      </w:r>
    </w:p>
    <w:p>
      <w:pPr>
        <w:keepNext w:val="0"/>
        <w:keepLines w:val="0"/>
        <w:pageBreakBefore w:val="0"/>
        <w:widowControl w:val="0"/>
        <w:kinsoku/>
        <w:wordWrap/>
        <w:overflowPunct/>
        <w:topLinePunct w:val="0"/>
        <w:autoSpaceDE/>
        <w:autoSpaceDN/>
        <w:bidi w:val="0"/>
        <w:adjustRightInd w:val="0"/>
        <w:snapToGrid w:val="0"/>
        <w:spacing w:before="0" w:beforeLines="300" w:line="360" w:lineRule="auto"/>
        <w:jc w:val="center"/>
        <w:textAlignment w:val="auto"/>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五、评标</w:t>
      </w:r>
    </w:p>
    <w:p>
      <w:pPr>
        <w:pStyle w:val="39"/>
        <w:spacing w:before="0"/>
        <w:ind w:firstLine="480"/>
        <w:rPr>
          <w:rFonts w:hint="eastAsia" w:ascii="宋体" w:hAnsi="宋体" w:eastAsia="宋体" w:cs="宋体"/>
          <w:kern w:val="0"/>
          <w:szCs w:val="24"/>
          <w:highlight w:val="none"/>
        </w:rPr>
      </w:pPr>
      <w:bookmarkStart w:id="12" w:name="_Toc91899903"/>
      <w:r>
        <w:rPr>
          <w:rFonts w:hint="eastAsia" w:ascii="宋体" w:hAnsi="宋体" w:eastAsia="宋体" w:cs="宋体"/>
          <w:kern w:val="0"/>
          <w:szCs w:val="24"/>
          <w:highlight w:val="none"/>
        </w:rPr>
        <w:t>21.1</w:t>
      </w:r>
      <w:bookmarkStart w:id="13" w:name="_Hlk95479524"/>
      <w:r>
        <w:rPr>
          <w:rFonts w:hint="eastAsia" w:ascii="宋体" w:hAnsi="宋体" w:eastAsia="宋体" w:cs="宋体"/>
          <w:kern w:val="0"/>
          <w:szCs w:val="24"/>
          <w:highlight w:val="none"/>
        </w:rPr>
        <w:t>竞争性磋商小组应当从质量和服务均能满足采购文件实质性响应要求的供应商中，按照评审得分由高到低的顺序推荐成交候选人，并编写评审报告。评审得分相同的，按照最后报价由低到高的顺序推荐。评审得分且最后报价相同的，按照技术指标优劣顺序推荐。</w:t>
      </w:r>
    </w:p>
    <w:bookmarkEnd w:id="13"/>
    <w:p>
      <w:pPr>
        <w:pStyle w:val="39"/>
        <w:snapToGrid w:val="0"/>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21.2评审要求。详见采购文件“第四部分”。</w:t>
      </w:r>
    </w:p>
    <w:p>
      <w:pPr>
        <w:spacing w:line="360" w:lineRule="auto"/>
        <w:rPr>
          <w:rFonts w:hint="eastAsia" w:ascii="宋体" w:hAnsi="宋体" w:eastAsia="宋体" w:cs="宋体"/>
          <w:b/>
          <w:sz w:val="24"/>
          <w:highlight w:val="none"/>
        </w:rPr>
      </w:pPr>
    </w:p>
    <w:p>
      <w:pPr>
        <w:keepNext w:val="0"/>
        <w:keepLines w:val="0"/>
        <w:pageBreakBefore w:val="0"/>
        <w:widowControl w:val="0"/>
        <w:kinsoku/>
        <w:wordWrap/>
        <w:overflowPunct/>
        <w:topLinePunct w:val="0"/>
        <w:autoSpaceDE/>
        <w:autoSpaceDN/>
        <w:bidi w:val="0"/>
        <w:adjustRightInd w:val="0"/>
        <w:snapToGrid w:val="0"/>
        <w:spacing w:before="0" w:beforeLines="100" w:line="360" w:lineRule="auto"/>
        <w:jc w:val="center"/>
        <w:textAlignment w:val="auto"/>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六、定标</w:t>
      </w:r>
    </w:p>
    <w:p>
      <w:pPr>
        <w:pStyle w:val="15"/>
        <w:spacing w:line="360" w:lineRule="auto"/>
        <w:ind w:left="479" w:hanging="479" w:hangingChars="199"/>
        <w:rPr>
          <w:rFonts w:hint="eastAsia" w:ascii="宋体" w:hAnsi="宋体" w:eastAsia="宋体" w:cs="宋体"/>
          <w:b/>
          <w:highlight w:val="none"/>
        </w:rPr>
      </w:pPr>
      <w:r>
        <w:rPr>
          <w:rFonts w:hint="eastAsia" w:ascii="宋体" w:hAnsi="宋体" w:eastAsia="宋体" w:cs="宋体"/>
          <w:b/>
          <w:highlight w:val="none"/>
        </w:rPr>
        <w:t>22. 确定中标供应商</w:t>
      </w:r>
    </w:p>
    <w:p>
      <w:pPr>
        <w:pStyle w:val="39"/>
        <w:snapToGrid w:val="0"/>
        <w:spacing w:before="0"/>
        <w:ind w:firstLine="480"/>
        <w:rPr>
          <w:rFonts w:hint="eastAsia" w:ascii="宋体" w:hAnsi="宋体" w:eastAsia="宋体" w:cs="宋体"/>
          <w:b/>
          <w:szCs w:val="24"/>
          <w:highlight w:val="none"/>
        </w:rPr>
      </w:pPr>
      <w:r>
        <w:rPr>
          <w:rFonts w:hint="eastAsia" w:ascii="宋体" w:hAnsi="宋体" w:eastAsia="宋体" w:cs="宋体"/>
          <w:szCs w:val="24"/>
          <w:highlight w:val="none"/>
        </w:rPr>
        <w:t>采购人将自收到评审报告之日起5个工作日内在评审报告推荐的中标候选人中按顺序确定中标供应商。</w:t>
      </w:r>
    </w:p>
    <w:p>
      <w:pPr>
        <w:pStyle w:val="39"/>
        <w:snapToGrid w:val="0"/>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23. 中标通知与中标结果公告</w:t>
      </w:r>
    </w:p>
    <w:p>
      <w:pPr>
        <w:widowControl/>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23.1自中标人确定之日起2个工作日内，采购机构向中标人发出中标通知书，同时编制发布采购结果公告。采购机构也可以以纸质形式进行中标通知。</w:t>
      </w:r>
    </w:p>
    <w:p>
      <w:pPr>
        <w:widowControl/>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23.2中标结果公告内容包括采购人及其委托的采购机构的名称、地址、联系方式，</w:t>
      </w:r>
      <w:r>
        <w:rPr>
          <w:rFonts w:hint="eastAsia" w:ascii="宋体" w:hAnsi="宋体" w:eastAsia="宋体" w:cs="宋体"/>
          <w:sz w:val="24"/>
          <w:highlight w:val="none"/>
          <w:lang w:eastAsia="zh-CN"/>
        </w:rPr>
        <w:t>项目名称</w:t>
      </w:r>
      <w:r>
        <w:rPr>
          <w:rFonts w:hint="eastAsia" w:ascii="宋体" w:hAnsi="宋体" w:eastAsia="宋体" w:cs="宋体"/>
          <w:sz w:val="24"/>
          <w:highlight w:val="none"/>
        </w:rPr>
        <w:t>和项目编号，中标人名称、地址和中标金额。</w:t>
      </w:r>
    </w:p>
    <w:p>
      <w:pPr>
        <w:widowControl/>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23.1公告期限为1个工作日。</w:t>
      </w:r>
    </w:p>
    <w:p>
      <w:pPr>
        <w:pStyle w:val="35"/>
        <w:rPr>
          <w:rFonts w:hint="eastAsia"/>
        </w:rPr>
      </w:pPr>
    </w:p>
    <w:p>
      <w:pPr>
        <w:keepNext w:val="0"/>
        <w:keepLines w:val="0"/>
        <w:pageBreakBefore w:val="0"/>
        <w:widowControl w:val="0"/>
        <w:kinsoku/>
        <w:wordWrap/>
        <w:overflowPunct/>
        <w:topLinePunct w:val="0"/>
        <w:autoSpaceDE/>
        <w:autoSpaceDN/>
        <w:bidi w:val="0"/>
        <w:adjustRightInd w:val="0"/>
        <w:snapToGrid w:val="0"/>
        <w:spacing w:before="0" w:beforeLines="300" w:line="360" w:lineRule="auto"/>
        <w:ind w:left="120" w:leftChars="57" w:firstLine="482" w:firstLineChars="150"/>
        <w:jc w:val="center"/>
        <w:textAlignment w:val="auto"/>
        <w:rPr>
          <w:rFonts w:hint="eastAsia" w:ascii="宋体" w:hAnsi="宋体" w:eastAsia="宋体" w:cs="宋体"/>
          <w:b/>
          <w:sz w:val="32"/>
          <w:highlight w:val="none"/>
        </w:rPr>
      </w:pPr>
      <w:r>
        <w:rPr>
          <w:rFonts w:hint="eastAsia" w:ascii="宋体" w:hAnsi="宋体" w:eastAsia="宋体" w:cs="宋体"/>
          <w:b/>
          <w:sz w:val="32"/>
          <w:highlight w:val="none"/>
        </w:rPr>
        <w:t>七、合同授予</w:t>
      </w:r>
    </w:p>
    <w:p>
      <w:pPr>
        <w:pStyle w:val="15"/>
        <w:spacing w:line="360" w:lineRule="auto"/>
        <w:ind w:left="479" w:hanging="479" w:hangingChars="199"/>
        <w:rPr>
          <w:rFonts w:hint="eastAsia" w:ascii="宋体" w:hAnsi="宋体" w:eastAsia="宋体" w:cs="宋体"/>
          <w:b/>
          <w:highlight w:val="none"/>
        </w:rPr>
      </w:pPr>
      <w:r>
        <w:rPr>
          <w:rFonts w:hint="eastAsia" w:ascii="宋体" w:hAnsi="宋体" w:eastAsia="宋体" w:cs="宋体"/>
          <w:b/>
          <w:highlight w:val="none"/>
        </w:rPr>
        <w:t xml:space="preserve">24. </w:t>
      </w:r>
      <w:r>
        <w:rPr>
          <w:rFonts w:hint="eastAsia" w:ascii="宋体" w:hAnsi="宋体" w:eastAsia="宋体" w:cs="宋体"/>
          <w:highlight w:val="none"/>
        </w:rPr>
        <w:t>合同主要条款详见第五部分拟签订的合同文本。</w:t>
      </w:r>
    </w:p>
    <w:p>
      <w:pPr>
        <w:pStyle w:val="15"/>
        <w:spacing w:line="360" w:lineRule="auto"/>
        <w:ind w:left="479" w:hanging="479" w:hangingChars="199"/>
        <w:rPr>
          <w:rFonts w:hint="eastAsia" w:ascii="宋体" w:hAnsi="宋体" w:eastAsia="宋体" w:cs="宋体"/>
          <w:b/>
          <w:highlight w:val="none"/>
        </w:rPr>
      </w:pPr>
      <w:r>
        <w:rPr>
          <w:rFonts w:hint="eastAsia" w:ascii="宋体" w:hAnsi="宋体" w:eastAsia="宋体" w:cs="宋体"/>
          <w:b/>
          <w:highlight w:val="none"/>
        </w:rPr>
        <w:t>25. 合同的签订</w:t>
      </w:r>
    </w:p>
    <w:p>
      <w:pPr>
        <w:widowControl/>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sz w:val="24"/>
          <w:highlight w:val="none"/>
        </w:rPr>
        <w:t>25.1</w:t>
      </w:r>
      <w:r>
        <w:rPr>
          <w:rFonts w:hint="eastAsia" w:ascii="宋体" w:hAnsi="宋体" w:eastAsia="宋体" w:cs="宋体"/>
          <w:kern w:val="0"/>
          <w:sz w:val="24"/>
          <w:highlight w:val="none"/>
        </w:rPr>
        <w:t xml:space="preserve"> 采购人与中标人应当在中标通知书发出之日起三十日内，按照竞争性磋商文件确定的事项签订采购合同，并在合同签订之日起2个工作日内依法发布合同公告。</w:t>
      </w:r>
    </w:p>
    <w:p>
      <w:pPr>
        <w:pStyle w:val="39"/>
        <w:snapToGrid w:val="0"/>
        <w:spacing w:before="0"/>
        <w:ind w:firstLine="480"/>
        <w:rPr>
          <w:rFonts w:hint="eastAsia" w:ascii="宋体" w:hAnsi="宋体" w:eastAsia="宋体" w:cs="宋体"/>
          <w:kern w:val="0"/>
          <w:highlight w:val="none"/>
          <w:lang w:val="zh-CN"/>
        </w:rPr>
      </w:pPr>
      <w:r>
        <w:rPr>
          <w:rFonts w:hint="eastAsia" w:ascii="宋体" w:hAnsi="宋体" w:eastAsia="宋体" w:cs="宋体"/>
          <w:kern w:val="0"/>
          <w:highlight w:val="none"/>
          <w:lang w:val="zh-CN"/>
        </w:rPr>
        <w:t>25.2中标人按规定的日期、时间、地点，由法定代表人或其授权代表与采购人代表签订合同。</w:t>
      </w:r>
    </w:p>
    <w:p>
      <w:pPr>
        <w:pStyle w:val="39"/>
        <w:snapToGrid w:val="0"/>
        <w:spacing w:before="0"/>
        <w:ind w:firstLine="480"/>
        <w:rPr>
          <w:rFonts w:hint="eastAsia" w:ascii="宋体" w:hAnsi="宋体" w:eastAsia="宋体" w:cs="宋体"/>
          <w:highlight w:val="none"/>
        </w:rPr>
      </w:pPr>
      <w:r>
        <w:rPr>
          <w:rFonts w:hint="eastAsia" w:ascii="宋体" w:hAnsi="宋体" w:eastAsia="宋体" w:cs="宋体"/>
          <w:highlight w:val="none"/>
        </w:rPr>
        <w:t>25.3如签订合同并生效后，供应商无故拒绝或延期，除按照合同条款处理外，列入不良行为记录一次，并给予通报。</w:t>
      </w:r>
    </w:p>
    <w:p>
      <w:pPr>
        <w:pStyle w:val="39"/>
        <w:snapToGrid w:val="0"/>
        <w:spacing w:before="0"/>
        <w:ind w:firstLine="480"/>
        <w:rPr>
          <w:rFonts w:hint="eastAsia" w:ascii="宋体" w:hAnsi="宋体" w:eastAsia="宋体" w:cs="宋体"/>
          <w:highlight w:val="none"/>
        </w:rPr>
      </w:pPr>
      <w:r>
        <w:rPr>
          <w:rFonts w:hint="eastAsia" w:ascii="宋体" w:hAnsi="宋体" w:eastAsia="宋体" w:cs="宋体"/>
          <w:highlight w:val="none"/>
        </w:rPr>
        <w:t>25.4中标供应商拒绝与采购人签订合同的，采购人可以按照评审报告推荐的中标或者成交候选人名单排序，确定下一候选人为中标供应商，也可以重新开展采购活动。</w:t>
      </w:r>
    </w:p>
    <w:p>
      <w:pPr>
        <w:pStyle w:val="39"/>
        <w:snapToGrid w:val="0"/>
        <w:spacing w:before="0" w:after="120"/>
        <w:ind w:firstLine="480"/>
        <w:rPr>
          <w:rFonts w:hint="eastAsia" w:ascii="宋体" w:hAnsi="宋体" w:eastAsia="宋体" w:cs="宋体"/>
          <w:highlight w:val="none"/>
        </w:rPr>
      </w:pPr>
      <w:r>
        <w:rPr>
          <w:rFonts w:hint="eastAsia" w:ascii="宋体" w:hAnsi="宋体" w:eastAsia="宋体" w:cs="宋体"/>
          <w:highlight w:val="none"/>
        </w:rPr>
        <w:t>25.5采购合同由采购人与中标供应商根据竞争性磋商文件、磋商响应文件签订。</w:t>
      </w:r>
    </w:p>
    <w:bookmarkEnd w:id="10"/>
    <w:bookmarkEnd w:id="11"/>
    <w:bookmarkEnd w:id="12"/>
    <w:p>
      <w:pPr>
        <w:spacing w:line="360" w:lineRule="auto"/>
        <w:jc w:val="center"/>
        <w:outlineLvl w:val="0"/>
        <w:rPr>
          <w:rFonts w:hint="eastAsia" w:ascii="宋体" w:hAnsi="宋体" w:eastAsia="宋体" w:cs="宋体"/>
          <w:b/>
          <w:sz w:val="36"/>
          <w:szCs w:val="36"/>
          <w:highlight w:val="none"/>
        </w:rPr>
      </w:pPr>
    </w:p>
    <w:p>
      <w:pPr>
        <w:spacing w:line="360" w:lineRule="auto"/>
        <w:jc w:val="center"/>
        <w:outlineLvl w:val="0"/>
        <w:rPr>
          <w:rFonts w:hint="eastAsia" w:ascii="宋体" w:hAnsi="宋体" w:eastAsia="宋体" w:cs="宋体"/>
          <w:b/>
          <w:sz w:val="36"/>
          <w:szCs w:val="36"/>
          <w:highlight w:val="none"/>
        </w:rPr>
      </w:pPr>
    </w:p>
    <w:p>
      <w:pPr>
        <w:spacing w:line="360" w:lineRule="auto"/>
        <w:jc w:val="center"/>
        <w:outlineLvl w:val="0"/>
        <w:rPr>
          <w:rFonts w:hint="eastAsia" w:ascii="宋体" w:hAnsi="宋体" w:eastAsia="宋体" w:cs="宋体"/>
          <w:b/>
          <w:sz w:val="36"/>
          <w:szCs w:val="36"/>
          <w:highlight w:val="none"/>
        </w:rPr>
      </w:pPr>
    </w:p>
    <w:p>
      <w:pPr>
        <w:spacing w:line="360" w:lineRule="auto"/>
        <w:jc w:val="center"/>
        <w:outlineLvl w:val="0"/>
        <w:rPr>
          <w:rFonts w:hint="eastAsia" w:ascii="宋体" w:hAnsi="宋体" w:eastAsia="宋体" w:cs="宋体"/>
          <w:b/>
          <w:sz w:val="36"/>
          <w:szCs w:val="36"/>
          <w:highlight w:val="none"/>
        </w:rPr>
      </w:pPr>
    </w:p>
    <w:p>
      <w:pPr>
        <w:spacing w:line="360" w:lineRule="auto"/>
        <w:jc w:val="center"/>
        <w:outlineLvl w:val="0"/>
        <w:rPr>
          <w:rFonts w:hint="eastAsia" w:ascii="宋体" w:hAnsi="宋体" w:eastAsia="宋体" w:cs="宋体"/>
          <w:b/>
          <w:sz w:val="36"/>
          <w:szCs w:val="36"/>
          <w:highlight w:val="none"/>
        </w:rPr>
      </w:pPr>
    </w:p>
    <w:p>
      <w:pPr>
        <w:spacing w:line="360" w:lineRule="auto"/>
        <w:jc w:val="center"/>
        <w:outlineLvl w:val="0"/>
        <w:rPr>
          <w:rFonts w:hint="eastAsia" w:ascii="宋体" w:hAnsi="宋体" w:eastAsia="宋体" w:cs="宋体"/>
          <w:b/>
          <w:sz w:val="36"/>
          <w:szCs w:val="36"/>
          <w:highlight w:val="none"/>
        </w:rPr>
      </w:pPr>
    </w:p>
    <w:p>
      <w:pPr>
        <w:spacing w:line="360" w:lineRule="auto"/>
        <w:jc w:val="center"/>
        <w:outlineLvl w:val="0"/>
        <w:rPr>
          <w:rFonts w:hint="eastAsia" w:ascii="宋体" w:hAnsi="宋体" w:eastAsia="宋体" w:cs="宋体"/>
          <w:b/>
          <w:sz w:val="36"/>
          <w:szCs w:val="36"/>
          <w:highlight w:val="none"/>
        </w:rPr>
      </w:pPr>
    </w:p>
    <w:p>
      <w:pPr>
        <w:spacing w:line="360" w:lineRule="auto"/>
        <w:jc w:val="center"/>
        <w:outlineLvl w:val="0"/>
        <w:rPr>
          <w:rFonts w:hint="eastAsia" w:ascii="宋体" w:hAnsi="宋体" w:eastAsia="宋体" w:cs="宋体"/>
          <w:b/>
          <w:sz w:val="36"/>
          <w:szCs w:val="36"/>
          <w:highlight w:val="none"/>
        </w:rPr>
      </w:pPr>
    </w:p>
    <w:p>
      <w:pPr>
        <w:pStyle w:val="2"/>
        <w:numPr>
          <w:ilvl w:val="1"/>
          <w:numId w:val="0"/>
        </w:numPr>
        <w:ind w:leftChars="0"/>
        <w:rPr>
          <w:rFonts w:hint="eastAsia"/>
        </w:rPr>
      </w:pPr>
    </w:p>
    <w:p>
      <w:pPr>
        <w:rPr>
          <w:rFonts w:hint="eastAsia"/>
        </w:rPr>
      </w:pPr>
    </w:p>
    <w:p>
      <w:pPr>
        <w:pStyle w:val="35"/>
        <w:rPr>
          <w:rFonts w:hint="eastAsia"/>
        </w:rPr>
      </w:pPr>
    </w:p>
    <w:p>
      <w:pPr>
        <w:rPr>
          <w:rFonts w:hint="eastAsia"/>
        </w:rPr>
      </w:pPr>
    </w:p>
    <w:p>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第三部分   采购需求</w:t>
      </w:r>
    </w:p>
    <w:p>
      <w:pPr>
        <w:snapToGrid w:val="0"/>
        <w:spacing w:line="38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本技术（服务）要求适用于《</w:t>
      </w:r>
      <w:r>
        <w:rPr>
          <w:rFonts w:hint="eastAsia" w:ascii="宋体" w:hAnsi="宋体" w:eastAsia="宋体" w:cs="Times New Roman"/>
          <w:sz w:val="24"/>
          <w:szCs w:val="24"/>
          <w:lang w:eastAsia="zh-CN"/>
          <w14:ligatures w14:val="none"/>
        </w:rPr>
        <w:t>桐庐农商银行守押寄库服务采购项目</w:t>
      </w:r>
      <w:r>
        <w:rPr>
          <w:rFonts w:hint="eastAsia" w:ascii="宋体" w:hAnsi="宋体" w:eastAsia="宋体" w:cs="Times New Roman"/>
          <w:sz w:val="24"/>
          <w:szCs w:val="24"/>
          <w14:ligatures w14:val="none"/>
        </w:rPr>
        <w:t>》的采购，是交易发起人为该项目的供应商提出的技术（服务）规范要求，为供应商完成投标文件的依据。本章所提出的内容为本项目的最低要求，供应商必须认真阅读以下内容，以免造成损失。</w:t>
      </w:r>
      <w:bookmarkStart w:id="14" w:name="_Toc282640725"/>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15" w:name="_Toc402872196"/>
      <w:bookmarkStart w:id="16" w:name="_Toc493761850"/>
      <w:bookmarkStart w:id="17" w:name="_Toc414960368"/>
      <w:bookmarkStart w:id="18" w:name="_Toc7249"/>
      <w:r>
        <w:rPr>
          <w:rFonts w:hint="eastAsia" w:ascii="宋体" w:hAnsi="宋体" w:eastAsia="宋体" w:cs="Times New Roman"/>
          <w:b/>
          <w:bCs/>
          <w:kern w:val="0"/>
          <w:sz w:val="24"/>
          <w:szCs w:val="24"/>
          <w14:ligatures w14:val="none"/>
        </w:rPr>
        <w:t>一、项目概况</w:t>
      </w:r>
      <w:bookmarkEnd w:id="15"/>
      <w:bookmarkEnd w:id="16"/>
      <w:bookmarkEnd w:id="17"/>
      <w:bookmarkEnd w:id="18"/>
    </w:p>
    <w:p>
      <w:pPr>
        <w:spacing w:line="380" w:lineRule="exact"/>
        <w:ind w:firstLine="480" w:firstLineChars="200"/>
        <w:rPr>
          <w:rFonts w:ascii="宋体" w:hAnsi="宋体" w:eastAsia="宋体" w:cs="Times New Roman"/>
          <w:bCs/>
          <w:kern w:val="0"/>
          <w:sz w:val="24"/>
          <w:szCs w:val="24"/>
          <w14:ligatures w14:val="none"/>
        </w:rPr>
      </w:pPr>
      <w:r>
        <w:rPr>
          <w:rFonts w:hint="eastAsia" w:ascii="宋体" w:hAnsi="宋体" w:eastAsia="宋体" w:cs="Times New Roman"/>
          <w:bCs/>
          <w:kern w:val="0"/>
          <w:sz w:val="24"/>
          <w:szCs w:val="24"/>
          <w14:ligatures w14:val="none"/>
        </w:rPr>
        <w:t>浙江桐庐农村商业银行股份有限公司（简称桐庐农商银行），是经银行业监督管理机构批准，由境内自然人、非金融机构企业法人和银行业监督管理机构认可的其他发起人共同发起设立，并在市场监督管理部门依法注册登记的股份制银行业金融机构。现有</w:t>
      </w:r>
      <w:r>
        <w:rPr>
          <w:rFonts w:ascii="宋体" w:hAnsi="宋体" w:eastAsia="宋体" w:cs="Times New Roman"/>
          <w:bCs/>
          <w:kern w:val="0"/>
          <w:sz w:val="24"/>
          <w:szCs w:val="24"/>
          <w14:ligatures w14:val="none"/>
        </w:rPr>
        <w:t>51</w:t>
      </w:r>
      <w:r>
        <w:rPr>
          <w:rFonts w:hint="eastAsia" w:ascii="宋体" w:hAnsi="宋体" w:eastAsia="宋体" w:cs="Times New Roman"/>
          <w:bCs/>
          <w:kern w:val="0"/>
          <w:sz w:val="24"/>
          <w:szCs w:val="24"/>
          <w14:ligatures w14:val="none"/>
        </w:rPr>
        <w:t>家分支机构，押运线路</w:t>
      </w:r>
      <w:r>
        <w:rPr>
          <w:rFonts w:ascii="宋体" w:hAnsi="宋体" w:eastAsia="宋体" w:cs="Times New Roman"/>
          <w:bCs/>
          <w:kern w:val="0"/>
          <w:sz w:val="24"/>
          <w:szCs w:val="24"/>
          <w14:ligatures w14:val="none"/>
        </w:rPr>
        <w:t>7</w:t>
      </w:r>
      <w:r>
        <w:rPr>
          <w:rFonts w:hint="eastAsia" w:ascii="宋体" w:hAnsi="宋体" w:eastAsia="宋体" w:cs="Times New Roman"/>
          <w:bCs/>
          <w:kern w:val="0"/>
          <w:sz w:val="24"/>
          <w:szCs w:val="24"/>
          <w14:ligatures w14:val="none"/>
        </w:rPr>
        <w:t>条。</w:t>
      </w:r>
    </w:p>
    <w:p>
      <w:pPr>
        <w:numPr>
          <w:ilvl w:val="0"/>
          <w:numId w:val="7"/>
        </w:numPr>
        <w:spacing w:line="380" w:lineRule="exact"/>
        <w:ind w:firstLine="480" w:firstLineChars="200"/>
        <w:rPr>
          <w:rFonts w:ascii="宋体" w:hAnsi="宋体" w:eastAsia="宋体" w:cs="Times New Roman"/>
          <w:bCs/>
          <w:kern w:val="0"/>
          <w:sz w:val="24"/>
          <w:szCs w:val="24"/>
          <w14:ligatures w14:val="none"/>
        </w:rPr>
      </w:pPr>
      <w:r>
        <w:rPr>
          <w:rFonts w:hint="eastAsia" w:ascii="宋体" w:hAnsi="宋体" w:eastAsia="宋体" w:cs="Times New Roman"/>
          <w:bCs/>
          <w:kern w:val="0"/>
          <w:sz w:val="24"/>
          <w:szCs w:val="24"/>
          <w14:ligatures w14:val="none"/>
        </w:rPr>
        <w:t>项目编号：</w:t>
      </w:r>
      <w:r>
        <w:rPr>
          <w:rFonts w:hint="eastAsia" w:ascii="宋体" w:hAnsi="宋体" w:eastAsia="宋体" w:cs="宋体"/>
          <w:color w:val="000000"/>
          <w:kern w:val="0"/>
          <w:sz w:val="24"/>
          <w:szCs w:val="24"/>
          <w:lang w:val="en-US" w:eastAsia="zh-CN"/>
          <w14:ligatures w14:val="none"/>
        </w:rPr>
        <w:t>CTJSCG-2024-001-1-1</w:t>
      </w:r>
    </w:p>
    <w:p>
      <w:pPr>
        <w:numPr>
          <w:ilvl w:val="0"/>
          <w:numId w:val="7"/>
        </w:numPr>
        <w:spacing w:line="380" w:lineRule="exact"/>
        <w:ind w:firstLine="480" w:firstLineChars="200"/>
        <w:rPr>
          <w:rFonts w:ascii="宋体" w:hAnsi="宋体" w:eastAsia="宋体" w:cs="Times New Roman"/>
          <w:bCs/>
          <w:kern w:val="0"/>
          <w:sz w:val="24"/>
          <w:szCs w:val="24"/>
          <w14:ligatures w14:val="none"/>
        </w:rPr>
      </w:pPr>
      <w:r>
        <w:rPr>
          <w:rFonts w:hint="eastAsia" w:ascii="宋体" w:hAnsi="宋体" w:eastAsia="宋体" w:cs="Times New Roman"/>
          <w:bCs/>
          <w:kern w:val="0"/>
          <w:sz w:val="24"/>
          <w:szCs w:val="24"/>
          <w14:ligatures w14:val="none"/>
        </w:rPr>
        <w:t>项目名称：</w:t>
      </w:r>
      <w:r>
        <w:rPr>
          <w:rFonts w:hint="eastAsia" w:ascii="宋体" w:hAnsi="宋体" w:eastAsia="宋体" w:cs="Times New Roman"/>
          <w:bCs/>
          <w:kern w:val="0"/>
          <w:sz w:val="24"/>
          <w:szCs w:val="24"/>
          <w:lang w:eastAsia="zh-CN"/>
          <w14:ligatures w14:val="none"/>
        </w:rPr>
        <w:t>桐庐农商银行守押寄库服务采购项目</w:t>
      </w:r>
    </w:p>
    <w:bookmarkEnd w:id="14"/>
    <w:p>
      <w:pPr>
        <w:spacing w:line="380" w:lineRule="exact"/>
        <w:ind w:firstLine="480" w:firstLineChars="200"/>
        <w:rPr>
          <w:rFonts w:ascii="宋体" w:hAnsi="宋体" w:eastAsia="宋体" w:cs="Times New Roman"/>
          <w:bCs/>
          <w:kern w:val="0"/>
          <w:sz w:val="24"/>
          <w:szCs w:val="24"/>
          <w14:ligatures w14:val="none"/>
        </w:rPr>
      </w:pPr>
      <w:r>
        <w:rPr>
          <w:rFonts w:hint="eastAsia" w:ascii="宋体" w:hAnsi="宋体" w:eastAsia="宋体" w:cs="Times New Roman"/>
          <w:bCs/>
          <w:kern w:val="0"/>
          <w:sz w:val="24"/>
          <w:szCs w:val="24"/>
          <w14:ligatures w14:val="none"/>
        </w:rPr>
        <w:t>3、采购内容：</w:t>
      </w:r>
    </w:p>
    <w:tbl>
      <w:tblPr>
        <w:tblStyle w:val="2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4"/>
        <w:gridCol w:w="57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snapToGrid w:val="0"/>
              <w:ind w:left="105" w:leftChars="50" w:right="105" w:rightChars="50"/>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序号</w:t>
            </w:r>
          </w:p>
        </w:tc>
        <w:tc>
          <w:tcPr>
            <w:tcW w:w="1754" w:type="dxa"/>
            <w:vAlign w:val="center"/>
          </w:tcPr>
          <w:p>
            <w:pPr>
              <w:snapToGrid w:val="0"/>
              <w:ind w:left="105" w:leftChars="50" w:right="105" w:rightChars="50"/>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名称</w:t>
            </w:r>
          </w:p>
        </w:tc>
        <w:tc>
          <w:tcPr>
            <w:tcW w:w="5759" w:type="dxa"/>
            <w:vAlign w:val="center"/>
          </w:tcPr>
          <w:p>
            <w:pPr>
              <w:snapToGrid w:val="0"/>
              <w:ind w:right="105" w:rightChars="50"/>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项目简要简述</w:t>
            </w:r>
          </w:p>
        </w:tc>
        <w:tc>
          <w:tcPr>
            <w:tcW w:w="1418" w:type="dxa"/>
            <w:vAlign w:val="center"/>
          </w:tcPr>
          <w:p>
            <w:pPr>
              <w:snapToGrid w:val="0"/>
              <w:ind w:right="105" w:rightChars="50"/>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服务</w:t>
            </w:r>
          </w:p>
          <w:p>
            <w:pPr>
              <w:snapToGrid w:val="0"/>
              <w:ind w:right="105" w:rightChars="50"/>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709" w:type="dxa"/>
            <w:vAlign w:val="center"/>
          </w:tcPr>
          <w:p>
            <w:pPr>
              <w:jc w:val="center"/>
              <w:rPr>
                <w:rFonts w:ascii="宋体" w:hAnsi="宋体" w:eastAsia="宋体" w:cs="宋体"/>
                <w:sz w:val="24"/>
                <w:szCs w:val="24"/>
                <w14:ligatures w14:val="none"/>
              </w:rPr>
            </w:pPr>
            <w:r>
              <w:rPr>
                <w:rFonts w:hint="eastAsia" w:ascii="宋体" w:hAnsi="宋体" w:eastAsia="宋体" w:cs="宋体"/>
                <w:sz w:val="24"/>
                <w:szCs w:val="24"/>
                <w14:ligatures w14:val="none"/>
              </w:rPr>
              <w:t>1</w:t>
            </w:r>
          </w:p>
        </w:tc>
        <w:tc>
          <w:tcPr>
            <w:tcW w:w="1754" w:type="dxa"/>
            <w:vAlign w:val="center"/>
          </w:tcPr>
          <w:p>
            <w:pPr>
              <w:jc w:val="center"/>
              <w:rPr>
                <w:rFonts w:hint="eastAsia" w:ascii="宋体" w:hAnsi="宋体" w:eastAsia="宋体" w:cs="宋体"/>
                <w:kern w:val="0"/>
                <w:sz w:val="24"/>
                <w:szCs w:val="24"/>
                <w:lang w:eastAsia="zh-CN"/>
                <w14:ligatures w14:val="none"/>
              </w:rPr>
            </w:pPr>
            <w:r>
              <w:rPr>
                <w:rFonts w:hint="eastAsia" w:ascii="宋体" w:hAnsi="宋体" w:eastAsia="宋体" w:cs="Times New Roman"/>
                <w:bCs/>
                <w:kern w:val="0"/>
                <w:sz w:val="24"/>
                <w:szCs w:val="24"/>
                <w:lang w:eastAsia="zh-CN"/>
                <w14:ligatures w14:val="none"/>
              </w:rPr>
              <w:t>桐庐农商银行守押寄库服务采购项目</w:t>
            </w:r>
          </w:p>
        </w:tc>
        <w:tc>
          <w:tcPr>
            <w:tcW w:w="5759" w:type="dxa"/>
            <w:vAlign w:val="center"/>
          </w:tcPr>
          <w:p>
            <w:pPr>
              <w:jc w:val="center"/>
              <w:rPr>
                <w:rFonts w:ascii="宋体" w:hAnsi="宋体" w:eastAsia="宋体" w:cs="宋体"/>
                <w:sz w:val="24"/>
                <w:szCs w:val="24"/>
                <w14:ligatures w14:val="none"/>
              </w:rPr>
            </w:pPr>
            <w:r>
              <w:rPr>
                <w:rFonts w:hint="eastAsia" w:ascii="宋体" w:hAnsi="宋体" w:eastAsia="宋体" w:cs="宋体"/>
                <w:sz w:val="24"/>
                <w:szCs w:val="24"/>
                <w14:ligatures w14:val="none"/>
              </w:rPr>
              <w:t>服务内容包括：根据《浙江省银行安全防范管理规定》《浙江省金融守护押运安全规程（暂行）》《浙江农信系统押运安全管理规定》（浙信联发【2019】23号）及桐庐农商银行守护押运管理的相关要求，对交易发起人提供守押寄库服务，具体服务要求详见交易文件。</w:t>
            </w:r>
          </w:p>
        </w:tc>
        <w:tc>
          <w:tcPr>
            <w:tcW w:w="1418" w:type="dxa"/>
            <w:vAlign w:val="center"/>
          </w:tcPr>
          <w:p>
            <w:pPr>
              <w:jc w:val="center"/>
              <w:rPr>
                <w:rFonts w:ascii="宋体" w:hAnsi="宋体" w:eastAsia="宋体" w:cs="宋体"/>
                <w:sz w:val="24"/>
                <w:szCs w:val="24"/>
                <w14:ligatures w14:val="none"/>
              </w:rPr>
            </w:pPr>
            <w:r>
              <w:rPr>
                <w:rFonts w:hint="eastAsia" w:ascii="宋体" w:hAnsi="宋体" w:eastAsia="宋体" w:cs="宋体"/>
                <w:sz w:val="24"/>
                <w:szCs w:val="24"/>
                <w14:ligatures w14:val="none"/>
              </w:rPr>
              <w:t>合同期为3个年度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0" w:type="dxa"/>
            <w:gridSpan w:val="4"/>
          </w:tcPr>
          <w:p>
            <w:pPr>
              <w:rPr>
                <w:rFonts w:ascii="宋体" w:hAnsi="宋体" w:eastAsia="宋体" w:cs="宋体"/>
                <w:bCs/>
                <w:kern w:val="0"/>
                <w:sz w:val="24"/>
                <w:szCs w:val="24"/>
                <w14:ligatures w14:val="none"/>
              </w:rPr>
            </w:pPr>
            <w:r>
              <w:rPr>
                <w:rFonts w:hint="eastAsia" w:ascii="宋体" w:hAnsi="宋体" w:eastAsia="宋体" w:cs="宋体"/>
                <w:bCs/>
                <w:kern w:val="0"/>
                <w:sz w:val="24"/>
                <w:szCs w:val="24"/>
                <w14:ligatures w14:val="none"/>
              </w:rPr>
              <w:t>注：</w:t>
            </w:r>
          </w:p>
          <w:p>
            <w:pPr>
              <w:spacing w:line="280" w:lineRule="exact"/>
              <w:rPr>
                <w:rFonts w:ascii="宋体" w:hAnsi="宋体" w:eastAsia="宋体" w:cs="宋体"/>
                <w:bCs/>
                <w:kern w:val="0"/>
                <w:sz w:val="24"/>
                <w:szCs w:val="24"/>
                <w14:ligatures w14:val="none"/>
              </w:rPr>
            </w:pPr>
            <w:r>
              <w:rPr>
                <w:rFonts w:hint="eastAsia" w:ascii="宋体" w:hAnsi="宋体" w:eastAsia="宋体" w:cs="宋体"/>
                <w:bCs/>
                <w:kern w:val="0"/>
                <w:sz w:val="24"/>
                <w:szCs w:val="24"/>
                <w14:ligatures w14:val="none"/>
              </w:rPr>
              <w:t>1.报价应包括提供服务所需的一切人员工资、设备（车辆）费、保养费、交通费、安全费用、管理费用、保险费用、税费、利润等与本项目相关的一切费用。</w:t>
            </w:r>
          </w:p>
          <w:p>
            <w:pPr>
              <w:widowControl/>
              <w:spacing w:line="280" w:lineRule="exact"/>
              <w:rPr>
                <w:rFonts w:ascii="宋体" w:hAnsi="宋体" w:eastAsia="宋体" w:cs="Times New Roman"/>
                <w:kern w:val="0"/>
                <w:sz w:val="24"/>
                <w:szCs w:val="24"/>
                <w14:ligatures w14:val="none"/>
              </w:rPr>
            </w:pPr>
            <w:r>
              <w:rPr>
                <w:rFonts w:ascii="宋体" w:hAnsi="宋体" w:eastAsia="宋体" w:cs="宋体"/>
                <w:bCs/>
                <w:kern w:val="0"/>
                <w:sz w:val="24"/>
                <w:szCs w:val="24"/>
                <w14:ligatures w14:val="none"/>
              </w:rPr>
              <w:t>2</w:t>
            </w:r>
            <w:r>
              <w:rPr>
                <w:rFonts w:hint="eastAsia" w:ascii="宋体" w:hAnsi="宋体" w:eastAsia="宋体" w:cs="宋体"/>
                <w:bCs/>
                <w:kern w:val="0"/>
                <w:sz w:val="24"/>
                <w:szCs w:val="24"/>
                <w14:ligatures w14:val="none"/>
              </w:rPr>
              <w:t>.服务</w:t>
            </w:r>
            <w:r>
              <w:rPr>
                <w:rFonts w:hint="eastAsia" w:ascii="宋体" w:hAnsi="宋体" w:eastAsia="宋体" w:cs="Times New Roman"/>
                <w:kern w:val="0"/>
                <w:sz w:val="24"/>
                <w:szCs w:val="24"/>
                <w14:ligatures w14:val="none"/>
              </w:rPr>
              <w:t>时间：合同期为3个年度。每1个年度服务期结束后，</w:t>
            </w:r>
            <w:r>
              <w:rPr>
                <w:rFonts w:hint="eastAsia" w:ascii="宋体" w:hAnsi="宋体" w:eastAsia="宋体" w:cs="宋体"/>
                <w:kern w:val="0"/>
                <w:sz w:val="24"/>
                <w:szCs w:val="24"/>
                <w14:ligatures w14:val="none"/>
              </w:rPr>
              <w:t>交易发起人</w:t>
            </w:r>
            <w:r>
              <w:rPr>
                <w:rFonts w:hint="eastAsia" w:ascii="宋体" w:hAnsi="宋体" w:eastAsia="宋体" w:cs="Times New Roman"/>
                <w:kern w:val="0"/>
                <w:sz w:val="24"/>
                <w:szCs w:val="24"/>
                <w14:ligatures w14:val="none"/>
              </w:rPr>
              <w:t>对成交供应商的服务水平进行考核、验收，通过</w:t>
            </w:r>
            <w:r>
              <w:rPr>
                <w:rFonts w:hint="eastAsia" w:ascii="宋体" w:hAnsi="宋体" w:eastAsia="宋体" w:cs="宋体"/>
                <w:kern w:val="0"/>
                <w:sz w:val="24"/>
                <w:szCs w:val="24"/>
                <w14:ligatures w14:val="none"/>
              </w:rPr>
              <w:t>交易发起人</w:t>
            </w:r>
            <w:r>
              <w:rPr>
                <w:rFonts w:hint="eastAsia" w:ascii="宋体" w:hAnsi="宋体" w:eastAsia="宋体" w:cs="Times New Roman"/>
                <w:kern w:val="0"/>
                <w:sz w:val="24"/>
                <w:szCs w:val="24"/>
                <w14:ligatures w14:val="none"/>
              </w:rPr>
              <w:t>考核、验收的，在服务价格和服务内容及合同条款均不变的情况下，可继续服务下1个年度；考核、验收不通过的</w:t>
            </w:r>
            <w:r>
              <w:rPr>
                <w:rFonts w:hint="eastAsia" w:ascii="宋体" w:hAnsi="宋体" w:eastAsia="宋体" w:cs="宋体"/>
                <w:kern w:val="0"/>
                <w:sz w:val="24"/>
                <w:szCs w:val="24"/>
                <w14:ligatures w14:val="none"/>
              </w:rPr>
              <w:t>交易发起人</w:t>
            </w:r>
            <w:r>
              <w:rPr>
                <w:rFonts w:hint="eastAsia" w:ascii="宋体" w:hAnsi="宋体" w:eastAsia="宋体" w:cs="Times New Roman"/>
                <w:kern w:val="0"/>
                <w:sz w:val="24"/>
                <w:szCs w:val="24"/>
                <w14:ligatures w14:val="none"/>
              </w:rPr>
              <w:t>有权单方面终止合同，重新组织招标。3年期满经考核、验收通过且符合监管政策要求的，服务期可延长2年，</w:t>
            </w:r>
            <w:r>
              <w:rPr>
                <w:rFonts w:hint="eastAsia" w:ascii="宋体" w:hAnsi="宋体" w:eastAsia="宋体" w:cs="宋体"/>
                <w:kern w:val="0"/>
                <w:sz w:val="24"/>
                <w:szCs w:val="24"/>
                <w14:ligatures w14:val="none"/>
              </w:rPr>
              <w:t>合计时间（含初次采购）最长不超过5年。</w:t>
            </w:r>
          </w:p>
          <w:p>
            <w:pPr>
              <w:spacing w:line="280" w:lineRule="exact"/>
              <w:rPr>
                <w:rFonts w:ascii="宋体" w:hAnsi="宋体" w:eastAsia="宋体" w:cs="Times New Roman"/>
                <w:sz w:val="24"/>
                <w:szCs w:val="24"/>
                <w14:ligatures w14:val="none"/>
              </w:rPr>
            </w:pPr>
            <w:r>
              <w:rPr>
                <w:rFonts w:ascii="宋体" w:hAnsi="宋体" w:eastAsia="宋体" w:cs="Times New Roman"/>
                <w:sz w:val="24"/>
                <w:szCs w:val="24"/>
                <w14:ligatures w14:val="none"/>
              </w:rPr>
              <w:t>3</w:t>
            </w:r>
            <w:r>
              <w:rPr>
                <w:rFonts w:hint="eastAsia" w:ascii="宋体" w:hAnsi="宋体" w:eastAsia="宋体" w:cs="Times New Roman"/>
                <w:sz w:val="24"/>
                <w:szCs w:val="24"/>
                <w14:ligatures w14:val="none"/>
              </w:rPr>
              <w:t>.技术、服务具体要求详见</w:t>
            </w:r>
            <w:r>
              <w:rPr>
                <w:rFonts w:hint="eastAsia" w:ascii="宋体" w:hAnsi="宋体" w:eastAsia="宋体" w:cs="宋体"/>
                <w:sz w:val="24"/>
                <w:szCs w:val="24"/>
                <w14:ligatures w14:val="none"/>
              </w:rPr>
              <w:t>交易文件</w:t>
            </w:r>
            <w:r>
              <w:rPr>
                <w:rFonts w:hint="eastAsia" w:ascii="宋体" w:hAnsi="宋体" w:eastAsia="宋体" w:cs="Times New Roman"/>
                <w:sz w:val="24"/>
                <w:szCs w:val="24"/>
                <w14:ligatures w14:val="none"/>
              </w:rPr>
              <w:t>。</w:t>
            </w:r>
          </w:p>
        </w:tc>
      </w:tr>
    </w:tbl>
    <w:p>
      <w:pPr>
        <w:spacing w:line="380" w:lineRule="exact"/>
        <w:ind w:firstLine="480" w:firstLineChars="200"/>
        <w:rPr>
          <w:rFonts w:ascii="宋体" w:hAnsi="宋体" w:eastAsia="宋体" w:cs="Times New Roman"/>
          <w:bCs/>
          <w:kern w:val="0"/>
          <w:sz w:val="24"/>
          <w:szCs w:val="24"/>
          <w14:ligatures w14:val="none"/>
        </w:rPr>
      </w:pP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19" w:name="_Toc21672"/>
      <w:r>
        <w:rPr>
          <w:rFonts w:hint="eastAsia" w:ascii="宋体" w:hAnsi="宋体" w:eastAsia="宋体" w:cs="Times New Roman"/>
          <w:b/>
          <w:bCs/>
          <w:kern w:val="0"/>
          <w:sz w:val="24"/>
          <w:szCs w:val="24"/>
          <w14:ligatures w14:val="none"/>
        </w:rPr>
        <w:t>二、项目说明</w:t>
      </w:r>
      <w:bookmarkEnd w:id="19"/>
    </w:p>
    <w:p>
      <w:pPr>
        <w:adjustRightInd w:val="0"/>
        <w:snapToGrid w:val="0"/>
        <w:spacing w:line="36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1.项目服务地点：交易发起人指定服务地点。</w:t>
      </w:r>
    </w:p>
    <w:p>
      <w:pPr>
        <w:adjustRightInd w:val="0"/>
        <w:snapToGrid w:val="0"/>
        <w:spacing w:line="36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2.项目服务对象：桐庐农商银行守押寄库服务。</w:t>
      </w:r>
    </w:p>
    <w:p>
      <w:pPr>
        <w:adjustRightInd w:val="0"/>
        <w:snapToGrid w:val="0"/>
        <w:spacing w:line="360" w:lineRule="exact"/>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3.项目服务时间：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p>
      <w:pPr>
        <w:adjustRightInd w:val="0"/>
        <w:snapToGrid w:val="0"/>
        <w:spacing w:line="360" w:lineRule="exact"/>
        <w:ind w:firstLine="480" w:firstLineChars="200"/>
        <w:rPr>
          <w:rFonts w:hint="eastAsia" w:ascii="宋体" w:hAnsi="宋体" w:eastAsia="宋体" w:cs="宋体"/>
          <w:sz w:val="24"/>
          <w:szCs w:val="24"/>
          <w14:ligatures w14:val="none"/>
        </w:rPr>
      </w:pP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0" w:name="_Toc1041"/>
      <w:r>
        <w:rPr>
          <w:rFonts w:hint="eastAsia" w:ascii="宋体" w:hAnsi="宋体" w:eastAsia="宋体" w:cs="Times New Roman"/>
          <w:b/>
          <w:bCs/>
          <w:kern w:val="0"/>
          <w:sz w:val="24"/>
          <w:szCs w:val="24"/>
          <w14:ligatures w14:val="none"/>
        </w:rPr>
        <w:t>三、术语释义</w:t>
      </w:r>
      <w:bookmarkEnd w:id="20"/>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库区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提供给</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有偿使用的位于</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基地内的交易发起人业务库区域。安全防范设施建设符合《银行业务库安全防范的要求》（GA858-2010）或《银行安全防范要求》（GA38-2021）。</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2．专用车辆  是指</w:t>
      </w:r>
      <w:r>
        <w:rPr>
          <w:rFonts w:hint="eastAsia" w:ascii="宋体" w:hAnsi="宋体" w:eastAsia="宋体" w:cs="Times New Roman"/>
          <w:bCs/>
          <w:sz w:val="24"/>
          <w:szCs w:val="24"/>
          <w14:ligatures w14:val="none"/>
        </w:rPr>
        <w:t>成交供应商配备的专用于承担本合同项下的押运服务工作的车辆，性能和安全标准应符合中华人民共和国公共行业标准GA164-2018《专用运钞车防护技术条件》等有关文件的规定。</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3．银箱  是指装有人民币现金、外币现钞、金银等贵重物品的封装箱。</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4．封包  或称“传递包”，是指装有人民币现金、外币现钞或空白重要凭证、</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记账凭证、结算凭证、票据、OCR封包、放款中心信贷档案封包等贵重物品的封装包。封装包的规格由交易发起人定制，采用专用锁片加锁。</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5．空白重要凭证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未使用或未出售的凭以支付款项、划拨资金的重要凭证。</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6．专用锁片  是指定制的与银箱和封包锁扣相配套的一次性塑料片。</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7．ATM加钞箱  是指装有ATM相关现金的封装箱。</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8．</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金库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位于</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库区存放现金的金库。</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9．</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现金营运中心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位于库区的内设部门。</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10．</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现金清分区  是指位于</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金库外，</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进行现金清点、调配的区域。</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11.</w:t>
      </w:r>
      <w:r>
        <w:rPr>
          <w:rFonts w:hint="eastAsia" w:ascii="宋体" w:hAnsi="宋体" w:eastAsia="宋体" w:cs="Times New Roman"/>
          <w:bCs/>
          <w:sz w:val="24"/>
          <w:szCs w:val="24"/>
          <w14:ligatures w14:val="none"/>
        </w:rPr>
        <w:t xml:space="preserve"> 成交供应商</w:t>
      </w:r>
      <w:r>
        <w:rPr>
          <w:rFonts w:hint="eastAsia" w:ascii="宋体" w:hAnsi="宋体" w:eastAsia="宋体" w:cs="Times New Roman"/>
          <w:sz w:val="24"/>
          <w:szCs w:val="24"/>
          <w14:ligatures w14:val="none"/>
        </w:rPr>
        <w:t>库房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的银箱、封包寄存库。</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12.</w:t>
      </w:r>
      <w:r>
        <w:rPr>
          <w:rFonts w:hint="eastAsia" w:ascii="宋体" w:hAnsi="宋体" w:eastAsia="宋体" w:cs="Times New Roman"/>
          <w:bCs/>
          <w:sz w:val="24"/>
          <w:szCs w:val="24"/>
          <w14:ligatures w14:val="none"/>
        </w:rPr>
        <w:t xml:space="preserve"> 成交供应商</w:t>
      </w:r>
      <w:r>
        <w:rPr>
          <w:rFonts w:hint="eastAsia" w:ascii="宋体" w:hAnsi="宋体" w:eastAsia="宋体" w:cs="Times New Roman"/>
          <w:sz w:val="24"/>
          <w:szCs w:val="24"/>
          <w14:ligatures w14:val="none"/>
        </w:rPr>
        <w:t>调度室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车辆、人员调度以及与交易发起人工作联系的部门。</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13.身份确认方式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营业网点及部分</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客户确认</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押运交接人员身份的方式。</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14．押运车队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提供押运服务时的专用车辆和工作人员。</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提供押运服务时，每辆专用车辆必须配备司机1名、押运员2名。执行网点尾箱运送、日间领缴款运送的每辆押运车配备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交接员2名；执行ATM清机、加钞以及人行领缴款的每辆押运车配备交易发起人交接员2名。</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提供包车服务时，每辆专用车辆必须配备司机1名。</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15.押运员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押运车队运送交易发起人银箱、封包、现钞、金银、ATM加钞箱、重要空白凭证时，承担安全护卫工作的人员。</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16.</w:t>
      </w:r>
      <w:r>
        <w:rPr>
          <w:rFonts w:hint="eastAsia" w:ascii="宋体" w:hAnsi="宋体" w:eastAsia="宋体" w:cs="Times New Roman"/>
          <w:bCs/>
          <w:sz w:val="24"/>
          <w:szCs w:val="24"/>
          <w14:ligatures w14:val="none"/>
        </w:rPr>
        <w:t xml:space="preserve"> 成交供应商</w:t>
      </w:r>
      <w:r>
        <w:rPr>
          <w:rFonts w:hint="eastAsia" w:ascii="宋体" w:hAnsi="宋体" w:eastAsia="宋体" w:cs="Times New Roman"/>
          <w:sz w:val="24"/>
          <w:szCs w:val="24"/>
          <w14:ligatures w14:val="none"/>
        </w:rPr>
        <w:t>交接员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押运车队运送交易发起人银箱、封包、现钞、金银时，承担交接工作的</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人员。</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17.</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交接员  是指交易发起人随</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押运车队进行ATM清机、加钞以及人行领缴款时，承担交接工作的交易发起人人员。</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18.守护人员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承担交易发起人库区安全守护工作的人员。</w:t>
      </w:r>
    </w:p>
    <w:p>
      <w:pPr>
        <w:spacing w:line="360" w:lineRule="exact"/>
        <w:ind w:firstLine="480" w:firstLineChars="200"/>
        <w:rPr>
          <w:rFonts w:ascii="宋体" w:hAnsi="宋体" w:eastAsia="宋体" w:cs="Times New Roman"/>
          <w:sz w:val="24"/>
          <w:szCs w:val="24"/>
          <w:u w:val="single"/>
          <w14:ligatures w14:val="none"/>
        </w:rPr>
      </w:pPr>
      <w:r>
        <w:rPr>
          <w:rFonts w:hint="eastAsia" w:ascii="宋体" w:hAnsi="宋体" w:eastAsia="宋体" w:cs="Times New Roman"/>
          <w:sz w:val="24"/>
          <w:szCs w:val="24"/>
          <w14:ligatures w14:val="none"/>
        </w:rPr>
        <w:t>19．押运人员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押运车队执行任务时配置的</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车队人员。包括驾驶员、押运员以及</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交接员。</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20.守押人员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库区守护人员以及专用车辆驾驶员、交接员、押运员。</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21.ATM加钞人员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随</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押运车队进行ATM清机、加钞时，承担加钞工作的人员。</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22.运送  是指</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押运车队安全押运</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营业网点及</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客户的银箱、封包、ATM加钞箱、现金、金银等。本文件所使用的发送、接回、接送、护送的用语含义均与运送相同。</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23.营业网点尾箱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营业网点在非营业时间需寄存在</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库房的银箱。</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24.领缴款箱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金库与营业网点临时配送现金而使用的银箱。</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25.</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OCR中心、放款中心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的内设部门。</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26.OCR封包、放款中心信贷档案封包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营业网点装有有关记账凭证、结算凭证、放款档案资料等物品的封包。</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27.“二道门”</w:t>
      </w:r>
      <w:bookmarkStart w:id="409" w:name="_GoBack"/>
      <w:bookmarkEnd w:id="409"/>
      <w:r>
        <w:rPr>
          <w:rFonts w:hint="eastAsia" w:ascii="宋体" w:hAnsi="宋体" w:eastAsia="宋体" w:cs="Times New Roman"/>
          <w:sz w:val="24"/>
          <w:szCs w:val="24"/>
          <w14:ligatures w14:val="none"/>
        </w:rPr>
        <w:t>或称“通勤门”，是指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营业网点营业场所进出现金业务区时防尾随的电控联动门。</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28.人行领缴款  是指</w:t>
      </w:r>
      <w:r>
        <w:rPr>
          <w:rFonts w:hint="eastAsia" w:ascii="宋体" w:hAnsi="宋体" w:eastAsia="宋体" w:cs="Times New Roman"/>
          <w:bCs/>
          <w:sz w:val="24"/>
          <w:szCs w:val="24"/>
          <w14:ligatures w14:val="none"/>
        </w:rPr>
        <w:t>交易发起人</w:t>
      </w:r>
      <w:r>
        <w:rPr>
          <w:rFonts w:hint="eastAsia" w:ascii="宋体" w:hAnsi="宋体" w:eastAsia="宋体" w:cs="Times New Roman"/>
          <w:sz w:val="24"/>
          <w:szCs w:val="24"/>
          <w14:ligatures w14:val="none"/>
        </w:rPr>
        <w:t>与人民银行金库之间的现金解、缴。</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1" w:name="_Toc6011"/>
      <w:r>
        <w:rPr>
          <w:rFonts w:hint="eastAsia" w:ascii="宋体" w:hAnsi="宋体" w:eastAsia="宋体" w:cs="Times New Roman"/>
          <w:b/>
          <w:bCs/>
          <w:kern w:val="0"/>
          <w:sz w:val="24"/>
          <w:szCs w:val="24"/>
          <w14:ligatures w14:val="none"/>
        </w:rPr>
        <w:t>四、基本原则</w:t>
      </w:r>
      <w:bookmarkEnd w:id="21"/>
    </w:p>
    <w:p>
      <w:pPr>
        <w:spacing w:line="380" w:lineRule="exact"/>
        <w:ind w:firstLine="480" w:firstLineChars="200"/>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1、优势互补、保障安全。以安全为第一目标，坚持以社会效益为主，充分发挥各自的优势，保证服务事项的安全。</w:t>
      </w:r>
    </w:p>
    <w:p>
      <w:pPr>
        <w:spacing w:line="380" w:lineRule="exact"/>
        <w:ind w:firstLine="480" w:firstLineChars="200"/>
        <w:rPr>
          <w:rFonts w:ascii="宋体" w:hAnsi="宋体" w:eastAsia="宋体" w:cs="Times New Roman"/>
          <w:color w:val="000000"/>
          <w:sz w:val="24"/>
          <w:szCs w:val="24"/>
          <w14:ligatures w14:val="none"/>
        </w:rPr>
      </w:pPr>
      <w:r>
        <w:rPr>
          <w:rFonts w:ascii="宋体" w:hAnsi="宋体" w:eastAsia="宋体" w:cs="Times New Roman"/>
          <w:color w:val="000000"/>
          <w:sz w:val="24"/>
          <w:szCs w:val="24"/>
          <w14:ligatures w14:val="none"/>
        </w:rPr>
        <w:t>2、紧密配合、友好合作。在社会化押运服务过程中，</w:t>
      </w:r>
      <w:r>
        <w:rPr>
          <w:rFonts w:hint="eastAsia" w:ascii="宋体" w:hAnsi="宋体" w:eastAsia="宋体" w:cs="Times New Roman"/>
          <w:color w:val="000000"/>
          <w:sz w:val="24"/>
          <w:szCs w:val="24"/>
          <w14:ligatures w14:val="none"/>
        </w:rPr>
        <w:t>交易发起人</w:t>
      </w:r>
      <w:r>
        <w:rPr>
          <w:rFonts w:ascii="宋体" w:hAnsi="宋体" w:eastAsia="宋体" w:cs="Times New Roman"/>
          <w:color w:val="000000"/>
          <w:sz w:val="24"/>
          <w:szCs w:val="24"/>
          <w14:ligatures w14:val="none"/>
        </w:rPr>
        <w:t>和成交供应商应诚信合作、充分协商、统一协调。</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2" w:name="_Toc14202"/>
      <w:r>
        <w:rPr>
          <w:rFonts w:hint="eastAsia" w:ascii="宋体" w:hAnsi="宋体" w:eastAsia="宋体" w:cs="Times New Roman"/>
          <w:b/>
          <w:bCs/>
          <w:kern w:val="0"/>
          <w:sz w:val="24"/>
          <w:szCs w:val="24"/>
          <w14:ligatures w14:val="none"/>
        </w:rPr>
        <w:t>五、服务范围、内容及要求</w:t>
      </w:r>
      <w:bookmarkEnd w:id="22"/>
    </w:p>
    <w:p>
      <w:pPr>
        <w:suppressAutoHyphens/>
        <w:overflowPunct w:val="0"/>
        <w:spacing w:line="360" w:lineRule="exact"/>
        <w:ind w:firstLine="482" w:firstLineChars="200"/>
        <w:rPr>
          <w:rFonts w:ascii="宋体" w:hAnsi="宋体" w:eastAsia="宋体" w:cs="Times New Roman"/>
          <w:b/>
          <w:bCs/>
          <w:sz w:val="24"/>
          <w:szCs w:val="24"/>
          <w14:ligatures w14:val="none"/>
        </w:rPr>
      </w:pPr>
      <w:r>
        <w:rPr>
          <w:rFonts w:hint="eastAsia" w:ascii="宋体" w:hAnsi="宋体" w:eastAsia="宋体" w:cs="Times New Roman"/>
          <w:b/>
          <w:bCs/>
          <w:sz w:val="24"/>
          <w:szCs w:val="24"/>
          <w14:ligatures w14:val="none"/>
        </w:rPr>
        <w:t>1. 成交供应商为交易发起人营业网点银箱提供寄库服务，为交易发起人金库提供守库服务。</w:t>
      </w:r>
    </w:p>
    <w:p>
      <w:pPr>
        <w:suppressAutoHyphens/>
        <w:overflowPunct w:val="0"/>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bCs/>
          <w:sz w:val="24"/>
          <w:szCs w:val="24"/>
          <w14:ligatures w14:val="none"/>
        </w:rPr>
        <w:t xml:space="preserve"> 1.2 库区守护职责：</w:t>
      </w:r>
      <w:r>
        <w:rPr>
          <w:rFonts w:hint="eastAsia" w:ascii="宋体" w:hAnsi="宋体" w:eastAsia="宋体" w:cs="Times New Roman"/>
          <w:sz w:val="24"/>
          <w:szCs w:val="24"/>
          <w14:ligatures w14:val="none"/>
        </w:rPr>
        <w:t>防暴力侵害、防抢劫、防盗窃、防爆、防火、防自然灾害侵害、防群体性事件侵害等。如发生上述情况时，</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在采取必要措施的同时，应迅速通知交易发起人。</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1.3.1 成交供应商负责对守库范围内各通道门的开启、关闭等日常管理；</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1.3.2 成交供应商负责对进出库区人员身份查验、登记、放行和行为监控，负责对进出库区车辆查验、登记、放行等工作。</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1.3.3 成交供应商负责对库区监控录像的日常管理，监控录像资料必须保存30天以上（若公安部门调整标准，则按新标准执行）。交易发起人如需调阅，经办理登记手续后，成交供应商应无条件提供，不得拒绝。</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1.3.3 成交供应商负责对库区消防设施使用和安全日常管理。</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1.4.4 成交供应商负责对库区110报警系统的撤、布防。</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1.4.5 成交供应商应经常对110报警、监控、消防、通讯等设施进行检查、维护，发现故障应及时维修，确保设施正常运作。</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1.4.6 库区守护要求和操作规程：《浙江桐庐农村商业银行股份有限公司库区守护要求及操作规程》《浙江桐庐农村商业银行股份有限公司社会化押运业务操作流程》，成交供应商库区工作人员应严格遵守、执行。</w:t>
      </w:r>
    </w:p>
    <w:p>
      <w:pPr>
        <w:suppressAutoHyphens/>
        <w:overflowPunct w:val="0"/>
        <w:spacing w:line="360" w:lineRule="exact"/>
        <w:ind w:firstLine="482" w:firstLineChars="200"/>
        <w:rPr>
          <w:rFonts w:ascii="宋体" w:hAnsi="宋体" w:eastAsia="宋体" w:cs="Times New Roman"/>
          <w:b/>
          <w:bCs/>
          <w:sz w:val="24"/>
          <w:szCs w:val="24"/>
          <w14:ligatures w14:val="none"/>
        </w:rPr>
      </w:pPr>
      <w:r>
        <w:rPr>
          <w:rFonts w:hint="eastAsia" w:ascii="宋体" w:hAnsi="宋体" w:eastAsia="宋体" w:cs="Times New Roman"/>
          <w:b/>
          <w:bCs/>
          <w:sz w:val="24"/>
          <w:szCs w:val="24"/>
          <w14:ligatures w14:val="none"/>
        </w:rPr>
        <w:t>2. 成交供应商为交易发起人提供安全押运服务</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 xml:space="preserve">2.1 </w:t>
      </w:r>
      <w:r>
        <w:rPr>
          <w:rFonts w:hint="eastAsia" w:ascii="宋体" w:hAnsi="宋体" w:eastAsia="宋体" w:cs="Times New Roman"/>
          <w:bCs/>
          <w:vanish/>
          <w:sz w:val="24"/>
          <w:szCs w:val="24"/>
          <w14:ligatures w14:val="none"/>
        </w:rPr>
        <w:cr/>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cr/>
      </w:r>
      <w:r>
        <w:rPr>
          <w:rFonts w:hint="eastAsia" w:ascii="宋体" w:hAnsi="宋体" w:eastAsia="宋体" w:cs="Times New Roman"/>
          <w:bCs/>
          <w:vanish/>
          <w:sz w:val="24"/>
          <w:szCs w:val="24"/>
          <w14:ligatures w14:val="none"/>
        </w:rPr>
        <w:t xml:space="preserve">务                                  </w:t>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pgNum/>
      </w:r>
      <w:r>
        <w:rPr>
          <w:rFonts w:hint="eastAsia" w:ascii="宋体" w:hAnsi="宋体" w:eastAsia="宋体" w:cs="Times New Roman"/>
          <w:bCs/>
          <w:vanish/>
          <w:sz w:val="24"/>
          <w:szCs w:val="24"/>
          <w14:ligatures w14:val="none"/>
        </w:rPr>
        <w:t>1.21111111</w:t>
      </w:r>
      <w:r>
        <w:rPr>
          <w:rFonts w:hint="eastAsia" w:ascii="宋体" w:hAnsi="宋体" w:eastAsia="宋体" w:cs="Times New Roman"/>
          <w:bCs/>
          <w:sz w:val="24"/>
          <w:szCs w:val="24"/>
          <w14:ligatures w14:val="none"/>
        </w:rPr>
        <w:t>成交供应商每天必须配备如下专用车辆及专职为交易发起人提供安全押运服务的工作人员（原则上平均每辆专用车辆每天服务时间不超过八小时，非押运服务时间不计入服务时间）：</w:t>
      </w:r>
    </w:p>
    <w:p>
      <w:pPr>
        <w:suppressAutoHyphens/>
        <w:overflowPunct w:val="0"/>
        <w:spacing w:line="360" w:lineRule="exact"/>
        <w:ind w:firstLine="480" w:firstLineChars="200"/>
        <w:rPr>
          <w:rFonts w:ascii="宋体" w:hAnsi="宋体" w:eastAsia="宋体" w:cs="Times New Roman"/>
          <w:bCs/>
          <w:sz w:val="24"/>
          <w:szCs w:val="24"/>
          <w:highlight w:val="yellow"/>
          <w14:ligatures w14:val="none"/>
        </w:rPr>
      </w:pPr>
      <w:r>
        <w:rPr>
          <w:rFonts w:hint="eastAsia" w:ascii="宋体" w:hAnsi="宋体" w:eastAsia="宋体" w:cs="Times New Roman"/>
          <w:bCs/>
          <w:sz w:val="24"/>
          <w:szCs w:val="24"/>
          <w14:ligatures w14:val="none"/>
        </w:rPr>
        <w:t>2.1.1 固定线路包车</w:t>
      </w:r>
      <w:r>
        <w:rPr>
          <w:rFonts w:ascii="宋体" w:hAnsi="宋体" w:eastAsia="宋体" w:cs="Times New Roman"/>
          <w:bCs/>
          <w:sz w:val="24"/>
          <w:szCs w:val="24"/>
          <w14:ligatures w14:val="none"/>
        </w:rPr>
        <w:t>7</w:t>
      </w:r>
      <w:r>
        <w:rPr>
          <w:rFonts w:hint="eastAsia" w:ascii="宋体" w:hAnsi="宋体" w:eastAsia="宋体" w:cs="Times New Roman"/>
          <w:bCs/>
          <w:sz w:val="24"/>
          <w:szCs w:val="24"/>
          <w14:ligatures w14:val="none"/>
        </w:rPr>
        <w:t>辆，每辆车由成交供应商配备司机1人、押运员2人、交接员2人；</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2.1.2 换箱式</w:t>
      </w:r>
      <w:r>
        <w:rPr>
          <w:rFonts w:hint="eastAsia" w:ascii="宋体" w:hAnsi="宋体" w:eastAsia="宋体" w:cs="Times New Roman"/>
          <w:sz w:val="24"/>
          <w:szCs w:val="24"/>
          <w14:ligatures w14:val="none"/>
        </w:rPr>
        <w:t>离行ATM清机、加钞外包服务，</w:t>
      </w:r>
      <w:r>
        <w:rPr>
          <w:rFonts w:hint="eastAsia" w:ascii="宋体" w:hAnsi="宋体" w:eastAsia="宋体" w:cs="Times New Roman"/>
          <w:bCs/>
          <w:sz w:val="24"/>
          <w:szCs w:val="24"/>
          <w14:ligatures w14:val="none"/>
        </w:rPr>
        <w:t>由成交供应商配备司机1人，押运员2人，交接员2人。</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2.1.3</w:t>
      </w:r>
      <w:r>
        <w:rPr>
          <w:rFonts w:ascii="宋体" w:hAnsi="宋体" w:eastAsia="宋体" w:cs="Times New Roman"/>
          <w:bCs/>
          <w:sz w:val="24"/>
          <w:szCs w:val="24"/>
          <w14:ligatures w14:val="none"/>
        </w:rPr>
        <w:t xml:space="preserve"> </w:t>
      </w:r>
      <w:r>
        <w:rPr>
          <w:rFonts w:hint="eastAsia" w:ascii="宋体" w:hAnsi="宋体" w:eastAsia="宋体" w:cs="Times New Roman"/>
          <w:bCs/>
          <w:sz w:val="24"/>
          <w:szCs w:val="24"/>
          <w14:ligatures w14:val="none"/>
        </w:rPr>
        <w:t>交易发起人加钞组包车</w:t>
      </w:r>
      <w:r>
        <w:rPr>
          <w:rFonts w:ascii="宋体" w:hAnsi="宋体" w:eastAsia="宋体" w:cs="Times New Roman"/>
          <w:bCs/>
          <w:sz w:val="24"/>
          <w:szCs w:val="24"/>
          <w14:ligatures w14:val="none"/>
        </w:rPr>
        <w:t>3</w:t>
      </w:r>
      <w:r>
        <w:rPr>
          <w:rFonts w:hint="eastAsia" w:ascii="宋体" w:hAnsi="宋体" w:eastAsia="宋体" w:cs="Times New Roman"/>
          <w:bCs/>
          <w:sz w:val="24"/>
          <w:szCs w:val="24"/>
          <w14:ligatures w14:val="none"/>
        </w:rPr>
        <w:t>辆，每辆车由成交供应商配备司机1人。</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ascii="宋体" w:hAnsi="宋体" w:eastAsia="宋体" w:cs="Times New Roman"/>
          <w:bCs/>
          <w:sz w:val="24"/>
          <w:szCs w:val="24"/>
          <w14:ligatures w14:val="none"/>
        </w:rPr>
        <w:t>2.1.4</w:t>
      </w:r>
      <w:r>
        <w:rPr>
          <w:rFonts w:hint="eastAsia" w:ascii="宋体" w:hAnsi="宋体" w:eastAsia="宋体" w:cs="Times New Roman"/>
          <w:bCs/>
          <w:sz w:val="24"/>
          <w:szCs w:val="24"/>
          <w14:ligatures w14:val="none"/>
        </w:rPr>
        <w:t xml:space="preserve"> 交易发起人因特殊情况或者运送高峰期需要临时用车或增加押运车队的，服务时间占用成交供应商早晚接送网点尾箱时间的，提前两天书面通知成交供应商；服务时间不占用成交供应商早晚接送网点尾箱时间的，提前一天书面通知成交供应商；成交供应商必须确保交易发起人用车需要。</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2.2 成交供应商按照以上专用车辆以及人员配置，根据交易发起人具体指令，向交易发起人及所属营业网点提供如下押运等服务：</w:t>
      </w:r>
    </w:p>
    <w:p>
      <w:pPr>
        <w:suppressAutoHyphens/>
        <w:overflowPunct w:val="0"/>
        <w:spacing w:line="360" w:lineRule="exact"/>
        <w:ind w:firstLine="480" w:firstLineChars="200"/>
        <w:rPr>
          <w:rFonts w:ascii="宋体" w:hAnsi="宋体" w:eastAsia="宋体" w:cs="Times New Roman"/>
          <w:sz w:val="24"/>
          <w:szCs w:val="24"/>
          <w:highlight w:val="none"/>
          <w14:ligatures w14:val="none"/>
        </w:rPr>
      </w:pPr>
      <w:r>
        <w:rPr>
          <w:rFonts w:hint="eastAsia" w:ascii="宋体" w:hAnsi="宋体" w:eastAsia="宋体" w:cs="Times New Roman"/>
          <w:sz w:val="24"/>
          <w:szCs w:val="24"/>
          <w14:ligatures w14:val="none"/>
        </w:rPr>
        <w:t>2.2.1 营业网点尾箱运</w:t>
      </w:r>
      <w:r>
        <w:rPr>
          <w:rFonts w:hint="eastAsia" w:ascii="宋体" w:hAnsi="宋体" w:eastAsia="宋体" w:cs="Times New Roman"/>
          <w:sz w:val="24"/>
          <w:szCs w:val="24"/>
          <w:highlight w:val="none"/>
          <w14:ligatures w14:val="none"/>
        </w:rPr>
        <w:t>送（</w:t>
      </w:r>
      <w:r>
        <w:rPr>
          <w:rFonts w:hint="eastAsia" w:ascii="宋体" w:hAnsi="宋体" w:eastAsia="宋体" w:cs="Times New Roman"/>
          <w:sz w:val="24"/>
          <w:szCs w:val="24"/>
          <w:highlight w:val="none"/>
          <w:lang w:val="en-US" w:eastAsia="zh-CN"/>
          <w14:ligatures w14:val="none"/>
        </w:rPr>
        <w:t>现有</w:t>
      </w:r>
      <w:r>
        <w:rPr>
          <w:rFonts w:hint="eastAsia" w:ascii="宋体" w:hAnsi="宋体" w:eastAsia="宋体" w:cs="Times New Roman"/>
          <w:sz w:val="24"/>
          <w:szCs w:val="24"/>
          <w:highlight w:val="none"/>
          <w14:ligatures w14:val="none"/>
        </w:rPr>
        <w:t>营业网点具体见附件）；</w:t>
      </w:r>
    </w:p>
    <w:p>
      <w:pPr>
        <w:suppressAutoHyphens/>
        <w:overflowPunct w:val="0"/>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2.2.2 重要物品、凭证（包括OCR封包、信贷档案封包等）运送；</w:t>
      </w:r>
    </w:p>
    <w:p>
      <w:pPr>
        <w:suppressAutoHyphens/>
        <w:overflowPunct w:val="0"/>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2.2.2.1 其中网点凭证封包：由</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在次日早上接到</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库房，由</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集中汇总后分类，随网点固定线路包车或单独派车在上午</w:t>
      </w:r>
      <w:r>
        <w:rPr>
          <w:rFonts w:ascii="宋体" w:hAnsi="宋体" w:eastAsia="宋体" w:cs="Times New Roman"/>
          <w:sz w:val="24"/>
          <w:szCs w:val="24"/>
          <w14:ligatures w14:val="none"/>
        </w:rPr>
        <w:t>9</w:t>
      </w:r>
      <w:r>
        <w:rPr>
          <w:rFonts w:hint="eastAsia" w:ascii="宋体" w:hAnsi="宋体" w:eastAsia="宋体" w:cs="Times New Roman"/>
          <w:sz w:val="24"/>
          <w:szCs w:val="24"/>
          <w14:ligatures w14:val="none"/>
        </w:rPr>
        <w:t>：</w:t>
      </w:r>
      <w:r>
        <w:rPr>
          <w:rFonts w:ascii="宋体" w:hAnsi="宋体" w:eastAsia="宋体" w:cs="Times New Roman"/>
          <w:sz w:val="24"/>
          <w:szCs w:val="24"/>
          <w14:ligatures w14:val="none"/>
        </w:rPr>
        <w:t>0</w:t>
      </w:r>
      <w:r>
        <w:rPr>
          <w:rFonts w:hint="eastAsia" w:ascii="宋体" w:hAnsi="宋体" w:eastAsia="宋体" w:cs="Times New Roman"/>
          <w:sz w:val="24"/>
          <w:szCs w:val="24"/>
          <w14:ligatures w14:val="none"/>
        </w:rPr>
        <w:t>0前送至交易发起人OCR中心及1</w:t>
      </w:r>
      <w:r>
        <w:rPr>
          <w:rFonts w:ascii="宋体" w:hAnsi="宋体" w:eastAsia="宋体" w:cs="Times New Roman"/>
          <w:sz w:val="24"/>
          <w:szCs w:val="24"/>
          <w14:ligatures w14:val="none"/>
        </w:rPr>
        <w:t>0：</w:t>
      </w:r>
      <w:r>
        <w:rPr>
          <w:rFonts w:hint="eastAsia" w:ascii="宋体" w:hAnsi="宋体" w:eastAsia="宋体" w:cs="Times New Roman"/>
          <w:sz w:val="24"/>
          <w:szCs w:val="24"/>
          <w14:ligatures w14:val="none"/>
        </w:rPr>
        <w:t>0</w:t>
      </w:r>
      <w:r>
        <w:rPr>
          <w:rFonts w:ascii="宋体" w:hAnsi="宋体" w:eastAsia="宋体" w:cs="Times New Roman"/>
          <w:sz w:val="24"/>
          <w:szCs w:val="24"/>
          <w14:ligatures w14:val="none"/>
        </w:rPr>
        <w:t>0前送到清算中心</w:t>
      </w:r>
      <w:r>
        <w:rPr>
          <w:rFonts w:hint="eastAsia" w:ascii="宋体" w:hAnsi="宋体" w:eastAsia="宋体" w:cs="Times New Roman"/>
          <w:sz w:val="24"/>
          <w:szCs w:val="24"/>
          <w14:ligatures w14:val="none"/>
        </w:rPr>
        <w:t>。</w:t>
      </w:r>
    </w:p>
    <w:p>
      <w:pPr>
        <w:suppressAutoHyphens/>
        <w:overflowPunct w:val="0"/>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2.2.2.2 交易发起人偏远网点凭证封包，由</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在次日早上接到</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库房，由</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集中汇总后，在上午10:30之前送到。</w:t>
      </w:r>
    </w:p>
    <w:p>
      <w:pPr>
        <w:suppressAutoHyphens/>
        <w:overflowPunct w:val="0"/>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2.2.2.3其中网点“信贷档案”封包：由</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在次日早上接到</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库房，由</w:t>
      </w:r>
      <w:r>
        <w:rPr>
          <w:rFonts w:hint="eastAsia" w:ascii="宋体" w:hAnsi="宋体" w:eastAsia="宋体" w:cs="Times New Roman"/>
          <w:bCs/>
          <w:sz w:val="24"/>
          <w:szCs w:val="24"/>
          <w14:ligatures w14:val="none"/>
        </w:rPr>
        <w:t>成交供应商</w:t>
      </w:r>
      <w:r>
        <w:rPr>
          <w:rFonts w:hint="eastAsia" w:ascii="宋体" w:hAnsi="宋体" w:eastAsia="宋体" w:cs="Times New Roman"/>
          <w:sz w:val="24"/>
          <w:szCs w:val="24"/>
          <w14:ligatures w14:val="none"/>
        </w:rPr>
        <w:t>集中汇总后，随网点固定线路包车或单独派车在上午</w:t>
      </w:r>
      <w:r>
        <w:rPr>
          <w:rFonts w:ascii="宋体" w:hAnsi="宋体" w:eastAsia="宋体" w:cs="Times New Roman"/>
          <w:sz w:val="24"/>
          <w:szCs w:val="24"/>
          <w14:ligatures w14:val="none"/>
        </w:rPr>
        <w:t>10</w:t>
      </w:r>
      <w:r>
        <w:rPr>
          <w:rFonts w:hint="eastAsia" w:ascii="宋体" w:hAnsi="宋体" w:eastAsia="宋体" w:cs="Times New Roman"/>
          <w:sz w:val="24"/>
          <w:szCs w:val="24"/>
          <w14:ligatures w14:val="none"/>
        </w:rPr>
        <w:t>:30（偏远网点下午2：3</w:t>
      </w:r>
      <w:r>
        <w:rPr>
          <w:rFonts w:ascii="宋体" w:hAnsi="宋体" w:eastAsia="宋体" w:cs="Times New Roman"/>
          <w:sz w:val="24"/>
          <w:szCs w:val="24"/>
          <w14:ligatures w14:val="none"/>
        </w:rPr>
        <w:t>0）</w:t>
      </w:r>
      <w:r>
        <w:rPr>
          <w:rFonts w:hint="eastAsia" w:ascii="宋体" w:hAnsi="宋体" w:eastAsia="宋体" w:cs="Times New Roman"/>
          <w:sz w:val="24"/>
          <w:szCs w:val="24"/>
          <w14:ligatures w14:val="none"/>
        </w:rPr>
        <w:t>前送至交易发起人放款中心（现位于交易发起人横村支行），与放款中心进行“信贷档案”封包交换，完成交换后接到成交供应商库房汇总，当日傍晚随网点固定线路送至各网点交换。</w:t>
      </w:r>
    </w:p>
    <w:p>
      <w:pPr>
        <w:suppressAutoHyphens/>
        <w:overflowPunct w:val="0"/>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2.2.2.4交易发起人“放款中心OCR”封包，由成交供应商在上午8:30前至放款中心进行“放款中心OCR”封包交换（与信贷档案封包交换同步进行），交换后在上午10:00前送至交易发起人OCR中心交换，随后接到成交供应商库房保管，次日上午开展新一轮循环。</w:t>
      </w:r>
    </w:p>
    <w:p>
      <w:pPr>
        <w:suppressAutoHyphens/>
        <w:overflowPunct w:val="0"/>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2.2.3 离行式ATM清机以及ATM加钞箱运送。</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sz w:val="24"/>
          <w:szCs w:val="24"/>
          <w14:ligatures w14:val="none"/>
        </w:rPr>
        <w:t xml:space="preserve">2.3 </w:t>
      </w:r>
      <w:r>
        <w:rPr>
          <w:rFonts w:hint="eastAsia" w:ascii="宋体" w:hAnsi="宋体" w:eastAsia="宋体" w:cs="Times New Roman"/>
          <w:bCs/>
          <w:sz w:val="24"/>
          <w:szCs w:val="24"/>
          <w14:ligatures w14:val="none"/>
        </w:rPr>
        <w:t>交易发起人网点日间领交款、</w:t>
      </w:r>
      <w:r>
        <w:rPr>
          <w:rFonts w:hint="eastAsia" w:ascii="宋体" w:hAnsi="宋体" w:eastAsia="宋体" w:cs="Times New Roman"/>
          <w:sz w:val="24"/>
          <w:szCs w:val="24"/>
          <w14:ligatures w14:val="none"/>
        </w:rPr>
        <w:t>人民银行领缴款运送、上门收款运送、交易发起人其他临时性业务运送需要用车的，</w:t>
      </w:r>
      <w:r>
        <w:rPr>
          <w:rFonts w:hint="eastAsia" w:ascii="宋体" w:hAnsi="宋体" w:eastAsia="宋体" w:cs="Times New Roman"/>
          <w:bCs/>
          <w:sz w:val="24"/>
          <w:szCs w:val="24"/>
          <w14:ligatures w14:val="none"/>
        </w:rPr>
        <w:t>成交供应商必须确保交易发起人用车需要。</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2.</w:t>
      </w:r>
      <w:r>
        <w:rPr>
          <w:rFonts w:ascii="宋体" w:hAnsi="宋体" w:eastAsia="宋体" w:cs="Times New Roman"/>
          <w:bCs/>
          <w:sz w:val="24"/>
          <w:szCs w:val="24"/>
          <w14:ligatures w14:val="none"/>
        </w:rPr>
        <w:t>4</w:t>
      </w:r>
      <w:r>
        <w:rPr>
          <w:rFonts w:hint="eastAsia" w:ascii="宋体" w:hAnsi="宋体" w:eastAsia="宋体" w:cs="Times New Roman"/>
          <w:bCs/>
          <w:sz w:val="24"/>
          <w:szCs w:val="24"/>
          <w14:ligatures w14:val="none"/>
        </w:rPr>
        <w:t xml:space="preserve"> 交接地点：</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2.</w:t>
      </w:r>
      <w:r>
        <w:rPr>
          <w:rFonts w:ascii="宋体" w:hAnsi="宋体" w:eastAsia="宋体" w:cs="Times New Roman"/>
          <w:bCs/>
          <w:sz w:val="24"/>
          <w:szCs w:val="24"/>
          <w14:ligatures w14:val="none"/>
        </w:rPr>
        <w:t>4</w:t>
      </w:r>
      <w:r>
        <w:rPr>
          <w:rFonts w:hint="eastAsia" w:ascii="宋体" w:hAnsi="宋体" w:eastAsia="宋体" w:cs="Times New Roman"/>
          <w:bCs/>
          <w:sz w:val="24"/>
          <w:szCs w:val="24"/>
          <w14:ligatures w14:val="none"/>
        </w:rPr>
        <w:t>.1 交易发起人各营业网点交接地点为“二道门”内现金业务区指定地点，并在监控有效范围内办理交接手续。</w:t>
      </w:r>
    </w:p>
    <w:p>
      <w:pPr>
        <w:suppressAutoHyphens/>
        <w:overflowPunct w:val="0"/>
        <w:spacing w:line="360" w:lineRule="exact"/>
        <w:ind w:firstLine="480" w:firstLineChars="200"/>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2.</w:t>
      </w:r>
      <w:r>
        <w:rPr>
          <w:rFonts w:ascii="宋体" w:hAnsi="宋体" w:eastAsia="宋体" w:cs="Times New Roman"/>
          <w:bCs/>
          <w:sz w:val="24"/>
          <w:szCs w:val="24"/>
          <w14:ligatures w14:val="none"/>
        </w:rPr>
        <w:t>4</w:t>
      </w:r>
      <w:r>
        <w:rPr>
          <w:rFonts w:hint="eastAsia" w:ascii="宋体" w:hAnsi="宋体" w:eastAsia="宋体" w:cs="Times New Roman"/>
          <w:bCs/>
          <w:sz w:val="24"/>
          <w:szCs w:val="24"/>
          <w14:ligatures w14:val="none"/>
        </w:rPr>
        <w:t>.2 交易发起人库区交接地点为库区指定交接地点。</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3" w:name="_Toc19252"/>
      <w:r>
        <w:rPr>
          <w:rFonts w:hint="eastAsia" w:ascii="宋体" w:hAnsi="宋体" w:eastAsia="宋体" w:cs="Times New Roman"/>
          <w:b/>
          <w:bCs/>
          <w:kern w:val="0"/>
          <w:sz w:val="24"/>
          <w:szCs w:val="24"/>
          <w14:ligatures w14:val="none"/>
        </w:rPr>
        <w:t>六、双方权利和义务</w:t>
      </w:r>
      <w:bookmarkEnd w:id="23"/>
    </w:p>
    <w:p>
      <w:pPr>
        <w:spacing w:line="380" w:lineRule="exact"/>
        <w:ind w:firstLine="482" w:firstLineChars="200"/>
        <w:rPr>
          <w:rFonts w:ascii="宋体" w:hAnsi="宋体" w:eastAsia="宋体" w:cs="Times New Roman"/>
          <w:b/>
          <w:sz w:val="24"/>
          <w:szCs w:val="24"/>
          <w14:ligatures w14:val="none"/>
        </w:rPr>
      </w:pPr>
      <w:r>
        <w:rPr>
          <w:rFonts w:ascii="宋体" w:hAnsi="宋体" w:eastAsia="宋体" w:cs="Times New Roman"/>
          <w:b/>
          <w:sz w:val="24"/>
          <w:szCs w:val="24"/>
          <w14:ligatures w14:val="none"/>
        </w:rPr>
        <w:t>（一）交易发起人</w:t>
      </w:r>
      <w:r>
        <w:rPr>
          <w:rFonts w:hint="eastAsia" w:ascii="宋体" w:hAnsi="宋体" w:eastAsia="宋体" w:cs="Times New Roman"/>
          <w:b/>
          <w:sz w:val="24"/>
          <w:szCs w:val="24"/>
          <w14:ligatures w14:val="none"/>
        </w:rPr>
        <w:t>权利和义务</w:t>
      </w:r>
      <w:r>
        <w:rPr>
          <w:rFonts w:ascii="宋体" w:hAnsi="宋体" w:eastAsia="宋体" w:cs="Times New Roman"/>
          <w:b/>
          <w:sz w:val="24"/>
          <w:szCs w:val="24"/>
          <w14:ligatures w14:val="none"/>
        </w:rPr>
        <w:t>：</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1、交易发起人接受</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交供应商提供的押运服务，必须符合国家法律、法规和人民银行、</w:t>
      </w:r>
      <w:r>
        <w:rPr>
          <w:rFonts w:hint="eastAsia" w:ascii="宋体" w:hAnsi="宋体" w:eastAsia="宋体" w:cs="Times New Roman"/>
          <w:sz w:val="24"/>
          <w:szCs w:val="24"/>
          <w14:ligatures w14:val="none"/>
        </w:rPr>
        <w:t>金融监督管理部门</w:t>
      </w:r>
      <w:r>
        <w:rPr>
          <w:rFonts w:ascii="宋体" w:hAnsi="宋体" w:eastAsia="宋体" w:cs="Times New Roman"/>
          <w:sz w:val="24"/>
          <w:szCs w:val="24"/>
          <w14:ligatures w14:val="none"/>
        </w:rPr>
        <w:t>、公安部、浙江农商联合银行和</w:t>
      </w:r>
      <w:r>
        <w:rPr>
          <w:rFonts w:hint="eastAsia" w:ascii="宋体" w:hAnsi="宋体" w:eastAsia="宋体" w:cs="Times New Roman"/>
          <w:sz w:val="24"/>
          <w:szCs w:val="24"/>
          <w14:ligatures w14:val="none"/>
        </w:rPr>
        <w:t>桐庐</w:t>
      </w:r>
      <w:r>
        <w:rPr>
          <w:rFonts w:ascii="宋体" w:hAnsi="宋体" w:eastAsia="宋体" w:cs="Times New Roman"/>
          <w:sz w:val="24"/>
          <w:szCs w:val="24"/>
          <w14:ligatures w14:val="none"/>
        </w:rPr>
        <w:t>农商银行的有关规定。</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2、交易发起人应依照合同规定，按时向</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交供应商支付押运服务费用。</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3、交易发起人有权对</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交供应商押运服务情况进行监督检查，对</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交供应商违反合同规定的行为，要求</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交供应商整改，对</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交供应商不适合押运服务人员有权提出调换建议。</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4、交易发起人保证所提供的设备（钞箱、袋、锁具）完整，能满足</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交供应商押运的正常需求。</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5、涉及相关押运服务业务增减、营业时间调整等，交易发起人应提前</w:t>
      </w:r>
      <w:r>
        <w:rPr>
          <w:rFonts w:hint="eastAsia" w:ascii="宋体" w:hAnsi="宋体" w:eastAsia="宋体" w:cs="Times New Roman"/>
          <w:sz w:val="24"/>
          <w:szCs w:val="24"/>
          <w14:ligatures w14:val="none"/>
        </w:rPr>
        <w:t>三</w:t>
      </w:r>
      <w:r>
        <w:rPr>
          <w:rFonts w:ascii="宋体" w:hAnsi="宋体" w:eastAsia="宋体" w:cs="Times New Roman"/>
          <w:sz w:val="24"/>
          <w:szCs w:val="24"/>
          <w14:ligatures w14:val="none"/>
        </w:rPr>
        <w:t>天以书面形式告知</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6、交易发起人应向</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交供应商提供出纳解款员、凭证交接员、调度人员的个人信息资料，具体内容包括：个人照片、身份证明，由</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交供应商建立统一的人事备案资料。</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7、交易发起人营业机构工作人员，于每个工作日的早上和晚上，应在规定时间内做好与</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交供应商接送车的交接准备工作。如果由于交易发起人原因，当估计需要</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交供应商工作人员早上等候5分钟或晚上等候10分钟以上的，可告知</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交供应商工作人员先行离开，并将情况及时通知</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交供应商调度室，安排二次接送（原则上为</w:t>
      </w:r>
      <w:r>
        <w:rPr>
          <w:rFonts w:hint="eastAsia" w:ascii="宋体" w:hAnsi="宋体" w:eastAsia="宋体" w:cs="Times New Roman"/>
          <w:sz w:val="24"/>
          <w:szCs w:val="24"/>
          <w14:ligatures w14:val="none"/>
        </w:rPr>
        <w:t>本线路同一辆运钞车</w:t>
      </w:r>
      <w:r>
        <w:rPr>
          <w:rFonts w:ascii="宋体" w:hAnsi="宋体" w:eastAsia="宋体" w:cs="Times New Roman"/>
          <w:sz w:val="24"/>
          <w:szCs w:val="24"/>
          <w14:ligatures w14:val="none"/>
        </w:rPr>
        <w:t>），由此可能造成的</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交供应商押运车辆与后续交易发起人营业机构交接时间的延迟视为合理延迟。</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8、其它需要履行的权利义务。</w:t>
      </w:r>
    </w:p>
    <w:p>
      <w:pPr>
        <w:spacing w:line="380" w:lineRule="exact"/>
        <w:ind w:firstLine="482" w:firstLineChars="200"/>
        <w:rPr>
          <w:rFonts w:ascii="宋体" w:hAnsi="宋体" w:eastAsia="宋体" w:cs="Times New Roman"/>
          <w:b/>
          <w:sz w:val="24"/>
          <w:szCs w:val="24"/>
          <w14:ligatures w14:val="none"/>
        </w:rPr>
      </w:pPr>
      <w:r>
        <w:rPr>
          <w:rFonts w:ascii="宋体" w:hAnsi="宋体" w:eastAsia="宋体" w:cs="Times New Roman"/>
          <w:b/>
          <w:sz w:val="24"/>
          <w:szCs w:val="24"/>
          <w14:ligatures w14:val="none"/>
        </w:rPr>
        <w:t>（二）</w:t>
      </w:r>
      <w:r>
        <w:rPr>
          <w:rFonts w:hint="eastAsia" w:ascii="宋体" w:hAnsi="宋体" w:eastAsia="宋体" w:cs="Times New Roman"/>
          <w:b/>
          <w:sz w:val="24"/>
          <w:szCs w:val="24"/>
          <w14:ligatures w14:val="none"/>
        </w:rPr>
        <w:t>成交</w:t>
      </w:r>
      <w:r>
        <w:rPr>
          <w:rFonts w:ascii="宋体" w:hAnsi="宋体" w:eastAsia="宋体" w:cs="Times New Roman"/>
          <w:b/>
          <w:sz w:val="24"/>
          <w:szCs w:val="24"/>
          <w14:ligatures w14:val="none"/>
        </w:rPr>
        <w:t>供应商</w:t>
      </w:r>
      <w:r>
        <w:rPr>
          <w:rFonts w:hint="eastAsia" w:ascii="宋体" w:hAnsi="宋体" w:eastAsia="宋体" w:cs="Times New Roman"/>
          <w:b/>
          <w:sz w:val="24"/>
          <w:szCs w:val="24"/>
          <w14:ligatures w14:val="none"/>
        </w:rPr>
        <w:t>权利和义务</w:t>
      </w:r>
      <w:r>
        <w:rPr>
          <w:rFonts w:ascii="宋体" w:hAnsi="宋体" w:eastAsia="宋体" w:cs="Times New Roman"/>
          <w:b/>
          <w:sz w:val="24"/>
          <w:szCs w:val="24"/>
          <w14:ligatures w14:val="none"/>
        </w:rPr>
        <w:t>：</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须持有合法有效的保安服务许可证和营业执照，并符合国务院和公安部的相关规定；是依法设立、具有法人资格的实体，具备承担安全押运任务所需的资金、人员、设备；具有与所承担的义务、责任相适应的风险承受能力和赔付能力。</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2、</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交供应商提供的服务应符合公安部、</w:t>
      </w:r>
      <w:r>
        <w:rPr>
          <w:rFonts w:hint="eastAsia" w:ascii="宋体" w:hAnsi="宋体" w:eastAsia="宋体" w:cs="Times New Roman"/>
          <w:sz w:val="24"/>
          <w:szCs w:val="24"/>
          <w14:ligatures w14:val="none"/>
        </w:rPr>
        <w:t>金融监督管理部门</w:t>
      </w:r>
      <w:r>
        <w:rPr>
          <w:rFonts w:ascii="宋体" w:hAnsi="宋体" w:eastAsia="宋体" w:cs="Times New Roman"/>
          <w:sz w:val="24"/>
          <w:szCs w:val="24"/>
          <w14:ligatures w14:val="none"/>
        </w:rPr>
        <w:t>、人民银行、浙江农村商业联合银行</w:t>
      </w:r>
      <w:r>
        <w:rPr>
          <w:rFonts w:hint="eastAsia" w:ascii="宋体" w:hAnsi="宋体" w:eastAsia="宋体" w:cs="Times New Roman"/>
          <w:sz w:val="24"/>
          <w:szCs w:val="24"/>
          <w14:ligatures w14:val="none"/>
        </w:rPr>
        <w:t>及</w:t>
      </w:r>
      <w:r>
        <w:rPr>
          <w:rFonts w:ascii="宋体" w:hAnsi="宋体" w:eastAsia="宋体" w:cs="Times New Roman"/>
          <w:sz w:val="24"/>
          <w:szCs w:val="24"/>
          <w14:ligatures w14:val="none"/>
        </w:rPr>
        <w:t>双方确定的操作规程，</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交供应商提供的运钞车性能和安全标准必须符合公安部等有关文件的规定。</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3、</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交供应商应配备性能良好的专用车辆承担合同项下的押运任务，专用车辆的书面资料及照片应及时送交易发起人备案。</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交供应商更换专用车辆的，需提前十天书面通知交易发起人保卫部门，并将此专用车辆的书面资料送交易发起人备案。</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4、</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交供应商应配备备用的专用车辆。在</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交供应商运钞车发生交通事故、车辆故障等情况时，成交供应商应果断处理，及时调换专用车辆以确保人员、物品的安全，并尽快执行剩余押运任务，最大程度上保证交易发起人业务的正常营业。</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5、成交供应商应向交易发起人提供全部押运人员的个人信息资料，由交易发起人建立统一的人员备案资料，具体内容包括：管理人员、押运员、业务交接员</w:t>
      </w:r>
      <w:r>
        <w:rPr>
          <w:rFonts w:hint="eastAsia" w:ascii="宋体" w:hAnsi="宋体" w:eastAsia="宋体" w:cs="Times New Roman"/>
          <w:sz w:val="24"/>
          <w:szCs w:val="24"/>
          <w14:ligatures w14:val="none"/>
        </w:rPr>
        <w:t>和</w:t>
      </w:r>
      <w:r>
        <w:rPr>
          <w:rFonts w:ascii="宋体" w:hAnsi="宋体" w:eastAsia="宋体" w:cs="Times New Roman"/>
          <w:sz w:val="24"/>
          <w:szCs w:val="24"/>
          <w14:ligatures w14:val="none"/>
        </w:rPr>
        <w:t>驾驶员的照片、身份证明。成交供应商押运人员应具备良好的政治觉悟和高度的责任感，应按规定着装、配备武器、防护器材和通讯工具等，须持成交供应商制作并加盖成交供应商公章的有效证件上岗。</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6、成交供应商必须提供优质高效押运服务。双方（</w:t>
      </w:r>
      <w:r>
        <w:rPr>
          <w:rFonts w:hint="eastAsia" w:ascii="宋体" w:hAnsi="宋体" w:eastAsia="宋体" w:cs="Times New Roman"/>
          <w:sz w:val="24"/>
          <w:szCs w:val="24"/>
          <w14:ligatures w14:val="none"/>
        </w:rPr>
        <w:t>交易发起人和成交供应商</w:t>
      </w:r>
      <w:r>
        <w:rPr>
          <w:rFonts w:ascii="宋体" w:hAnsi="宋体" w:eastAsia="宋体" w:cs="Times New Roman"/>
          <w:sz w:val="24"/>
          <w:szCs w:val="24"/>
          <w14:ligatures w14:val="none"/>
        </w:rPr>
        <w:t>）依据交通法规和机构分布情况，排出可操作性的押运路线和到达时间，交成交供应商实施。成交供应商押运任务的执行原则上在交易发起人规定的有效时间内完成。若遇特殊情况或遇不可抗力等因素不能在有效时间内完成押运任务的，成交供应商应及时通知双方（</w:t>
      </w:r>
      <w:r>
        <w:rPr>
          <w:rFonts w:hint="eastAsia" w:ascii="宋体" w:hAnsi="宋体" w:eastAsia="宋体" w:cs="Times New Roman"/>
          <w:sz w:val="24"/>
          <w:szCs w:val="24"/>
          <w14:ligatures w14:val="none"/>
        </w:rPr>
        <w:t>交易发起人和成交供应商</w:t>
      </w:r>
      <w:r>
        <w:rPr>
          <w:rFonts w:ascii="宋体" w:hAnsi="宋体" w:eastAsia="宋体" w:cs="Times New Roman"/>
          <w:sz w:val="24"/>
          <w:szCs w:val="24"/>
          <w14:ligatures w14:val="none"/>
        </w:rPr>
        <w:t>）调度室进行应急处理，以保证交易发起人的正常营业不受影响。在服务范围内，交易发起人临时需要押送任务，成交供应商必须在0.5小时内响应到位。</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7、成交供应商应对其押运人员的押运服务工作进行有效管理并加强安全检查。成交供应商应尽量保持其押运人员队伍的相对稳定。成交供应商押运人员发生调换的，成交供应商应提前3天书面通知交易发起人，并将介绍信及调换后的人员资料送交易发起人备案。对交易发起人提出的不称职的押运人员或违反合同约定事项，成交供应商应及时查明事实，并在五个工作日内对其押送人员予以调整或整改。</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8、成交供应商有权对交易发起人工作人员交接工作情况向交易发起人通报。</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9、成交供应商押运人员不得无故超出工作范围进入交易发起人的其他区域，对违反规定导致人员伤亡或财产损失的，由成交供应商承担赔偿责任。</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10、成交供应商押运人员每天应按照交易发起人规定的时间到达指定地点待命，保证按时出、入库，保证本合同约定的押运任务的及时、安全、准确完成。</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11、成交供应商业务交接员应按交易发起人要求承担押运物品的装卸车工作。</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12、成交供应商应严格执行浙江农村商业联合银行金融营业、守库、押运期间安全操作规程，</w:t>
      </w:r>
      <w:r>
        <w:rPr>
          <w:rFonts w:hint="eastAsia" w:ascii="宋体" w:hAnsi="宋体" w:eastAsia="宋体" w:cs="Times New Roman"/>
          <w:sz w:val="24"/>
          <w:szCs w:val="24"/>
          <w14:ligatures w14:val="none"/>
        </w:rPr>
        <w:t>及</w:t>
      </w:r>
      <w:r>
        <w:rPr>
          <w:rFonts w:ascii="宋体" w:hAnsi="宋体" w:eastAsia="宋体" w:cs="Times New Roman"/>
          <w:sz w:val="24"/>
          <w:szCs w:val="24"/>
          <w14:ligatures w14:val="none"/>
        </w:rPr>
        <w:t>交易发起人制定</w:t>
      </w:r>
      <w:r>
        <w:rPr>
          <w:rFonts w:hint="eastAsia" w:ascii="宋体" w:hAnsi="宋体" w:eastAsia="宋体" w:cs="Times New Roman"/>
          <w:sz w:val="24"/>
          <w:szCs w:val="24"/>
          <w14:ligatures w14:val="none"/>
        </w:rPr>
        <w:t>的</w:t>
      </w:r>
      <w:r>
        <w:rPr>
          <w:rFonts w:hint="eastAsia" w:ascii="宋体" w:hAnsi="宋体" w:eastAsia="宋体" w:cs="Times New Roman"/>
          <w:bCs/>
          <w:sz w:val="24"/>
          <w:szCs w:val="24"/>
          <w14:ligatures w14:val="none"/>
        </w:rPr>
        <w:t>《浙江桐庐农村商业银行股份有限公司业务库安全防范管理规定》《桐庐农商银行社会化押运业务安全操作流程》</w:t>
      </w:r>
      <w:r>
        <w:rPr>
          <w:rFonts w:ascii="宋体" w:hAnsi="宋体" w:eastAsia="宋体" w:cs="Times New Roman"/>
          <w:sz w:val="24"/>
          <w:szCs w:val="24"/>
          <w14:ligatures w14:val="none"/>
        </w:rPr>
        <w:t>。</w:t>
      </w:r>
    </w:p>
    <w:p>
      <w:pPr>
        <w:suppressAutoHyphens/>
        <w:overflowPunct w:val="0"/>
        <w:spacing w:line="380" w:lineRule="exact"/>
        <w:ind w:firstLine="480" w:firstLineChars="200"/>
        <w:rPr>
          <w:rFonts w:ascii="宋体" w:hAnsi="宋体" w:eastAsia="宋体" w:cs="Times New Roman"/>
          <w:bCs/>
          <w:sz w:val="24"/>
          <w:szCs w:val="24"/>
          <w14:ligatures w14:val="none"/>
        </w:rPr>
      </w:pPr>
      <w:r>
        <w:rPr>
          <w:rFonts w:ascii="宋体" w:hAnsi="宋体" w:eastAsia="宋体" w:cs="Times New Roman"/>
          <w:sz w:val="24"/>
          <w:szCs w:val="24"/>
          <w14:ligatures w14:val="none"/>
        </w:rPr>
        <w:t>13、其它需要履行的权利义务。</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4" w:name="_Toc28051"/>
      <w:r>
        <w:rPr>
          <w:rFonts w:hint="eastAsia" w:ascii="宋体" w:hAnsi="宋体" w:eastAsia="宋体" w:cs="Times New Roman"/>
          <w:b/>
          <w:bCs/>
          <w:kern w:val="0"/>
          <w:sz w:val="24"/>
          <w:szCs w:val="24"/>
          <w14:ligatures w14:val="none"/>
        </w:rPr>
        <w:t>七、押运交接与任务指令的发起、传递要求</w:t>
      </w:r>
      <w:bookmarkEnd w:id="24"/>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1、对押运物品在交接前必须进行有效的封装，</w:t>
      </w:r>
      <w:r>
        <w:rPr>
          <w:rFonts w:hint="eastAsia" w:ascii="宋体" w:hAnsi="宋体" w:eastAsia="宋体" w:cs="Times New Roman"/>
          <w:sz w:val="24"/>
          <w:szCs w:val="24"/>
          <w14:ligatures w14:val="none"/>
        </w:rPr>
        <w:t>交易发起人和</w:t>
      </w:r>
      <w:r>
        <w:rPr>
          <w:rFonts w:ascii="宋体" w:hAnsi="宋体" w:eastAsia="宋体" w:cs="Times New Roman"/>
          <w:sz w:val="24"/>
          <w:szCs w:val="24"/>
          <w14:ligatures w14:val="none"/>
        </w:rPr>
        <w:t>成交供应商在交接时必须对封装情况进行检查。</w:t>
      </w:r>
      <w:r>
        <w:rPr>
          <w:rFonts w:hint="eastAsia" w:ascii="宋体" w:hAnsi="宋体" w:eastAsia="宋体" w:cs="Times New Roman"/>
          <w:sz w:val="24"/>
          <w:szCs w:val="24"/>
          <w14:ligatures w14:val="none"/>
        </w:rPr>
        <w:t>交易发起人和</w:t>
      </w:r>
      <w:r>
        <w:rPr>
          <w:rFonts w:ascii="宋体" w:hAnsi="宋体" w:eastAsia="宋体" w:cs="Times New Roman"/>
          <w:sz w:val="24"/>
          <w:szCs w:val="24"/>
          <w14:ligatures w14:val="none"/>
        </w:rPr>
        <w:t>成交供应商对不符合有效封装的，有拒接（收）的权利。</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2、业务交接前必须进行身份确认，交易发起人营业机构对</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交供应商业务交接员身份和押运任务的确认在</w:t>
      </w:r>
      <w:r>
        <w:rPr>
          <w:rFonts w:hint="eastAsia" w:ascii="宋体" w:hAnsi="宋体" w:eastAsia="宋体" w:cs="Times New Roman"/>
          <w:sz w:val="24"/>
          <w:szCs w:val="24"/>
          <w14:ligatures w14:val="none"/>
        </w:rPr>
        <w:t>双方认可的押运交接系统</w:t>
      </w:r>
      <w:r>
        <w:rPr>
          <w:rFonts w:ascii="宋体" w:hAnsi="宋体" w:eastAsia="宋体" w:cs="Times New Roman"/>
          <w:sz w:val="24"/>
          <w:szCs w:val="24"/>
          <w14:ligatures w14:val="none"/>
        </w:rPr>
        <w:t>进行确认。</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3、业务交接双方（</w:t>
      </w:r>
      <w:r>
        <w:rPr>
          <w:rFonts w:hint="eastAsia" w:ascii="宋体" w:hAnsi="宋体" w:eastAsia="宋体" w:cs="Times New Roman"/>
          <w:sz w:val="24"/>
          <w:szCs w:val="24"/>
          <w14:ligatures w14:val="none"/>
        </w:rPr>
        <w:t>交易发起人和成交供应商</w:t>
      </w:r>
      <w:r>
        <w:rPr>
          <w:rFonts w:ascii="宋体" w:hAnsi="宋体" w:eastAsia="宋体" w:cs="Times New Roman"/>
          <w:sz w:val="24"/>
          <w:szCs w:val="24"/>
          <w14:ligatures w14:val="none"/>
        </w:rPr>
        <w:t>）须在指定的交接区域内办理，交接区域必须安装有用于记录交接过程的监控录像装置，由交易发起人负责保障交接区的监控</w:t>
      </w:r>
      <w:r>
        <w:rPr>
          <w:rFonts w:hint="eastAsia" w:ascii="宋体" w:hAnsi="宋体" w:eastAsia="宋体" w:cs="Times New Roman"/>
          <w:sz w:val="24"/>
          <w:szCs w:val="24"/>
          <w14:ligatures w14:val="none"/>
        </w:rPr>
        <w:t>系</w:t>
      </w:r>
      <w:r>
        <w:rPr>
          <w:rFonts w:ascii="宋体" w:hAnsi="宋体" w:eastAsia="宋体" w:cs="Times New Roman"/>
          <w:sz w:val="24"/>
          <w:szCs w:val="24"/>
          <w14:ligatures w14:val="none"/>
        </w:rPr>
        <w:t>统运转正常，录像保存期不少于</w:t>
      </w:r>
      <w:r>
        <w:rPr>
          <w:rFonts w:hint="eastAsia" w:ascii="宋体" w:hAnsi="宋体" w:eastAsia="宋体" w:cs="Times New Roman"/>
          <w:sz w:val="24"/>
          <w:szCs w:val="24"/>
          <w14:ligatures w14:val="none"/>
        </w:rPr>
        <w:t>九十</w:t>
      </w:r>
      <w:r>
        <w:rPr>
          <w:rFonts w:ascii="宋体" w:hAnsi="宋体" w:eastAsia="宋体" w:cs="Times New Roman"/>
          <w:sz w:val="24"/>
          <w:szCs w:val="24"/>
          <w14:ligatures w14:val="none"/>
        </w:rPr>
        <w:t>天。</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4、在交接区域内办理业务交接，</w:t>
      </w:r>
      <w:r>
        <w:rPr>
          <w:rFonts w:hint="eastAsia" w:ascii="宋体" w:hAnsi="宋体" w:eastAsia="宋体" w:cs="Times New Roman"/>
          <w:sz w:val="24"/>
          <w:szCs w:val="24"/>
          <w14:ligatures w14:val="none"/>
        </w:rPr>
        <w:t>成</w:t>
      </w:r>
      <w:r>
        <w:rPr>
          <w:rFonts w:ascii="宋体" w:hAnsi="宋体" w:eastAsia="宋体" w:cs="Times New Roman"/>
          <w:sz w:val="24"/>
          <w:szCs w:val="24"/>
          <w14:ligatures w14:val="none"/>
        </w:rPr>
        <w:t>交供应商押运员负责提供安全护卫和警戒，但不得进入交易发起人营业机构高柜，严禁接触钱箱。</w:t>
      </w:r>
    </w:p>
    <w:p>
      <w:pPr>
        <w:suppressAutoHyphens/>
        <w:overflowPunct w:val="0"/>
        <w:spacing w:line="380" w:lineRule="exact"/>
        <w:ind w:firstLine="480" w:firstLineChars="200"/>
        <w:rPr>
          <w:rFonts w:ascii="宋体" w:hAnsi="宋体" w:eastAsia="宋体" w:cs="Times New Roman"/>
          <w:bCs/>
          <w:sz w:val="24"/>
          <w:szCs w:val="24"/>
          <w14:ligatures w14:val="none"/>
        </w:rPr>
      </w:pPr>
      <w:r>
        <w:rPr>
          <w:rFonts w:ascii="宋体" w:hAnsi="宋体" w:eastAsia="宋体" w:cs="Times New Roman"/>
          <w:sz w:val="24"/>
          <w:szCs w:val="24"/>
          <w14:ligatures w14:val="none"/>
        </w:rPr>
        <w:t>5、押运任务指令的发起与传递必须由双方调度室进行，其他任何部门均无权发布指令，指令传递通过双方约定的方式进行，具体操作由</w:t>
      </w:r>
      <w:r>
        <w:rPr>
          <w:rFonts w:hint="eastAsia" w:ascii="宋体" w:hAnsi="宋体" w:eastAsia="宋体" w:cs="Times New Roman"/>
          <w:bCs/>
          <w:sz w:val="24"/>
          <w:szCs w:val="24"/>
          <w14:ligatures w14:val="none"/>
        </w:rPr>
        <w:t>《浙江桐庐农村商业银行股份有限公司业务库安全防范管理规定》《桐庐农商银行社会化押运业务安全操作流程》</w:t>
      </w:r>
      <w:r>
        <w:rPr>
          <w:rFonts w:ascii="宋体" w:hAnsi="宋体" w:eastAsia="宋体" w:cs="Times New Roman"/>
          <w:sz w:val="24"/>
          <w:szCs w:val="24"/>
          <w14:ligatures w14:val="none"/>
        </w:rPr>
        <w:t>约定。</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5" w:name="_Toc961"/>
      <w:r>
        <w:rPr>
          <w:rFonts w:hint="eastAsia" w:ascii="宋体" w:hAnsi="宋体" w:eastAsia="宋体" w:cs="Times New Roman"/>
          <w:b/>
          <w:bCs/>
          <w:kern w:val="0"/>
          <w:sz w:val="24"/>
          <w:szCs w:val="24"/>
          <w14:ligatures w14:val="none"/>
        </w:rPr>
        <w:t>八、异常情况处理要求</w:t>
      </w:r>
      <w:bookmarkEnd w:id="25"/>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w:t>
      </w:r>
      <w:r>
        <w:rPr>
          <w:rFonts w:hint="eastAsia" w:ascii="宋体" w:hAnsi="宋体" w:eastAsia="宋体" w:cs="Times New Roman"/>
          <w:sz w:val="24"/>
          <w:szCs w:val="24"/>
          <w14:ligatures w14:val="none"/>
        </w:rPr>
        <w:t>交易发起人和成交供应商</w:t>
      </w:r>
      <w:r>
        <w:rPr>
          <w:rFonts w:ascii="宋体" w:hAnsi="宋体" w:eastAsia="宋体" w:cs="Times New Roman"/>
          <w:sz w:val="24"/>
          <w:szCs w:val="24"/>
          <w14:ligatures w14:val="none"/>
        </w:rPr>
        <w:t>交接时出现箱体、封包破损情况的，</w:t>
      </w:r>
      <w:r>
        <w:rPr>
          <w:rFonts w:hint="eastAsia" w:ascii="宋体" w:hAnsi="宋体" w:eastAsia="宋体" w:cs="Times New Roman"/>
          <w:sz w:val="24"/>
          <w:szCs w:val="24"/>
          <w14:ligatures w14:val="none"/>
        </w:rPr>
        <w:t>交易发起人和成交供应商</w:t>
      </w:r>
      <w:r>
        <w:rPr>
          <w:rFonts w:ascii="宋体" w:hAnsi="宋体" w:eastAsia="宋体" w:cs="Times New Roman"/>
          <w:sz w:val="24"/>
          <w:szCs w:val="24"/>
          <w14:ligatures w14:val="none"/>
        </w:rPr>
        <w:t>交接人员应立即各自报告</w:t>
      </w:r>
      <w:r>
        <w:rPr>
          <w:rFonts w:hint="eastAsia" w:ascii="宋体" w:hAnsi="宋体" w:eastAsia="宋体" w:cs="Times New Roman"/>
          <w:sz w:val="24"/>
          <w:szCs w:val="24"/>
          <w14:ligatures w14:val="none"/>
        </w:rPr>
        <w:t>交易发起人和成交供应商</w:t>
      </w:r>
      <w:r>
        <w:rPr>
          <w:rFonts w:ascii="宋体" w:hAnsi="宋体" w:eastAsia="宋体" w:cs="Times New Roman"/>
          <w:sz w:val="24"/>
          <w:szCs w:val="24"/>
          <w14:ligatures w14:val="none"/>
        </w:rPr>
        <w:t>调度室，若双方（</w:t>
      </w:r>
      <w:r>
        <w:rPr>
          <w:rFonts w:hint="eastAsia" w:ascii="宋体" w:hAnsi="宋体" w:eastAsia="宋体" w:cs="Times New Roman"/>
          <w:sz w:val="24"/>
          <w:szCs w:val="24"/>
          <w14:ligatures w14:val="none"/>
        </w:rPr>
        <w:t>交易发起人和成交供应商</w:t>
      </w:r>
      <w:r>
        <w:rPr>
          <w:rFonts w:ascii="宋体" w:hAnsi="宋体" w:eastAsia="宋体" w:cs="Times New Roman"/>
          <w:sz w:val="24"/>
          <w:szCs w:val="24"/>
          <w14:ligatures w14:val="none"/>
        </w:rPr>
        <w:t>）调度室无保留原状的要求，则在电子监控下，由交易发起人相关业务人员双人打开款箱、封包盘点实物，并将盘点核实结果再次报告双方调度室。特殊情况由双方协商解决。</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2、发生其他异常情况，交易发起人或</w:t>
      </w:r>
      <w:r>
        <w:rPr>
          <w:rFonts w:hint="eastAsia" w:ascii="宋体" w:hAnsi="宋体" w:eastAsia="宋体" w:cs="Times New Roman"/>
          <w:sz w:val="24"/>
          <w:szCs w:val="24"/>
          <w14:ligatures w14:val="none"/>
        </w:rPr>
        <w:t>成交</w:t>
      </w:r>
      <w:r>
        <w:rPr>
          <w:rFonts w:ascii="宋体" w:hAnsi="宋体" w:eastAsia="宋体" w:cs="Times New Roman"/>
          <w:sz w:val="24"/>
          <w:szCs w:val="24"/>
          <w14:ligatures w14:val="none"/>
        </w:rPr>
        <w:t>供应商交接人员应立即报告双方调度室，双方调度室应立即协商或派专人到现场并采取有效措施予以处理。</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6" w:name="_Toc18311"/>
      <w:r>
        <w:rPr>
          <w:rFonts w:hint="eastAsia" w:ascii="宋体" w:hAnsi="宋体" w:eastAsia="宋体" w:cs="Times New Roman"/>
          <w:b/>
          <w:bCs/>
          <w:kern w:val="0"/>
          <w:sz w:val="24"/>
          <w:szCs w:val="24"/>
          <w14:ligatures w14:val="none"/>
        </w:rPr>
        <w:t>九、风险责任界定要求</w:t>
      </w:r>
      <w:bookmarkEnd w:id="26"/>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成交供应商守护、押运过程中责任范围内的全部安全保卫责任和交通事故责任由成交供应商承担。双方风险责任界定如下：</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 库房守护：对交易发起人库房守护范围、职责内出现暴力外侵、抢劫、盗窃、爆炸、火灾、自然灾害、群体哄抢事件等情况的，由成交供应商负全部安全保卫责任。</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 银箱、封包接送和寄存：甲、乙双方交接人员在相关交接记录上签章确认后，风险责任转移至接收方。</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3. 上门收款运送：成交供应商押运车队中的交易发起人方交接员在与交易发起人客户办理交接手续后，风险责任转移至成交供应商，直至与交易发起人现金营运中心办妥交接手续。</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4. 对成交供应商为交易发起人ATM加钞箱运送以及加钞人员护卫：自ATM加钞箱出库区交易发起人现金清分区大门后，风险责任转移至成交供应商，直至成交供应商将ATM加钞箱和交易发起人加钞人员安全接回至交易发起人现金清分区大门止。成交供应商负责对交易发起人ATM加钞箱运送以及装卸ATM现钞整个过程中的交易发起人装卸钞人员和资金的安全护卫，交易发起人ATM操作人员在进行ATM加钞、维护时遭受外来袭击或乘坐成交供应商车辆时发生交通事故，造成人员伤亡和财产损失的，由成交供应商负全部责任。</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5. 对成交供应商为交易发起人到人民银行领缴款的运送和护卫：自交易发起人库区至人民银行金库区，期间款项的安全运送和领缴款人员的安全均由成交供应商负责。如出现有关风险，造成人员伤亡和财产损失的，其责任均由成交供应商负责。</w:t>
      </w:r>
    </w:p>
    <w:p>
      <w:pPr>
        <w:spacing w:line="360" w:lineRule="exact"/>
        <w:ind w:firstLine="480" w:firstLineChars="200"/>
        <w:rPr>
          <w:rFonts w:ascii="宋体" w:hAnsi="宋体" w:eastAsia="宋体" w:cs="Times New Roman"/>
          <w:bCs/>
          <w:sz w:val="24"/>
          <w:szCs w:val="24"/>
          <w:u w:val="single"/>
          <w14:ligatures w14:val="none"/>
        </w:rPr>
      </w:pPr>
      <w:r>
        <w:rPr>
          <w:rFonts w:hint="eastAsia" w:ascii="宋体" w:hAnsi="宋体" w:eastAsia="宋体" w:cs="Times New Roman"/>
          <w:sz w:val="24"/>
          <w:szCs w:val="24"/>
          <w14:ligatures w14:val="none"/>
        </w:rPr>
        <w:t>6. 成交供应商押运人员应当待交易发起人将押运银箱、封包等物品安全入库，或营业网点银箱、封包进入 “二道门”并关锁完毕且待双方交接操作结束，交接人员返回专用车辆后，方可撤离警戒地点。</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7. 发生本合同所未约定责任情况而造成交易发起人人员伤亡或财产损失，按照法律、法规的规定处理，或由过错方承担相应的风险与责任。</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8. 因战争、暴乱及其他不可抗力原因造成交易发起人人员伤亡或财产损失，双方协商处理。</w:t>
      </w:r>
    </w:p>
    <w:p>
      <w:pPr>
        <w:spacing w:line="36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9. 因交易发起人或交易发起人工作人员违反交接规程或过错所引发的相应风险与责任由交易发起人承担。</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7" w:name="_Toc11950"/>
      <w:r>
        <w:rPr>
          <w:rFonts w:hint="eastAsia" w:ascii="宋体" w:hAnsi="宋体" w:eastAsia="宋体" w:cs="Times New Roman"/>
          <w:b/>
          <w:bCs/>
          <w:kern w:val="0"/>
          <w:sz w:val="24"/>
          <w:szCs w:val="24"/>
          <w14:ligatures w14:val="none"/>
        </w:rPr>
        <w:t>十、保险要求</w:t>
      </w:r>
      <w:bookmarkEnd w:id="27"/>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w:t>
      </w:r>
      <w:r>
        <w:rPr>
          <w:rFonts w:hint="eastAsia" w:ascii="宋体" w:hAnsi="宋体" w:eastAsia="宋体" w:cs="Times New Roman"/>
          <w:sz w:val="24"/>
          <w:szCs w:val="24"/>
          <w14:ligatures w14:val="none"/>
        </w:rPr>
        <w:t>成交</w:t>
      </w:r>
      <w:r>
        <w:rPr>
          <w:rFonts w:ascii="宋体" w:hAnsi="宋体" w:eastAsia="宋体" w:cs="Times New Roman"/>
          <w:sz w:val="24"/>
          <w:szCs w:val="24"/>
          <w14:ligatures w14:val="none"/>
        </w:rPr>
        <w:t>供应商应在合同签订后十日内就提供的各项服务内容按行业标准向有关保险机构办理足额保险，其中现金盗抢险投保金额不低于</w:t>
      </w:r>
      <w:r>
        <w:rPr>
          <w:rFonts w:hint="eastAsia" w:ascii="宋体" w:hAnsi="宋体" w:eastAsia="宋体" w:cs="Times New Roman"/>
          <w:sz w:val="24"/>
          <w:szCs w:val="24"/>
          <w14:ligatures w14:val="none"/>
        </w:rPr>
        <w:t>1亿</w:t>
      </w:r>
      <w:r>
        <w:rPr>
          <w:rFonts w:ascii="宋体" w:hAnsi="宋体" w:eastAsia="宋体" w:cs="Times New Roman"/>
          <w:sz w:val="24"/>
          <w:szCs w:val="24"/>
          <w14:ligatures w14:val="none"/>
        </w:rPr>
        <w:t>元，以保证赔偿能力。</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2、</w:t>
      </w:r>
      <w:r>
        <w:rPr>
          <w:rFonts w:hint="eastAsia" w:ascii="宋体" w:hAnsi="宋体" w:eastAsia="宋体" w:cs="Times New Roman"/>
          <w:sz w:val="24"/>
          <w:szCs w:val="24"/>
          <w14:ligatures w14:val="none"/>
        </w:rPr>
        <w:t>成交</w:t>
      </w:r>
      <w:r>
        <w:rPr>
          <w:rFonts w:ascii="宋体" w:hAnsi="宋体" w:eastAsia="宋体" w:cs="Times New Roman"/>
          <w:sz w:val="24"/>
          <w:szCs w:val="24"/>
          <w14:ligatures w14:val="none"/>
        </w:rPr>
        <w:t>供应商根据上级规定统一投保，当发生合同约定的赔偿情况，交易发起人应获得相应的保险赔偿，保险单中不应有任何限制交易发起人权益的条款，但保险法律法规规定的除外。如保险赔偿金不足以抵补交易发起人损失的，</w:t>
      </w:r>
      <w:r>
        <w:rPr>
          <w:rFonts w:hint="eastAsia" w:ascii="宋体" w:hAnsi="宋体" w:eastAsia="宋体" w:cs="Times New Roman"/>
          <w:sz w:val="24"/>
          <w:szCs w:val="24"/>
          <w14:ligatures w14:val="none"/>
        </w:rPr>
        <w:t>成交</w:t>
      </w:r>
      <w:r>
        <w:rPr>
          <w:rFonts w:ascii="宋体" w:hAnsi="宋体" w:eastAsia="宋体" w:cs="Times New Roman"/>
          <w:sz w:val="24"/>
          <w:szCs w:val="24"/>
          <w14:ligatures w14:val="none"/>
        </w:rPr>
        <w:t>供应商应另行予以足额赔偿。</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3、在</w:t>
      </w:r>
      <w:r>
        <w:rPr>
          <w:rFonts w:hint="eastAsia" w:ascii="宋体" w:hAnsi="宋体" w:eastAsia="宋体" w:cs="Times New Roman"/>
          <w:sz w:val="24"/>
          <w:szCs w:val="24"/>
          <w14:ligatures w14:val="none"/>
        </w:rPr>
        <w:t>服务</w:t>
      </w:r>
      <w:r>
        <w:rPr>
          <w:rFonts w:ascii="宋体" w:hAnsi="宋体" w:eastAsia="宋体" w:cs="Times New Roman"/>
          <w:sz w:val="24"/>
          <w:szCs w:val="24"/>
          <w14:ligatures w14:val="none"/>
        </w:rPr>
        <w:t>有效期内，</w:t>
      </w:r>
      <w:r>
        <w:rPr>
          <w:rFonts w:hint="eastAsia" w:ascii="宋体" w:hAnsi="宋体" w:eastAsia="宋体" w:cs="Times New Roman"/>
          <w:sz w:val="24"/>
          <w:szCs w:val="24"/>
          <w14:ligatures w14:val="none"/>
        </w:rPr>
        <w:t>成交</w:t>
      </w:r>
      <w:r>
        <w:rPr>
          <w:rFonts w:ascii="宋体" w:hAnsi="宋体" w:eastAsia="宋体" w:cs="Times New Roman"/>
          <w:sz w:val="24"/>
          <w:szCs w:val="24"/>
          <w14:ligatures w14:val="none"/>
        </w:rPr>
        <w:t>供应商不得以任何理由中断或撤销保险。</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4、在</w:t>
      </w:r>
      <w:r>
        <w:rPr>
          <w:rFonts w:hint="eastAsia" w:ascii="宋体" w:hAnsi="宋体" w:eastAsia="宋体" w:cs="Times New Roman"/>
          <w:sz w:val="24"/>
          <w:szCs w:val="24"/>
          <w14:ligatures w14:val="none"/>
        </w:rPr>
        <w:t>服务</w:t>
      </w:r>
      <w:r>
        <w:rPr>
          <w:rFonts w:ascii="宋体" w:hAnsi="宋体" w:eastAsia="宋体" w:cs="Times New Roman"/>
          <w:sz w:val="24"/>
          <w:szCs w:val="24"/>
          <w14:ligatures w14:val="none"/>
        </w:rPr>
        <w:t>有效期内，若保险单项下的保险期限到期</w:t>
      </w:r>
      <w:r>
        <w:rPr>
          <w:rFonts w:hint="eastAsia" w:ascii="宋体" w:hAnsi="宋体" w:eastAsia="宋体" w:cs="Times New Roman"/>
          <w:sz w:val="24"/>
          <w:szCs w:val="24"/>
          <w14:ligatures w14:val="none"/>
        </w:rPr>
        <w:t>成交</w:t>
      </w:r>
      <w:r>
        <w:rPr>
          <w:rFonts w:ascii="宋体" w:hAnsi="宋体" w:eastAsia="宋体" w:cs="Times New Roman"/>
          <w:sz w:val="24"/>
          <w:szCs w:val="24"/>
          <w14:ligatures w14:val="none"/>
        </w:rPr>
        <w:t>供应商应提前办理续保手续。否则，交易发起人有权代为办理续保手续，因此支出的一切费用由</w:t>
      </w:r>
      <w:r>
        <w:rPr>
          <w:rFonts w:hint="eastAsia" w:ascii="宋体" w:hAnsi="宋体" w:eastAsia="宋体" w:cs="Times New Roman"/>
          <w:sz w:val="24"/>
          <w:szCs w:val="24"/>
          <w14:ligatures w14:val="none"/>
        </w:rPr>
        <w:t>成交</w:t>
      </w:r>
      <w:r>
        <w:rPr>
          <w:rFonts w:ascii="宋体" w:hAnsi="宋体" w:eastAsia="宋体" w:cs="Times New Roman"/>
          <w:sz w:val="24"/>
          <w:szCs w:val="24"/>
          <w14:ligatures w14:val="none"/>
        </w:rPr>
        <w:t>供应商承担。</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8" w:name="_Toc20867"/>
      <w:r>
        <w:rPr>
          <w:rFonts w:hint="eastAsia" w:ascii="宋体" w:hAnsi="宋体" w:eastAsia="宋体" w:cs="Times New Roman"/>
          <w:b/>
          <w:bCs/>
          <w:kern w:val="0"/>
          <w:sz w:val="24"/>
          <w:szCs w:val="24"/>
          <w14:ligatures w14:val="none"/>
        </w:rPr>
        <w:t>十一、违约责任及赔偿条款要求</w:t>
      </w:r>
      <w:bookmarkEnd w:id="28"/>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1、任何一方违反或未履行</w:t>
      </w:r>
      <w:r>
        <w:rPr>
          <w:rFonts w:hint="eastAsia" w:ascii="宋体" w:hAnsi="宋体" w:eastAsia="宋体" w:cs="Times New Roman"/>
          <w:bCs/>
          <w:sz w:val="24"/>
          <w:szCs w:val="24"/>
          <w14:ligatures w14:val="none"/>
        </w:rPr>
        <w:t>《浙江桐庐农村商业银行股份有限公司业务库安全防范管理规定》《桐庐农商银行社会化押运业务安全操作流程》</w:t>
      </w:r>
      <w:r>
        <w:rPr>
          <w:rFonts w:ascii="宋体" w:hAnsi="宋体" w:eastAsia="宋体" w:cs="Times New Roman"/>
          <w:sz w:val="24"/>
          <w:szCs w:val="24"/>
          <w14:ligatures w14:val="none"/>
        </w:rPr>
        <w:t>的有关条款，应当承担违约责任；如给对方造成经济损失的承担相应赔偿经济损失。</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2、成交供应商为</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提供各项服务时，成交供应商车辆所发生的违规违章、交通事故等责任所造成的损失及</w:t>
      </w:r>
      <w:r>
        <w:rPr>
          <w:rFonts w:hint="eastAsia" w:ascii="宋体" w:hAnsi="宋体" w:eastAsia="宋体" w:cs="Times New Roman"/>
          <w:sz w:val="24"/>
          <w:szCs w:val="24"/>
          <w14:ligatures w14:val="none"/>
        </w:rPr>
        <w:t>武器</w:t>
      </w:r>
      <w:r>
        <w:rPr>
          <w:rFonts w:ascii="宋体" w:hAnsi="宋体" w:eastAsia="宋体" w:cs="Times New Roman"/>
          <w:sz w:val="24"/>
          <w:szCs w:val="24"/>
          <w14:ligatures w14:val="none"/>
        </w:rPr>
        <w:t>在使用、保管中造成的事故、案件等均由成交供应商承担责任。</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3、成交供应商负责履行或完成</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委托的押运服务过程中，成交供应商人员未能尽责保护</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财产、人员安全，或成交供应商人员监守自盗、内外勾结作案致使</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财产、人员受到损失和伤害，由成交供应商负赔偿责任。</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4、成交供应商押运人员在履行职责的过程中发生的民事纠纷、过失犯罪、刑事案件、安全责任事故，均由成交供应商承担责任。</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5、成交供应商因资质、经营范围、服务安全保障等未达到公安部门标准及要求，被责令停止、停业或吊销营业执照，给</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造成损失的，由成交供应商承担责任。</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6、若因成交供应商原因不能按时完成押运任务，导致</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营业机构不能按时营业的，</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有权向成交供应商发出整改通知，要求其整改</w:t>
      </w:r>
      <w:r>
        <w:rPr>
          <w:rFonts w:hint="eastAsia" w:ascii="宋体" w:hAnsi="宋体" w:eastAsia="宋体" w:cs="Times New Roman"/>
          <w:sz w:val="24"/>
          <w:szCs w:val="24"/>
          <w14:ligatures w14:val="none"/>
        </w:rPr>
        <w:t>；</w:t>
      </w:r>
      <w:r>
        <w:rPr>
          <w:rFonts w:ascii="宋体" w:hAnsi="宋体" w:eastAsia="宋体" w:cs="Times New Roman"/>
          <w:sz w:val="24"/>
          <w:szCs w:val="24"/>
          <w14:ligatures w14:val="none"/>
        </w:rPr>
        <w:t>如给</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造成损失的，成交供应商应承担赔偿责任。</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7、因成交供应商原因不能按时完成押运任务，导致</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营业机构不能按时营业，影响轻微的属于一般违约；超过半小时或引起客户投诉、媒体负面报道等造成重大社会影响的，属于重大违约。一般违约每起</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有权向成交供应商收取违约金1000元</w:t>
      </w:r>
      <w:r>
        <w:rPr>
          <w:rFonts w:hint="eastAsia" w:ascii="宋体" w:hAnsi="宋体" w:eastAsia="宋体" w:cs="Times New Roman"/>
          <w:sz w:val="24"/>
          <w:szCs w:val="24"/>
          <w14:ligatures w14:val="none"/>
        </w:rPr>
        <w:t>/次</w:t>
      </w:r>
      <w:r>
        <w:rPr>
          <w:rFonts w:ascii="宋体" w:hAnsi="宋体" w:eastAsia="宋体" w:cs="Times New Roman"/>
          <w:sz w:val="24"/>
          <w:szCs w:val="24"/>
          <w14:ligatures w14:val="none"/>
        </w:rPr>
        <w:t>；重大违约每起</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有权按合同年服务费的万分之五到千分之五向成交供应商收取违约金。以上违约金若仍不足以弥补</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因成交供应商的违约行为而遭受的损失的，成交供应商应当按照</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实际损失金额全额赔偿。</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对于成交供应商应支付的违约金、赔偿金，</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有权在下次支付的服务费用中予以扣除。对造成社会影响的，成交供应</w:t>
      </w:r>
      <w:r>
        <w:rPr>
          <w:rFonts w:hint="eastAsia" w:ascii="宋体" w:hAnsi="宋体" w:eastAsia="宋体" w:cs="Times New Roman"/>
          <w:sz w:val="24"/>
          <w:szCs w:val="24"/>
          <w14:ligatures w14:val="none"/>
        </w:rPr>
        <w:t>商</w:t>
      </w:r>
      <w:r>
        <w:rPr>
          <w:rFonts w:ascii="宋体" w:hAnsi="宋体" w:eastAsia="宋体" w:cs="Times New Roman"/>
          <w:sz w:val="24"/>
          <w:szCs w:val="24"/>
          <w14:ligatures w14:val="none"/>
        </w:rPr>
        <w:t>应承担消除影响责任。非成交供应商主观原因除外（如天气、交通堵塞等情形）。</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8、</w:t>
      </w:r>
      <w:r>
        <w:rPr>
          <w:rFonts w:hint="eastAsia" w:ascii="宋体" w:hAnsi="宋体" w:eastAsia="宋体" w:cs="Times New Roman"/>
          <w:sz w:val="24"/>
          <w:szCs w:val="24"/>
          <w14:ligatures w14:val="none"/>
        </w:rPr>
        <w:t>交易发起人</w:t>
      </w:r>
      <w:r>
        <w:rPr>
          <w:rFonts w:ascii="宋体" w:hAnsi="宋体" w:eastAsia="宋体" w:cs="Times New Roman"/>
          <w:sz w:val="24"/>
          <w:szCs w:val="24"/>
          <w14:ligatures w14:val="none"/>
        </w:rPr>
        <w:t>未按合同约定支付服务费用，按年服务费的万分之五向成交供应商支付违约金。</w:t>
      </w:r>
    </w:p>
    <w:p>
      <w:pPr>
        <w:spacing w:line="380" w:lineRule="exact"/>
        <w:ind w:firstLine="480" w:firstLineChars="200"/>
        <w:rPr>
          <w:rFonts w:ascii="宋体" w:hAnsi="宋体" w:eastAsia="宋体" w:cs="Times New Roman"/>
          <w:sz w:val="24"/>
          <w:szCs w:val="24"/>
          <w14:ligatures w14:val="none"/>
        </w:rPr>
      </w:pPr>
      <w:r>
        <w:rPr>
          <w:rFonts w:ascii="宋体" w:hAnsi="宋体" w:eastAsia="宋体" w:cs="Times New Roman"/>
          <w:sz w:val="24"/>
          <w:szCs w:val="24"/>
          <w14:ligatures w14:val="none"/>
        </w:rPr>
        <w:t>9、承担违约赔偿责任的一方应在损失发生的30天内向对方进行赔偿。</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29" w:name="_Toc20765"/>
      <w:bookmarkStart w:id="30" w:name="_Toc36046321"/>
      <w:r>
        <w:rPr>
          <w:rFonts w:hint="eastAsia" w:ascii="宋体" w:hAnsi="宋体" w:eastAsia="宋体" w:cs="Times New Roman"/>
          <w:b/>
          <w:bCs/>
          <w:kern w:val="0"/>
          <w:sz w:val="24"/>
          <w:szCs w:val="24"/>
          <w14:ligatures w14:val="none"/>
        </w:rPr>
        <w:t>十二、其他服务要求</w:t>
      </w:r>
      <w:bookmarkEnd w:id="29"/>
    </w:p>
    <w:p>
      <w:pPr>
        <w:spacing w:line="360" w:lineRule="exact"/>
        <w:ind w:firstLine="480" w:firstLineChars="200"/>
        <w:rPr>
          <w:rFonts w:ascii="宋体" w:hAnsi="宋体" w:eastAsia="宋体" w:cs="Arial"/>
          <w:sz w:val="24"/>
          <w:szCs w:val="24"/>
          <w14:ligatures w14:val="none"/>
        </w:rPr>
      </w:pPr>
      <w:bookmarkStart w:id="31" w:name="_Toc9444"/>
      <w:r>
        <w:rPr>
          <w:rFonts w:hint="eastAsia" w:ascii="宋体" w:hAnsi="宋体" w:eastAsia="宋体" w:cs="Arial"/>
          <w:sz w:val="24"/>
          <w:szCs w:val="24"/>
          <w14:ligatures w14:val="none"/>
        </w:rPr>
        <w:t>1.成交供应商在履行合同义务期间，应遵守国家有关法律、法规、维护交易发起人的合法权益。</w:t>
      </w:r>
    </w:p>
    <w:p>
      <w:pPr>
        <w:spacing w:line="360" w:lineRule="exact"/>
        <w:ind w:firstLine="480" w:firstLineChars="200"/>
        <w:rPr>
          <w:rFonts w:ascii="宋体" w:hAnsi="宋体" w:eastAsia="宋体" w:cs="Arial"/>
          <w:sz w:val="24"/>
          <w:szCs w:val="24"/>
          <w14:ligatures w14:val="none"/>
        </w:rPr>
      </w:pPr>
      <w:r>
        <w:rPr>
          <w:rFonts w:hint="eastAsia" w:ascii="宋体" w:hAnsi="宋体" w:eastAsia="宋体" w:cs="Arial"/>
          <w:sz w:val="24"/>
          <w:szCs w:val="24"/>
          <w14:ligatures w14:val="none"/>
        </w:rPr>
        <w:t>2.成交供应商在签订服务合同的同时，应向交易发起人缴纳人民币</w:t>
      </w:r>
      <w:r>
        <w:rPr>
          <w:rFonts w:ascii="宋体" w:hAnsi="宋体" w:eastAsia="宋体" w:cs="Arial"/>
          <w:sz w:val="24"/>
          <w:szCs w:val="24"/>
          <w14:ligatures w14:val="none"/>
        </w:rPr>
        <w:t>2</w:t>
      </w:r>
      <w:r>
        <w:rPr>
          <w:rFonts w:hint="eastAsia" w:ascii="宋体" w:hAnsi="宋体" w:eastAsia="宋体" w:cs="Arial"/>
          <w:sz w:val="24"/>
          <w:szCs w:val="24"/>
          <w14:ligatures w14:val="none"/>
        </w:rPr>
        <w:t>0万元的履约保证金。项目服务结束，无索赔事件，由交易发起人无息退还。</w:t>
      </w:r>
    </w:p>
    <w:p>
      <w:pPr>
        <w:spacing w:line="360" w:lineRule="exact"/>
        <w:ind w:firstLine="480" w:firstLineChars="200"/>
        <w:rPr>
          <w:rFonts w:ascii="宋体" w:hAnsi="宋体" w:eastAsia="宋体" w:cs="Arial"/>
          <w:b w:val="0"/>
          <w:bCs/>
          <w:sz w:val="24"/>
          <w:szCs w:val="24"/>
          <w14:ligatures w14:val="none"/>
        </w:rPr>
      </w:pPr>
      <w:r>
        <w:rPr>
          <w:rFonts w:hint="eastAsia" w:ascii="宋体" w:hAnsi="宋体" w:eastAsia="宋体" w:cs="Arial"/>
          <w:b w:val="0"/>
          <w:bCs/>
          <w:sz w:val="24"/>
          <w:szCs w:val="24"/>
          <w14:ligatures w14:val="none"/>
        </w:rPr>
        <w:t>3.成交供应商应组建能够满足本项目服务需要的项目小组，按照工作服务范围和采购内容完成守押寄库服务，并按约定向交易发起人汇报工作进展。</w:t>
      </w:r>
    </w:p>
    <w:p>
      <w:pPr>
        <w:spacing w:line="360" w:lineRule="exact"/>
        <w:ind w:firstLine="480" w:firstLineChars="200"/>
        <w:rPr>
          <w:rFonts w:ascii="宋体" w:hAnsi="宋体" w:eastAsia="宋体" w:cs="Arial"/>
          <w:sz w:val="24"/>
          <w:szCs w:val="24"/>
          <w14:ligatures w14:val="none"/>
        </w:rPr>
      </w:pPr>
      <w:r>
        <w:rPr>
          <w:rFonts w:hint="eastAsia" w:ascii="宋体" w:hAnsi="宋体" w:eastAsia="宋体" w:cs="Arial"/>
          <w:b w:val="0"/>
          <w:bCs/>
          <w:sz w:val="24"/>
          <w:szCs w:val="24"/>
          <w14:ligatures w14:val="none"/>
        </w:rPr>
        <w:t>4.供应商在</w:t>
      </w:r>
      <w:r>
        <w:rPr>
          <w:rFonts w:hint="eastAsia" w:ascii="宋体" w:hAnsi="宋体" w:eastAsia="宋体" w:cs="Times New Roman"/>
          <w:b w:val="0"/>
          <w:bCs/>
          <w:sz w:val="24"/>
          <w:szCs w:val="24"/>
          <w14:ligatures w14:val="none"/>
        </w:rPr>
        <w:t>投标</w:t>
      </w:r>
      <w:r>
        <w:rPr>
          <w:rFonts w:hint="eastAsia" w:ascii="宋体" w:hAnsi="宋体" w:eastAsia="宋体" w:cs="Arial"/>
          <w:b w:val="0"/>
          <w:bCs/>
          <w:sz w:val="24"/>
          <w:szCs w:val="24"/>
          <w14:ligatures w14:val="none"/>
        </w:rPr>
        <w:t>文件中明确投入本项目服务的人员基本配备及车辆</w:t>
      </w:r>
      <w:r>
        <w:rPr>
          <w:rFonts w:hint="eastAsia" w:ascii="宋体" w:hAnsi="宋体" w:eastAsia="宋体" w:cs="Arial"/>
          <w:sz w:val="24"/>
          <w:szCs w:val="24"/>
          <w14:ligatures w14:val="none"/>
        </w:rPr>
        <w:t>情况（提供服务人员分配表）。</w:t>
      </w:r>
    </w:p>
    <w:p>
      <w:pPr>
        <w:spacing w:line="360" w:lineRule="exact"/>
        <w:ind w:firstLine="480" w:firstLineChars="200"/>
        <w:rPr>
          <w:rFonts w:ascii="宋体" w:hAnsi="宋体" w:eastAsia="宋体" w:cs="Arial"/>
          <w:b w:val="0"/>
          <w:bCs/>
          <w:sz w:val="24"/>
          <w:szCs w:val="24"/>
          <w14:ligatures w14:val="none"/>
        </w:rPr>
      </w:pPr>
      <w:r>
        <w:rPr>
          <w:rFonts w:hint="eastAsia" w:ascii="宋体" w:hAnsi="宋体" w:eastAsia="宋体" w:cs="Arial"/>
          <w:b w:val="0"/>
          <w:bCs/>
          <w:sz w:val="24"/>
          <w:szCs w:val="24"/>
          <w14:ligatures w14:val="none"/>
        </w:rPr>
        <w:t>5.</w:t>
      </w:r>
      <w:r>
        <w:rPr>
          <w:rFonts w:hint="eastAsia" w:ascii="宋体" w:hAnsi="宋体" w:eastAsia="宋体" w:cs="Arial"/>
          <w:b w:val="0"/>
          <w:bCs/>
          <w:color w:val="auto"/>
          <w:sz w:val="24"/>
          <w:szCs w:val="24"/>
          <w:highlight w:val="none"/>
          <w14:ligatures w14:val="none"/>
        </w:rPr>
        <w:t>成交供应商在2024年</w:t>
      </w:r>
      <w:r>
        <w:rPr>
          <w:rFonts w:hint="eastAsia" w:ascii="宋体" w:hAnsi="宋体" w:eastAsia="宋体" w:cs="Arial"/>
          <w:b w:val="0"/>
          <w:bCs/>
          <w:color w:val="auto"/>
          <w:sz w:val="24"/>
          <w:szCs w:val="24"/>
          <w:highlight w:val="none"/>
          <w:lang w:val="en-US" w:eastAsia="zh-CN"/>
          <w14:ligatures w14:val="none"/>
        </w:rPr>
        <w:t>05</w:t>
      </w:r>
      <w:r>
        <w:rPr>
          <w:rFonts w:hint="eastAsia" w:ascii="宋体" w:hAnsi="宋体" w:eastAsia="宋体" w:cs="Arial"/>
          <w:b w:val="0"/>
          <w:bCs/>
          <w:color w:val="auto"/>
          <w:sz w:val="24"/>
          <w:szCs w:val="24"/>
          <w:highlight w:val="none"/>
          <w14:ligatures w14:val="none"/>
        </w:rPr>
        <w:t>月</w:t>
      </w:r>
      <w:r>
        <w:rPr>
          <w:rFonts w:hint="eastAsia" w:ascii="宋体" w:hAnsi="宋体" w:cs="Arial"/>
          <w:b w:val="0"/>
          <w:bCs/>
          <w:color w:val="auto"/>
          <w:sz w:val="24"/>
          <w:szCs w:val="24"/>
          <w:highlight w:val="none"/>
          <w:lang w:val="en-US" w:eastAsia="zh-CN"/>
          <w14:ligatures w14:val="none"/>
        </w:rPr>
        <w:t>29</w:t>
      </w:r>
      <w:r>
        <w:rPr>
          <w:rFonts w:hint="eastAsia" w:ascii="宋体" w:hAnsi="宋体" w:eastAsia="宋体" w:cs="Arial"/>
          <w:b w:val="0"/>
          <w:bCs/>
          <w:color w:val="auto"/>
          <w:sz w:val="24"/>
          <w:szCs w:val="24"/>
          <w:highlight w:val="none"/>
          <w14:ligatures w14:val="none"/>
        </w:rPr>
        <w:t>日前，</w:t>
      </w:r>
      <w:r>
        <w:rPr>
          <w:rFonts w:hint="eastAsia" w:ascii="宋体" w:hAnsi="宋体" w:eastAsia="宋体" w:cs="Arial"/>
          <w:b w:val="0"/>
          <w:bCs/>
          <w:sz w:val="24"/>
          <w:szCs w:val="24"/>
          <w14:ligatures w14:val="none"/>
        </w:rPr>
        <w:t>须提供满足交易文件要求和承诺的独立的库房，若不能提供或经交易发起人验收不能正常开展业务的，交易发起人有权取消成交供应商成交资格。</w:t>
      </w:r>
    </w:p>
    <w:p>
      <w:pPr>
        <w:spacing w:line="360" w:lineRule="exact"/>
        <w:ind w:firstLine="480" w:firstLineChars="200"/>
        <w:rPr>
          <w:rFonts w:ascii="宋体" w:hAnsi="宋体" w:eastAsia="宋体" w:cs="Arial"/>
          <w:sz w:val="24"/>
          <w:szCs w:val="24"/>
          <w14:ligatures w14:val="none"/>
        </w:rPr>
      </w:pPr>
      <w:r>
        <w:rPr>
          <w:rFonts w:hint="eastAsia" w:ascii="宋体" w:hAnsi="宋体" w:eastAsia="宋体" w:cs="Arial"/>
          <w:sz w:val="24"/>
          <w:szCs w:val="24"/>
          <w14:ligatures w14:val="none"/>
        </w:rPr>
        <w:t>6.中标方若需将其他银行网点加入交易发起人固定押运线路的，须经交易发起人同意后并支付相应费用。</w:t>
      </w:r>
    </w:p>
    <w:bookmarkEnd w:id="30"/>
    <w:bookmarkEnd w:id="31"/>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32" w:name="_Toc36046322"/>
      <w:bookmarkStart w:id="33" w:name="_Toc1843"/>
      <w:r>
        <w:rPr>
          <w:rFonts w:hint="eastAsia" w:ascii="宋体" w:hAnsi="宋体" w:eastAsia="宋体" w:cs="Times New Roman"/>
          <w:b/>
          <w:bCs/>
          <w:kern w:val="0"/>
          <w:sz w:val="24"/>
          <w:szCs w:val="24"/>
          <w14:ligatures w14:val="none"/>
        </w:rPr>
        <w:t>十三、</w:t>
      </w:r>
      <w:bookmarkEnd w:id="32"/>
      <w:r>
        <w:rPr>
          <w:rFonts w:hint="eastAsia" w:ascii="宋体" w:hAnsi="宋体" w:eastAsia="宋体" w:cs="Times New Roman"/>
          <w:b/>
          <w:bCs/>
          <w:kern w:val="0"/>
          <w:sz w:val="24"/>
          <w:szCs w:val="24"/>
          <w14:ligatures w14:val="none"/>
        </w:rPr>
        <w:t>付款方式</w:t>
      </w:r>
      <w:bookmarkEnd w:id="33"/>
    </w:p>
    <w:p>
      <w:pPr>
        <w:autoSpaceDE w:val="0"/>
        <w:autoSpaceDN w:val="0"/>
        <w:adjustRightInd w:val="0"/>
        <w:spacing w:line="36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1、服务费按季支付，按实结算。</w:t>
      </w:r>
    </w:p>
    <w:p>
      <w:pPr>
        <w:autoSpaceDE w:val="0"/>
        <w:autoSpaceDN w:val="0"/>
        <w:adjustRightInd w:val="0"/>
        <w:spacing w:line="36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2、实际服务费=提供不同服务种类的实际数量×成交单价的合计。</w:t>
      </w:r>
    </w:p>
    <w:p>
      <w:pPr>
        <w:autoSpaceDE w:val="0"/>
        <w:autoSpaceDN w:val="0"/>
        <w:adjustRightInd w:val="0"/>
        <w:spacing w:line="36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60" w:lineRule="exact"/>
        <w:ind w:firstLine="480" w:firstLineChars="200"/>
        <w:jc w:val="left"/>
        <w:rPr>
          <w:rFonts w:ascii="宋体" w:hAnsi="宋体" w:eastAsia="宋体" w:cs="宋体"/>
          <w:sz w:val="24"/>
          <w:szCs w:val="24"/>
          <w14:ligatures w14:val="none"/>
        </w:rPr>
      </w:pPr>
      <w:r>
        <w:rPr>
          <w:rFonts w:hint="eastAsia" w:ascii="宋体" w:hAnsi="宋体" w:eastAsia="宋体" w:cs="宋体"/>
          <w:sz w:val="24"/>
          <w:szCs w:val="24"/>
          <w14:ligatures w14:val="none"/>
        </w:rPr>
        <w:t>4、结款前，成交供应商提供等额的税务发票及交易发起人要求的结款资料。</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34" w:name="_Toc16055"/>
      <w:bookmarkStart w:id="35" w:name="_Toc36046323"/>
      <w:r>
        <w:rPr>
          <w:rFonts w:hint="eastAsia" w:ascii="宋体" w:hAnsi="宋体" w:eastAsia="宋体" w:cs="Times New Roman"/>
          <w:b/>
          <w:bCs/>
          <w:kern w:val="0"/>
          <w:sz w:val="24"/>
          <w:szCs w:val="24"/>
          <w14:ligatures w14:val="none"/>
        </w:rPr>
        <w:t>十四、服务时间</w:t>
      </w:r>
      <w:bookmarkEnd w:id="34"/>
    </w:p>
    <w:p>
      <w:pPr>
        <w:ind w:firstLine="480" w:firstLineChars="20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36" w:name="_Toc24969"/>
      <w:r>
        <w:rPr>
          <w:rFonts w:hint="eastAsia" w:ascii="宋体" w:hAnsi="宋体" w:eastAsia="宋体" w:cs="Times New Roman"/>
          <w:b/>
          <w:bCs/>
          <w:kern w:val="0"/>
          <w:sz w:val="24"/>
          <w:szCs w:val="24"/>
          <w14:ligatures w14:val="none"/>
        </w:rPr>
        <w:t>十五、服务质量要求</w:t>
      </w:r>
      <w:bookmarkEnd w:id="36"/>
    </w:p>
    <w:p>
      <w:pPr>
        <w:spacing w:line="340" w:lineRule="exact"/>
        <w:ind w:firstLine="480" w:firstLineChars="200"/>
        <w:rPr>
          <w:rFonts w:ascii="宋体" w:hAnsi="宋体" w:eastAsia="宋体" w:cs="宋体"/>
          <w:sz w:val="24"/>
          <w:szCs w:val="24"/>
          <w14:ligatures w14:val="none"/>
        </w:rPr>
      </w:pPr>
      <w:r>
        <w:rPr>
          <w:rFonts w:hint="eastAsia" w:ascii="宋体" w:hAnsi="宋体" w:eastAsia="宋体" w:cs="宋体"/>
          <w:sz w:val="24"/>
          <w:szCs w:val="24"/>
          <w14:ligatures w14:val="none"/>
        </w:rPr>
        <w:t>满足以及配合交易发起人对本项目的服务要求和工作。</w:t>
      </w:r>
    </w:p>
    <w:bookmarkEnd w:id="35"/>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37" w:name="_Toc22759"/>
      <w:r>
        <w:rPr>
          <w:rFonts w:hint="eastAsia" w:ascii="宋体" w:hAnsi="宋体" w:eastAsia="宋体" w:cs="Times New Roman"/>
          <w:b/>
          <w:bCs/>
          <w:kern w:val="0"/>
          <w:sz w:val="24"/>
          <w:szCs w:val="24"/>
          <w14:ligatures w14:val="none"/>
        </w:rPr>
        <w:t>十六、商务要求</w:t>
      </w:r>
      <w:bookmarkEnd w:id="37"/>
    </w:p>
    <w:tbl>
      <w:tblPr>
        <w:tblStyle w:val="29"/>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▲服务时间</w:t>
            </w:r>
          </w:p>
        </w:tc>
        <w:tc>
          <w:tcPr>
            <w:tcW w:w="7655" w:type="dxa"/>
            <w:vAlign w:val="center"/>
          </w:tcPr>
          <w:p>
            <w:pPr>
              <w:spacing w:line="340" w:lineRule="exact"/>
              <w:rPr>
                <w:rFonts w:ascii="宋体" w:hAnsi="宋体" w:eastAsia="宋体" w:cs="宋体"/>
                <w:sz w:val="24"/>
                <w:szCs w:val="24"/>
                <w14:ligatures w14:val="none"/>
              </w:rPr>
            </w:pPr>
            <w:r>
              <w:rPr>
                <w:rFonts w:hint="eastAsia" w:ascii="宋体" w:hAnsi="宋体" w:eastAsia="宋体" w:cs="Times New Roman"/>
                <w:sz w:val="24"/>
                <w:szCs w:val="24"/>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服务质量要求</w:t>
            </w:r>
          </w:p>
        </w:tc>
        <w:tc>
          <w:tcPr>
            <w:tcW w:w="7655" w:type="dxa"/>
            <w:vAlign w:val="center"/>
          </w:tcPr>
          <w:p>
            <w:pPr>
              <w:autoSpaceDE w:val="0"/>
              <w:autoSpaceDN w:val="0"/>
              <w:adjustRightInd w:val="0"/>
              <w:spacing w:line="36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满足以及配合交易发起人对</w:t>
            </w:r>
            <w:r>
              <w:rPr>
                <w:rFonts w:hint="eastAsia" w:ascii="宋体" w:hAnsi="宋体" w:eastAsia="宋体" w:cs="Times New Roman"/>
                <w:bCs/>
                <w:sz w:val="24"/>
                <w:szCs w:val="24"/>
                <w14:ligatures w14:val="none"/>
              </w:rPr>
              <w:t>本项目的服务</w:t>
            </w:r>
            <w:r>
              <w:rPr>
                <w:rFonts w:hint="eastAsia" w:ascii="宋体" w:hAnsi="宋体" w:eastAsia="宋体" w:cs="Times New Roman"/>
                <w:sz w:val="24"/>
                <w:szCs w:val="24"/>
                <w14:ligatures w14:val="none"/>
              </w:rPr>
              <w:t>要求和工作。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▲付款方式</w:t>
            </w:r>
          </w:p>
        </w:tc>
        <w:tc>
          <w:tcPr>
            <w:tcW w:w="7655" w:type="dxa"/>
            <w:vAlign w:val="center"/>
          </w:tcPr>
          <w:p>
            <w:pPr>
              <w:autoSpaceDE w:val="0"/>
              <w:autoSpaceDN w:val="0"/>
              <w:adjustRightInd w:val="0"/>
              <w:spacing w:line="36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1、服务费按季支付，按实结算。</w:t>
            </w:r>
          </w:p>
          <w:p>
            <w:pPr>
              <w:autoSpaceDE w:val="0"/>
              <w:autoSpaceDN w:val="0"/>
              <w:adjustRightInd w:val="0"/>
              <w:spacing w:line="36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2、实际服务费=提供不同服务种类的实际数量 × 成交单价的合计。</w:t>
            </w:r>
          </w:p>
          <w:p>
            <w:pPr>
              <w:autoSpaceDE w:val="0"/>
              <w:autoSpaceDN w:val="0"/>
              <w:adjustRightInd w:val="0"/>
              <w:spacing w:line="36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60" w:lineRule="exact"/>
              <w:jc w:val="left"/>
              <w:rPr>
                <w:rFonts w:ascii="宋体" w:hAnsi="宋体" w:eastAsia="宋体" w:cs="宋体"/>
                <w:sz w:val="24"/>
                <w:szCs w:val="24"/>
                <w:highlight w:val="yellow"/>
                <w14:ligatures w14:val="none"/>
              </w:rPr>
            </w:pPr>
            <w:r>
              <w:rPr>
                <w:rFonts w:hint="eastAsia" w:ascii="宋体" w:hAnsi="宋体" w:eastAsia="宋体" w:cs="宋体"/>
                <w:sz w:val="24"/>
                <w:szCs w:val="24"/>
                <w14:ligatures w14:val="none"/>
              </w:rPr>
              <w:t>4、结款前，成交供应商提供等额的税务发票及交易发起人要求的结款资料。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1985" w:type="dxa"/>
            <w:vAlign w:val="center"/>
          </w:tcPr>
          <w:p>
            <w:pPr>
              <w:spacing w:line="360" w:lineRule="exact"/>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报价</w:t>
            </w:r>
          </w:p>
        </w:tc>
        <w:tc>
          <w:tcPr>
            <w:tcW w:w="7655" w:type="dxa"/>
            <w:vAlign w:val="center"/>
          </w:tcPr>
          <w:p>
            <w:pPr>
              <w:spacing w:line="360" w:lineRule="exact"/>
              <w:rPr>
                <w:rFonts w:ascii="宋体" w:hAnsi="宋体" w:eastAsia="宋体" w:cs="宋体"/>
                <w:bCs/>
                <w:kern w:val="0"/>
                <w:sz w:val="24"/>
                <w:szCs w:val="24"/>
                <w14:ligatures w14:val="none"/>
              </w:rPr>
            </w:pPr>
            <w:r>
              <w:rPr>
                <w:rFonts w:hint="eastAsia" w:ascii="宋体" w:hAnsi="宋体" w:eastAsia="宋体" w:cs="宋体"/>
                <w:bCs/>
                <w:kern w:val="0"/>
                <w:sz w:val="24"/>
                <w:szCs w:val="24"/>
                <w14:ligatures w14:val="none"/>
              </w:rPr>
              <w:t>报价应包括提供服务所需的一切人员工资、设备（车辆）维修费、保养费、交通费、安全管理费用、保险费、税费、利润等与本项目相关的一切费用。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1985" w:type="dxa"/>
            <w:vAlign w:val="center"/>
          </w:tcPr>
          <w:p>
            <w:pPr>
              <w:spacing w:line="360" w:lineRule="exact"/>
              <w:jc w:val="center"/>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履约保证金</w:t>
            </w:r>
          </w:p>
        </w:tc>
        <w:tc>
          <w:tcPr>
            <w:tcW w:w="7655" w:type="dxa"/>
            <w:vAlign w:val="center"/>
          </w:tcPr>
          <w:p>
            <w:pPr>
              <w:spacing w:line="360" w:lineRule="exact"/>
              <w:rPr>
                <w:rFonts w:ascii="宋体" w:hAnsi="宋体" w:eastAsia="宋体" w:cs="宋体"/>
                <w:bCs/>
                <w:kern w:val="0"/>
                <w:sz w:val="24"/>
                <w:szCs w:val="24"/>
                <w14:ligatures w14:val="none"/>
              </w:rPr>
            </w:pPr>
            <w:r>
              <w:rPr>
                <w:rFonts w:hint="eastAsia" w:ascii="宋体" w:hAnsi="宋体" w:eastAsia="宋体" w:cs="宋体"/>
                <w:bCs/>
                <w:kern w:val="0"/>
                <w:sz w:val="24"/>
                <w:szCs w:val="24"/>
                <w14:ligatures w14:val="none"/>
              </w:rPr>
              <w:t>成交供应商在签订合同的同时应向交易发起人缴纳</w:t>
            </w:r>
            <w:r>
              <w:rPr>
                <w:rFonts w:ascii="宋体" w:hAnsi="宋体" w:eastAsia="宋体" w:cs="宋体"/>
                <w:bCs/>
                <w:kern w:val="0"/>
                <w:sz w:val="24"/>
                <w:szCs w:val="24"/>
                <w14:ligatures w14:val="none"/>
              </w:rPr>
              <w:t>2</w:t>
            </w:r>
            <w:r>
              <w:rPr>
                <w:rFonts w:hint="eastAsia" w:ascii="宋体" w:hAnsi="宋体" w:eastAsia="宋体" w:cs="宋体"/>
                <w:bCs/>
                <w:kern w:val="0"/>
                <w:sz w:val="24"/>
                <w:szCs w:val="24"/>
                <w14:ligatures w14:val="none"/>
              </w:rPr>
              <w:t>0万元的履约保证金，本项目服务结束，成交供应商无索赔事件，由交易发起人无息退还。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985" w:type="dxa"/>
            <w:vAlign w:val="center"/>
          </w:tcPr>
          <w:p>
            <w:pPr>
              <w:adjustRightInd w:val="0"/>
              <w:snapToGrid w:val="0"/>
              <w:spacing w:line="360" w:lineRule="exact"/>
              <w:jc w:val="center"/>
              <w:rPr>
                <w:rFonts w:ascii="宋体" w:hAnsi="宋体" w:eastAsia="宋体" w:cs="Times New Roman"/>
                <w:b/>
                <w:color w:val="000000"/>
                <w:sz w:val="24"/>
                <w:szCs w:val="24"/>
                <w14:ligatures w14:val="none"/>
              </w:rPr>
            </w:pPr>
            <w:r>
              <w:rPr>
                <w:rFonts w:hint="eastAsia" w:ascii="宋体" w:hAnsi="宋体" w:eastAsia="宋体" w:cs="Times New Roman"/>
                <w:b/>
                <w:color w:val="000000"/>
                <w:sz w:val="24"/>
                <w:szCs w:val="24"/>
                <w14:ligatures w14:val="none"/>
              </w:rPr>
              <w:t>专利及知识产权</w:t>
            </w:r>
          </w:p>
        </w:tc>
        <w:tc>
          <w:tcPr>
            <w:tcW w:w="7655" w:type="dxa"/>
            <w:vAlign w:val="center"/>
          </w:tcPr>
          <w:p>
            <w:pPr>
              <w:spacing w:line="360" w:lineRule="exact"/>
              <w:rPr>
                <w:rFonts w:ascii="宋体" w:hAnsi="宋体" w:eastAsia="宋体" w:cs="Times New Roman"/>
                <w:sz w:val="24"/>
                <w:szCs w:val="24"/>
                <w14:ligatures w14:val="none"/>
              </w:rPr>
            </w:pPr>
            <w:r>
              <w:rPr>
                <w:rFonts w:hint="eastAsia" w:ascii="宋体" w:hAnsi="宋体" w:eastAsia="宋体" w:cs="宋体"/>
                <w:bCs/>
                <w:kern w:val="0"/>
                <w:sz w:val="24"/>
                <w:szCs w:val="24"/>
                <w14:ligatures w14:val="none"/>
              </w:rPr>
              <w:t>成交供应商</w:t>
            </w:r>
            <w:r>
              <w:rPr>
                <w:rFonts w:hint="eastAsia" w:ascii="宋体" w:hAnsi="宋体" w:eastAsia="宋体" w:cs="Times New Roman"/>
                <w:sz w:val="24"/>
                <w:szCs w:val="24"/>
                <w14:ligatures w14:val="none"/>
              </w:rPr>
              <w:t>需对产品的专利等负责，并保证不伤害交易发起人的利益。在法律范围内，所有文字、商标和技术侵权造成的相关费用，交易发起人概不负责。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985" w:type="dxa"/>
            <w:vAlign w:val="center"/>
          </w:tcPr>
          <w:p>
            <w:pPr>
              <w:autoSpaceDE w:val="0"/>
              <w:autoSpaceDN w:val="0"/>
              <w:adjustRightInd w:val="0"/>
              <w:spacing w:line="360" w:lineRule="exact"/>
              <w:jc w:val="center"/>
              <w:rPr>
                <w:rFonts w:ascii="宋体" w:hAnsi="宋体" w:eastAsia="宋体" w:cs="宋体"/>
                <w:b/>
                <w:sz w:val="24"/>
                <w:szCs w:val="24"/>
                <w14:ligatures w14:val="none"/>
              </w:rPr>
            </w:pPr>
            <w:r>
              <w:rPr>
                <w:rFonts w:hint="eastAsia" w:ascii="宋体" w:hAnsi="宋体" w:eastAsia="宋体" w:cs="宋体"/>
                <w:b/>
                <w:sz w:val="24"/>
                <w:szCs w:val="24"/>
                <w14:ligatures w14:val="none"/>
              </w:rPr>
              <w:t>安全生产要求</w:t>
            </w:r>
          </w:p>
        </w:tc>
        <w:tc>
          <w:tcPr>
            <w:tcW w:w="7655" w:type="dxa"/>
            <w:vAlign w:val="center"/>
          </w:tcPr>
          <w:p>
            <w:pPr>
              <w:autoSpaceDE w:val="0"/>
              <w:autoSpaceDN w:val="0"/>
              <w:adjustRightInd w:val="0"/>
              <w:spacing w:line="360" w:lineRule="exact"/>
              <w:rPr>
                <w:rFonts w:ascii="宋体" w:hAnsi="宋体" w:eastAsia="宋体" w:cs="宋体"/>
                <w:sz w:val="24"/>
                <w:szCs w:val="24"/>
                <w14:ligatures w14:val="none"/>
              </w:rPr>
            </w:pPr>
            <w:r>
              <w:rPr>
                <w:rFonts w:hint="eastAsia" w:ascii="宋体" w:hAnsi="宋体" w:eastAsia="宋体" w:cs="宋体"/>
                <w:sz w:val="24"/>
                <w:szCs w:val="24"/>
                <w14:ligatures w14:val="none"/>
              </w:rPr>
              <w:t>成交供应商应自行承担项目实施过程中安全生产责任，交易发起人任何情况下均不承担因此产生的任何法律责任和经济责任。</w:t>
            </w:r>
          </w:p>
        </w:tc>
      </w:tr>
    </w:tbl>
    <w:p>
      <w:pPr>
        <w:widowControl/>
        <w:spacing w:line="38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本招标文件中带▲号的条款内容，为本次采购的实质性内容，供应商必须全部响应，否则将按响应无效处理。</w:t>
      </w:r>
    </w:p>
    <w:p>
      <w:pPr>
        <w:pStyle w:val="39"/>
        <w:widowControl w:val="0"/>
        <w:numPr>
          <w:ilvl w:val="0"/>
          <w:numId w:val="0"/>
        </w:numPr>
        <w:adjustRightInd w:val="0"/>
        <w:snapToGrid w:val="0"/>
        <w:spacing w:before="0" w:line="360" w:lineRule="auto"/>
        <w:jc w:val="both"/>
        <w:rPr>
          <w:rFonts w:hint="eastAsia" w:ascii="宋体" w:hAnsi="宋体" w:eastAsia="宋体" w:cs="宋体"/>
          <w:color w:val="auto"/>
          <w:kern w:val="0"/>
          <w:szCs w:val="24"/>
          <w:highlight w:val="none"/>
          <w:lang w:val="en-US" w:eastAsia="zh-CN"/>
        </w:rPr>
      </w:pPr>
    </w:p>
    <w:p>
      <w:pPr>
        <w:pStyle w:val="26"/>
        <w:spacing w:before="0" w:beforeAutospacing="0" w:after="0" w:afterAutospacing="0"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第四部分   </w:t>
      </w:r>
      <w:bookmarkStart w:id="38" w:name="_Toc184308108"/>
      <w:bookmarkEnd w:id="38"/>
      <w:bookmarkStart w:id="39" w:name="_Toc184313286"/>
      <w:bookmarkEnd w:id="39"/>
      <w:bookmarkStart w:id="40" w:name="_Toc184308078"/>
      <w:bookmarkEnd w:id="40"/>
      <w:bookmarkStart w:id="41" w:name="_Toc184312134"/>
      <w:bookmarkEnd w:id="41"/>
      <w:bookmarkStart w:id="42" w:name="_Toc184308104"/>
      <w:bookmarkEnd w:id="42"/>
      <w:bookmarkStart w:id="43" w:name="_Toc184312119"/>
      <w:bookmarkEnd w:id="43"/>
      <w:bookmarkStart w:id="44" w:name="_Toc184310332"/>
      <w:bookmarkEnd w:id="44"/>
      <w:bookmarkStart w:id="45" w:name="_Toc184312100"/>
      <w:bookmarkEnd w:id="45"/>
      <w:bookmarkStart w:id="46" w:name="_Toc184310321"/>
      <w:bookmarkEnd w:id="46"/>
      <w:bookmarkStart w:id="47" w:name="_Toc184314428"/>
      <w:bookmarkEnd w:id="47"/>
      <w:bookmarkStart w:id="48" w:name="_Toc184313280"/>
      <w:bookmarkEnd w:id="48"/>
      <w:bookmarkStart w:id="49" w:name="_Toc184313256"/>
      <w:bookmarkEnd w:id="49"/>
      <w:bookmarkStart w:id="50" w:name="_Toc184314477"/>
      <w:bookmarkEnd w:id="50"/>
      <w:bookmarkStart w:id="51" w:name="_Toc184308065"/>
      <w:bookmarkEnd w:id="51"/>
      <w:bookmarkStart w:id="52" w:name="_Toc184313257"/>
      <w:bookmarkEnd w:id="52"/>
      <w:bookmarkStart w:id="53" w:name="_Toc184313265"/>
      <w:bookmarkEnd w:id="53"/>
      <w:bookmarkStart w:id="54" w:name="_Toc184312082"/>
      <w:bookmarkEnd w:id="54"/>
      <w:bookmarkStart w:id="55" w:name="_Toc184314450"/>
      <w:bookmarkEnd w:id="55"/>
      <w:bookmarkStart w:id="56" w:name="_Toc184308052"/>
      <w:bookmarkEnd w:id="56"/>
      <w:bookmarkStart w:id="57" w:name="_Toc184314415"/>
      <w:bookmarkEnd w:id="57"/>
      <w:bookmarkStart w:id="58" w:name="_Toc184312099"/>
      <w:bookmarkEnd w:id="58"/>
      <w:bookmarkStart w:id="59" w:name="_Toc184313277"/>
      <w:bookmarkEnd w:id="59"/>
      <w:bookmarkStart w:id="60" w:name="_Toc184314476"/>
      <w:bookmarkEnd w:id="60"/>
      <w:bookmarkStart w:id="61" w:name="_Toc184314430"/>
      <w:bookmarkEnd w:id="61"/>
      <w:bookmarkStart w:id="62" w:name="_Toc184308089"/>
      <w:bookmarkEnd w:id="62"/>
      <w:bookmarkStart w:id="63" w:name="_Toc184308041"/>
      <w:bookmarkEnd w:id="63"/>
      <w:bookmarkStart w:id="64" w:name="_Toc184308081"/>
      <w:bookmarkEnd w:id="64"/>
      <w:bookmarkStart w:id="65" w:name="_Toc184313246"/>
      <w:bookmarkEnd w:id="65"/>
      <w:bookmarkStart w:id="66" w:name="_Toc184308071"/>
      <w:bookmarkEnd w:id="66"/>
      <w:bookmarkStart w:id="67" w:name="_Toc184308036"/>
      <w:bookmarkEnd w:id="67"/>
      <w:bookmarkStart w:id="68" w:name="_Toc184314448"/>
      <w:bookmarkEnd w:id="68"/>
      <w:bookmarkStart w:id="69" w:name="_Toc184313241"/>
      <w:bookmarkEnd w:id="69"/>
      <w:bookmarkStart w:id="70" w:name="_Toc184308099"/>
      <w:bookmarkEnd w:id="70"/>
      <w:bookmarkStart w:id="71" w:name="_Toc184314457"/>
      <w:bookmarkEnd w:id="71"/>
      <w:bookmarkStart w:id="72" w:name="_Toc184313301"/>
      <w:bookmarkEnd w:id="72"/>
      <w:bookmarkStart w:id="73" w:name="_Toc184310331"/>
      <w:bookmarkEnd w:id="73"/>
      <w:bookmarkStart w:id="74" w:name="_Toc184310286"/>
      <w:bookmarkEnd w:id="74"/>
      <w:bookmarkStart w:id="75" w:name="_Toc184313300"/>
      <w:bookmarkEnd w:id="75"/>
      <w:bookmarkStart w:id="76" w:name="_Toc184312117"/>
      <w:bookmarkEnd w:id="76"/>
      <w:bookmarkStart w:id="77" w:name="_Toc184312072"/>
      <w:bookmarkEnd w:id="77"/>
      <w:bookmarkStart w:id="78" w:name="_Toc184314417"/>
      <w:bookmarkEnd w:id="78"/>
      <w:bookmarkStart w:id="79" w:name="_Toc184314454"/>
      <w:bookmarkEnd w:id="79"/>
      <w:bookmarkStart w:id="80" w:name="_Toc184308053"/>
      <w:bookmarkEnd w:id="80"/>
      <w:bookmarkStart w:id="81" w:name="_Toc184313259"/>
      <w:bookmarkEnd w:id="81"/>
      <w:bookmarkStart w:id="82" w:name="_Toc184314410"/>
      <w:bookmarkEnd w:id="82"/>
      <w:bookmarkStart w:id="83" w:name="_Toc184310309"/>
      <w:bookmarkEnd w:id="83"/>
      <w:bookmarkStart w:id="84" w:name="_Toc184310284"/>
      <w:bookmarkEnd w:id="84"/>
      <w:bookmarkStart w:id="85" w:name="_Toc184314426"/>
      <w:bookmarkEnd w:id="85"/>
      <w:bookmarkStart w:id="86" w:name="_Toc184313287"/>
      <w:bookmarkEnd w:id="86"/>
      <w:bookmarkStart w:id="87" w:name="_Toc184310308"/>
      <w:bookmarkEnd w:id="87"/>
      <w:bookmarkStart w:id="88" w:name="_Toc184314445"/>
      <w:bookmarkEnd w:id="88"/>
      <w:bookmarkStart w:id="89" w:name="_Toc184313242"/>
      <w:bookmarkEnd w:id="89"/>
      <w:bookmarkStart w:id="90" w:name="_Toc184312109"/>
      <w:bookmarkEnd w:id="90"/>
      <w:bookmarkStart w:id="91" w:name="_Toc184308087"/>
      <w:bookmarkEnd w:id="91"/>
      <w:bookmarkStart w:id="92" w:name="_Toc184312078"/>
      <w:bookmarkEnd w:id="92"/>
      <w:bookmarkStart w:id="93" w:name="_Toc184308083"/>
      <w:bookmarkEnd w:id="93"/>
      <w:bookmarkStart w:id="94" w:name="_Toc184308101"/>
      <w:bookmarkEnd w:id="94"/>
      <w:bookmarkStart w:id="95" w:name="_Toc184310341"/>
      <w:bookmarkEnd w:id="95"/>
      <w:bookmarkStart w:id="96" w:name="_Toc184312093"/>
      <w:bookmarkEnd w:id="96"/>
      <w:bookmarkStart w:id="97" w:name="_Toc184310328"/>
      <w:bookmarkEnd w:id="97"/>
      <w:bookmarkStart w:id="98" w:name="_Toc184312129"/>
      <w:bookmarkEnd w:id="98"/>
      <w:bookmarkStart w:id="99" w:name="_Toc184310276"/>
      <w:bookmarkEnd w:id="99"/>
      <w:bookmarkStart w:id="100" w:name="_Toc184313281"/>
      <w:bookmarkEnd w:id="100"/>
      <w:bookmarkStart w:id="101" w:name="_Toc184308044"/>
      <w:bookmarkEnd w:id="101"/>
      <w:bookmarkStart w:id="102" w:name="_Toc184313258"/>
      <w:bookmarkEnd w:id="102"/>
      <w:bookmarkStart w:id="103" w:name="_Toc184310278"/>
      <w:bookmarkEnd w:id="103"/>
      <w:bookmarkStart w:id="104" w:name="_Toc184308073"/>
      <w:bookmarkEnd w:id="104"/>
      <w:bookmarkStart w:id="105" w:name="_Toc184310306"/>
      <w:bookmarkEnd w:id="105"/>
      <w:bookmarkStart w:id="106" w:name="_Toc184314413"/>
      <w:bookmarkEnd w:id="106"/>
      <w:bookmarkStart w:id="107" w:name="_Toc184310283"/>
      <w:bookmarkEnd w:id="107"/>
      <w:bookmarkStart w:id="108" w:name="_Toc184313262"/>
      <w:bookmarkEnd w:id="108"/>
      <w:bookmarkStart w:id="109" w:name="_Toc184312116"/>
      <w:bookmarkEnd w:id="109"/>
      <w:bookmarkStart w:id="110" w:name="_Toc184314475"/>
      <w:bookmarkEnd w:id="110"/>
      <w:bookmarkStart w:id="111" w:name="_Toc184310320"/>
      <w:bookmarkEnd w:id="111"/>
      <w:bookmarkStart w:id="112" w:name="_Toc184308096"/>
      <w:bookmarkEnd w:id="112"/>
      <w:bookmarkStart w:id="113" w:name="_Toc184314482"/>
      <w:bookmarkEnd w:id="113"/>
      <w:bookmarkStart w:id="114" w:name="_Toc184314416"/>
      <w:bookmarkEnd w:id="114"/>
      <w:bookmarkStart w:id="115" w:name="_Toc184314467"/>
      <w:bookmarkEnd w:id="115"/>
      <w:bookmarkStart w:id="116" w:name="_Toc184310285"/>
      <w:bookmarkEnd w:id="116"/>
      <w:bookmarkStart w:id="117" w:name="_Toc184308075"/>
      <w:bookmarkEnd w:id="117"/>
      <w:bookmarkStart w:id="118" w:name="_Toc184310305"/>
      <w:bookmarkEnd w:id="118"/>
      <w:bookmarkStart w:id="119" w:name="_Toc184312118"/>
      <w:bookmarkEnd w:id="119"/>
      <w:bookmarkStart w:id="120" w:name="_Toc184310297"/>
      <w:bookmarkEnd w:id="120"/>
      <w:bookmarkStart w:id="121" w:name="_Toc184310282"/>
      <w:bookmarkEnd w:id="121"/>
      <w:bookmarkStart w:id="122" w:name="_Toc184313270"/>
      <w:bookmarkEnd w:id="122"/>
      <w:bookmarkStart w:id="123" w:name="_Toc184310336"/>
      <w:bookmarkEnd w:id="123"/>
      <w:bookmarkStart w:id="124" w:name="_Toc184312092"/>
      <w:bookmarkEnd w:id="124"/>
      <w:bookmarkStart w:id="125" w:name="_Toc184314423"/>
      <w:bookmarkEnd w:id="125"/>
      <w:bookmarkStart w:id="126" w:name="_Toc184313276"/>
      <w:bookmarkEnd w:id="126"/>
      <w:bookmarkStart w:id="127" w:name="_Toc184313273"/>
      <w:bookmarkEnd w:id="127"/>
      <w:bookmarkStart w:id="128" w:name="_Toc184312122"/>
      <w:bookmarkEnd w:id="128"/>
      <w:bookmarkStart w:id="129" w:name="_Toc184310289"/>
      <w:bookmarkEnd w:id="129"/>
      <w:bookmarkStart w:id="130" w:name="_Toc184312107"/>
      <w:bookmarkEnd w:id="130"/>
      <w:bookmarkStart w:id="131" w:name="_Toc184313298"/>
      <w:bookmarkEnd w:id="131"/>
      <w:bookmarkStart w:id="132" w:name="_Toc184310279"/>
      <w:bookmarkEnd w:id="132"/>
      <w:bookmarkStart w:id="133" w:name="_Toc184310294"/>
      <w:bookmarkEnd w:id="133"/>
      <w:bookmarkStart w:id="134" w:name="_Toc184308107"/>
      <w:bookmarkEnd w:id="134"/>
      <w:bookmarkStart w:id="135" w:name="_Toc184308057"/>
      <w:bookmarkEnd w:id="135"/>
      <w:bookmarkStart w:id="136" w:name="_Toc184314456"/>
      <w:bookmarkEnd w:id="136"/>
      <w:bookmarkStart w:id="137" w:name="_Toc184313260"/>
      <w:bookmarkEnd w:id="137"/>
      <w:bookmarkStart w:id="138" w:name="_Toc184308093"/>
      <w:bookmarkEnd w:id="138"/>
      <w:bookmarkStart w:id="139" w:name="_Toc184312131"/>
      <w:bookmarkEnd w:id="139"/>
      <w:bookmarkStart w:id="140" w:name="_Toc184308055"/>
      <w:bookmarkEnd w:id="140"/>
      <w:bookmarkStart w:id="141" w:name="_Toc184310317"/>
      <w:bookmarkEnd w:id="141"/>
      <w:bookmarkStart w:id="142" w:name="_Toc184308074"/>
      <w:bookmarkEnd w:id="142"/>
      <w:bookmarkStart w:id="143" w:name="_Toc184310314"/>
      <w:bookmarkEnd w:id="143"/>
      <w:bookmarkStart w:id="144" w:name="_Toc184312074"/>
      <w:bookmarkEnd w:id="144"/>
      <w:bookmarkStart w:id="145" w:name="_Toc184310280"/>
      <w:bookmarkEnd w:id="145"/>
      <w:bookmarkStart w:id="146" w:name="_Toc184312068"/>
      <w:bookmarkEnd w:id="146"/>
      <w:bookmarkStart w:id="147" w:name="_Toc184312090"/>
      <w:bookmarkEnd w:id="147"/>
      <w:bookmarkStart w:id="148" w:name="_Toc184312130"/>
      <w:bookmarkEnd w:id="148"/>
      <w:bookmarkStart w:id="149" w:name="_Toc184314431"/>
      <w:bookmarkEnd w:id="149"/>
      <w:bookmarkStart w:id="150" w:name="_Toc184313285"/>
      <w:bookmarkEnd w:id="150"/>
      <w:bookmarkStart w:id="151" w:name="_Toc184308084"/>
      <w:bookmarkEnd w:id="151"/>
      <w:bookmarkStart w:id="152" w:name="_Toc184308066"/>
      <w:bookmarkEnd w:id="152"/>
      <w:bookmarkStart w:id="153" w:name="_Toc184308040"/>
      <w:bookmarkEnd w:id="153"/>
      <w:bookmarkStart w:id="154" w:name="_Toc184313305"/>
      <w:bookmarkEnd w:id="154"/>
      <w:bookmarkStart w:id="155" w:name="_Toc184313293"/>
      <w:bookmarkEnd w:id="155"/>
      <w:bookmarkStart w:id="156" w:name="_Toc184314471"/>
      <w:bookmarkEnd w:id="156"/>
      <w:bookmarkStart w:id="157" w:name="_Toc184313297"/>
      <w:bookmarkEnd w:id="157"/>
      <w:bookmarkStart w:id="158" w:name="_Toc184310296"/>
      <w:bookmarkEnd w:id="158"/>
      <w:bookmarkStart w:id="159" w:name="_Toc184310293"/>
      <w:bookmarkEnd w:id="159"/>
      <w:bookmarkStart w:id="160" w:name="_Toc184310318"/>
      <w:bookmarkEnd w:id="160"/>
      <w:bookmarkStart w:id="161" w:name="_Toc184314444"/>
      <w:bookmarkEnd w:id="161"/>
      <w:bookmarkStart w:id="162" w:name="_Toc184314437"/>
      <w:bookmarkEnd w:id="162"/>
      <w:bookmarkStart w:id="163" w:name="_Toc184310273"/>
      <w:bookmarkEnd w:id="163"/>
      <w:bookmarkStart w:id="164" w:name="_Toc184308045"/>
      <w:bookmarkEnd w:id="164"/>
      <w:bookmarkStart w:id="165" w:name="_Toc184310288"/>
      <w:bookmarkEnd w:id="165"/>
      <w:bookmarkStart w:id="166" w:name="_Toc184312094"/>
      <w:bookmarkEnd w:id="166"/>
      <w:bookmarkStart w:id="167" w:name="_Toc184308058"/>
      <w:bookmarkEnd w:id="167"/>
      <w:bookmarkStart w:id="168" w:name="_Toc184313282"/>
      <w:bookmarkEnd w:id="168"/>
      <w:bookmarkStart w:id="169" w:name="_Toc184313238"/>
      <w:bookmarkEnd w:id="169"/>
      <w:bookmarkStart w:id="170" w:name="_Toc184312101"/>
      <w:bookmarkEnd w:id="170"/>
      <w:bookmarkStart w:id="171" w:name="_Toc184314451"/>
      <w:bookmarkEnd w:id="171"/>
      <w:bookmarkStart w:id="172" w:name="_Toc184310324"/>
      <w:bookmarkEnd w:id="172"/>
      <w:bookmarkStart w:id="173" w:name="_Toc184310339"/>
      <w:bookmarkEnd w:id="173"/>
      <w:bookmarkStart w:id="174" w:name="_Toc184308063"/>
      <w:bookmarkEnd w:id="174"/>
      <w:bookmarkStart w:id="175" w:name="_Toc184314438"/>
      <w:bookmarkEnd w:id="175"/>
      <w:bookmarkStart w:id="176" w:name="_Toc184308105"/>
      <w:bookmarkEnd w:id="176"/>
      <w:bookmarkStart w:id="177" w:name="_Toc184310301"/>
      <w:bookmarkEnd w:id="177"/>
      <w:bookmarkStart w:id="178" w:name="_Toc184310298"/>
      <w:bookmarkEnd w:id="178"/>
      <w:bookmarkStart w:id="179" w:name="_Toc184308079"/>
      <w:bookmarkEnd w:id="179"/>
      <w:bookmarkStart w:id="180" w:name="_Toc184313253"/>
      <w:bookmarkEnd w:id="180"/>
      <w:bookmarkStart w:id="181" w:name="_Toc184313267"/>
      <w:bookmarkEnd w:id="181"/>
      <w:bookmarkStart w:id="182" w:name="_Toc184308056"/>
      <w:bookmarkEnd w:id="182"/>
      <w:bookmarkStart w:id="183" w:name="_Toc184308103"/>
      <w:bookmarkEnd w:id="183"/>
      <w:bookmarkStart w:id="184" w:name="_Toc184313278"/>
      <w:bookmarkEnd w:id="184"/>
      <w:bookmarkStart w:id="185" w:name="_Toc184310344"/>
      <w:bookmarkEnd w:id="185"/>
      <w:bookmarkStart w:id="186" w:name="_Toc184313283"/>
      <w:bookmarkEnd w:id="186"/>
      <w:bookmarkStart w:id="187" w:name="_Toc184310287"/>
      <w:bookmarkEnd w:id="187"/>
      <w:bookmarkStart w:id="188" w:name="_Toc184314441"/>
      <w:bookmarkEnd w:id="188"/>
      <w:bookmarkStart w:id="189" w:name="_Toc184308061"/>
      <w:bookmarkEnd w:id="189"/>
      <w:bookmarkStart w:id="190" w:name="_Toc184312098"/>
      <w:bookmarkEnd w:id="190"/>
      <w:bookmarkStart w:id="191" w:name="_Toc184313244"/>
      <w:bookmarkEnd w:id="191"/>
      <w:bookmarkStart w:id="192" w:name="_Toc184312128"/>
      <w:bookmarkEnd w:id="192"/>
      <w:bookmarkStart w:id="193" w:name="_Toc184312114"/>
      <w:bookmarkEnd w:id="193"/>
      <w:bookmarkStart w:id="194" w:name="_Toc184308076"/>
      <w:bookmarkEnd w:id="194"/>
      <w:bookmarkStart w:id="195" w:name="_Toc184313255"/>
      <w:bookmarkEnd w:id="195"/>
      <w:bookmarkStart w:id="196" w:name="_Toc184312139"/>
      <w:bookmarkEnd w:id="196"/>
      <w:bookmarkStart w:id="197" w:name="_Toc184308067"/>
      <w:bookmarkEnd w:id="197"/>
      <w:bookmarkStart w:id="198" w:name="_Toc184313304"/>
      <w:bookmarkEnd w:id="198"/>
      <w:bookmarkStart w:id="199" w:name="_Toc184313264"/>
      <w:bookmarkEnd w:id="199"/>
      <w:bookmarkStart w:id="200" w:name="_Toc184308106"/>
      <w:bookmarkEnd w:id="200"/>
      <w:bookmarkStart w:id="201" w:name="_Toc184310334"/>
      <w:bookmarkEnd w:id="201"/>
      <w:bookmarkStart w:id="202" w:name="_Toc184312113"/>
      <w:bookmarkEnd w:id="202"/>
      <w:bookmarkStart w:id="203" w:name="_Toc184312135"/>
      <w:bookmarkEnd w:id="203"/>
      <w:bookmarkStart w:id="204" w:name="_Toc184314462"/>
      <w:bookmarkEnd w:id="204"/>
      <w:bookmarkStart w:id="205" w:name="_Toc184308037"/>
      <w:bookmarkEnd w:id="205"/>
      <w:bookmarkStart w:id="206" w:name="_Toc184314421"/>
      <w:bookmarkEnd w:id="206"/>
      <w:bookmarkStart w:id="207" w:name="_Toc184313252"/>
      <w:bookmarkEnd w:id="207"/>
      <w:bookmarkStart w:id="208" w:name="_Toc184312097"/>
      <w:bookmarkEnd w:id="208"/>
      <w:bookmarkStart w:id="209" w:name="_Toc184313272"/>
      <w:bookmarkEnd w:id="209"/>
      <w:bookmarkStart w:id="210" w:name="_Toc184314460"/>
      <w:bookmarkEnd w:id="210"/>
      <w:bookmarkStart w:id="211" w:name="_Toc184312067"/>
      <w:bookmarkEnd w:id="211"/>
      <w:bookmarkStart w:id="212" w:name="_Toc184310291"/>
      <w:bookmarkEnd w:id="212"/>
      <w:bookmarkStart w:id="213" w:name="_Toc184312124"/>
      <w:bookmarkEnd w:id="213"/>
      <w:bookmarkStart w:id="214" w:name="_Toc184312096"/>
      <w:bookmarkEnd w:id="214"/>
      <w:bookmarkStart w:id="215" w:name="_Toc184312111"/>
      <w:bookmarkEnd w:id="215"/>
      <w:bookmarkStart w:id="216" w:name="_Toc184308062"/>
      <w:bookmarkEnd w:id="216"/>
      <w:bookmarkStart w:id="217" w:name="_Toc184308072"/>
      <w:bookmarkEnd w:id="217"/>
      <w:bookmarkStart w:id="218" w:name="_Toc184314436"/>
      <w:bookmarkEnd w:id="218"/>
      <w:bookmarkStart w:id="219" w:name="_Toc184310274"/>
      <w:bookmarkEnd w:id="219"/>
      <w:bookmarkStart w:id="220" w:name="_Toc184312103"/>
      <w:bookmarkEnd w:id="220"/>
      <w:bookmarkStart w:id="221" w:name="_Toc184312079"/>
      <w:bookmarkEnd w:id="221"/>
      <w:bookmarkStart w:id="222" w:name="_Toc184314480"/>
      <w:bookmarkEnd w:id="222"/>
      <w:bookmarkStart w:id="223" w:name="_Toc184314455"/>
      <w:bookmarkEnd w:id="223"/>
      <w:bookmarkStart w:id="224" w:name="_Toc184310342"/>
      <w:bookmarkEnd w:id="224"/>
      <w:bookmarkStart w:id="225" w:name="_Toc184312070"/>
      <w:bookmarkEnd w:id="225"/>
      <w:bookmarkStart w:id="226" w:name="_Toc184308047"/>
      <w:bookmarkEnd w:id="226"/>
      <w:bookmarkStart w:id="227" w:name="_Toc184314424"/>
      <w:bookmarkEnd w:id="227"/>
      <w:bookmarkStart w:id="228" w:name="_Toc184314439"/>
      <w:bookmarkEnd w:id="228"/>
      <w:bookmarkStart w:id="229" w:name="_Toc184308043"/>
      <w:bookmarkEnd w:id="229"/>
      <w:bookmarkStart w:id="230" w:name="_Toc184314432"/>
      <w:bookmarkEnd w:id="230"/>
      <w:bookmarkStart w:id="231" w:name="_Toc184314465"/>
      <w:bookmarkEnd w:id="231"/>
      <w:bookmarkStart w:id="232" w:name="_Toc184313284"/>
      <w:bookmarkEnd w:id="232"/>
      <w:bookmarkStart w:id="233" w:name="_Toc184314418"/>
      <w:bookmarkEnd w:id="233"/>
      <w:bookmarkStart w:id="234" w:name="_Toc184314468"/>
      <w:bookmarkEnd w:id="234"/>
      <w:bookmarkStart w:id="235" w:name="_Toc184310338"/>
      <w:bookmarkEnd w:id="235"/>
      <w:bookmarkStart w:id="236" w:name="_Toc184314412"/>
      <w:bookmarkEnd w:id="236"/>
      <w:bookmarkStart w:id="237" w:name="_Toc184314442"/>
      <w:bookmarkEnd w:id="237"/>
      <w:bookmarkStart w:id="238" w:name="_Toc184313249"/>
      <w:bookmarkEnd w:id="238"/>
      <w:bookmarkStart w:id="239" w:name="_Toc184313291"/>
      <w:bookmarkEnd w:id="239"/>
      <w:bookmarkStart w:id="240" w:name="_Toc184312088"/>
      <w:bookmarkEnd w:id="240"/>
      <w:bookmarkStart w:id="241" w:name="_Toc184310292"/>
      <w:bookmarkEnd w:id="241"/>
      <w:bookmarkStart w:id="242" w:name="_Toc184314425"/>
      <w:bookmarkEnd w:id="242"/>
      <w:bookmarkStart w:id="243" w:name="_Toc184312091"/>
      <w:bookmarkEnd w:id="243"/>
      <w:bookmarkStart w:id="244" w:name="_Toc184312123"/>
      <w:bookmarkEnd w:id="244"/>
      <w:bookmarkStart w:id="245" w:name="_Toc184310330"/>
      <w:bookmarkEnd w:id="245"/>
      <w:bookmarkStart w:id="246" w:name="_Toc184314446"/>
      <w:bookmarkEnd w:id="246"/>
      <w:bookmarkStart w:id="247" w:name="_Toc184308090"/>
      <w:bookmarkEnd w:id="247"/>
      <w:bookmarkStart w:id="248" w:name="_Toc184313299"/>
      <w:bookmarkEnd w:id="248"/>
      <w:bookmarkStart w:id="249" w:name="_Toc184310343"/>
      <w:bookmarkEnd w:id="249"/>
      <w:bookmarkStart w:id="250" w:name="_Toc184310333"/>
      <w:bookmarkEnd w:id="250"/>
      <w:bookmarkStart w:id="251" w:name="_Toc184312086"/>
      <w:bookmarkEnd w:id="251"/>
      <w:bookmarkStart w:id="252" w:name="_Toc184310290"/>
      <w:bookmarkEnd w:id="252"/>
      <w:bookmarkStart w:id="253" w:name="_Toc184310302"/>
      <w:bookmarkEnd w:id="253"/>
      <w:bookmarkStart w:id="254" w:name="_Toc184314434"/>
      <w:bookmarkEnd w:id="254"/>
      <w:bookmarkStart w:id="255" w:name="_Toc184310303"/>
      <w:bookmarkEnd w:id="255"/>
      <w:bookmarkStart w:id="256" w:name="_Toc184308054"/>
      <w:bookmarkEnd w:id="256"/>
      <w:bookmarkStart w:id="257" w:name="_Toc184313310"/>
      <w:bookmarkEnd w:id="257"/>
      <w:bookmarkStart w:id="258" w:name="_Toc184313295"/>
      <w:bookmarkEnd w:id="258"/>
      <w:bookmarkStart w:id="259" w:name="_Toc184310337"/>
      <w:bookmarkEnd w:id="259"/>
      <w:bookmarkStart w:id="260" w:name="_Toc184312120"/>
      <w:bookmarkEnd w:id="260"/>
      <w:bookmarkStart w:id="261" w:name="_Toc184314420"/>
      <w:bookmarkEnd w:id="261"/>
      <w:bookmarkStart w:id="262" w:name="_Toc184308080"/>
      <w:bookmarkEnd w:id="262"/>
      <w:bookmarkStart w:id="263" w:name="_Toc184312089"/>
      <w:bookmarkEnd w:id="263"/>
      <w:bookmarkStart w:id="264" w:name="_Toc184313268"/>
      <w:bookmarkEnd w:id="264"/>
      <w:bookmarkStart w:id="265" w:name="_Toc184310281"/>
      <w:bookmarkEnd w:id="265"/>
      <w:bookmarkStart w:id="266" w:name="_Toc184312071"/>
      <w:bookmarkEnd w:id="266"/>
      <w:bookmarkStart w:id="267" w:name="_Toc184310310"/>
      <w:bookmarkEnd w:id="267"/>
      <w:bookmarkStart w:id="268" w:name="_Toc184313239"/>
      <w:bookmarkEnd w:id="268"/>
      <w:bookmarkStart w:id="269" w:name="_Toc184312073"/>
      <w:bookmarkEnd w:id="269"/>
      <w:bookmarkStart w:id="270" w:name="_Toc184308085"/>
      <w:bookmarkEnd w:id="270"/>
      <w:bookmarkStart w:id="271" w:name="_Toc184314419"/>
      <w:bookmarkEnd w:id="271"/>
      <w:bookmarkStart w:id="272" w:name="_Toc184313263"/>
      <w:bookmarkEnd w:id="272"/>
      <w:bookmarkStart w:id="273" w:name="_Toc184308059"/>
      <w:bookmarkEnd w:id="273"/>
      <w:bookmarkStart w:id="274" w:name="_Toc184308086"/>
      <w:bookmarkEnd w:id="274"/>
      <w:bookmarkStart w:id="275" w:name="_Toc184308049"/>
      <w:bookmarkEnd w:id="275"/>
      <w:bookmarkStart w:id="276" w:name="_Toc184308050"/>
      <w:bookmarkEnd w:id="276"/>
      <w:bookmarkStart w:id="277" w:name="_Toc184310300"/>
      <w:bookmarkEnd w:id="277"/>
      <w:bookmarkStart w:id="278" w:name="_Toc184310323"/>
      <w:bookmarkEnd w:id="278"/>
      <w:bookmarkStart w:id="279" w:name="_Toc184314466"/>
      <w:bookmarkEnd w:id="279"/>
      <w:bookmarkStart w:id="280" w:name="_Toc184308091"/>
      <w:bookmarkEnd w:id="280"/>
      <w:bookmarkStart w:id="281" w:name="_Toc184310335"/>
      <w:bookmarkEnd w:id="281"/>
      <w:bookmarkStart w:id="282" w:name="_Toc184313247"/>
      <w:bookmarkEnd w:id="282"/>
      <w:bookmarkStart w:id="283" w:name="_Toc184310275"/>
      <w:bookmarkEnd w:id="283"/>
      <w:bookmarkStart w:id="284" w:name="_Toc184313254"/>
      <w:bookmarkEnd w:id="284"/>
      <w:bookmarkStart w:id="285" w:name="_Toc184308092"/>
      <w:bookmarkEnd w:id="285"/>
      <w:bookmarkStart w:id="286" w:name="_Toc184314453"/>
      <w:bookmarkEnd w:id="286"/>
      <w:bookmarkStart w:id="287" w:name="_Toc184314459"/>
      <w:bookmarkEnd w:id="287"/>
      <w:bookmarkStart w:id="288" w:name="_Toc184308088"/>
      <w:bookmarkEnd w:id="288"/>
      <w:bookmarkStart w:id="289" w:name="_Toc184313308"/>
      <w:bookmarkEnd w:id="289"/>
      <w:bookmarkStart w:id="290" w:name="_Toc184314449"/>
      <w:bookmarkEnd w:id="290"/>
      <w:bookmarkStart w:id="291" w:name="_Toc184308098"/>
      <w:bookmarkEnd w:id="291"/>
      <w:bookmarkStart w:id="292" w:name="_Toc184308064"/>
      <w:bookmarkEnd w:id="292"/>
      <w:bookmarkStart w:id="293" w:name="_Toc184310326"/>
      <w:bookmarkEnd w:id="293"/>
      <w:bookmarkStart w:id="294" w:name="_Toc184314443"/>
      <w:bookmarkEnd w:id="294"/>
      <w:bookmarkStart w:id="295" w:name="_Toc184313245"/>
      <w:bookmarkEnd w:id="295"/>
      <w:bookmarkStart w:id="296" w:name="_Toc184308094"/>
      <w:bookmarkEnd w:id="296"/>
      <w:bookmarkStart w:id="297" w:name="_Toc184310295"/>
      <w:bookmarkEnd w:id="297"/>
      <w:bookmarkStart w:id="298" w:name="_Toc184308068"/>
      <w:bookmarkEnd w:id="298"/>
      <w:bookmarkStart w:id="299" w:name="_Toc184312138"/>
      <w:bookmarkEnd w:id="299"/>
      <w:bookmarkStart w:id="300" w:name="_Toc184313240"/>
      <w:bookmarkEnd w:id="300"/>
      <w:bookmarkStart w:id="301" w:name="_Toc184312080"/>
      <w:bookmarkEnd w:id="301"/>
      <w:bookmarkStart w:id="302" w:name="_Toc184312085"/>
      <w:bookmarkEnd w:id="302"/>
      <w:bookmarkStart w:id="303" w:name="_Toc184313309"/>
      <w:bookmarkEnd w:id="303"/>
      <w:bookmarkStart w:id="304" w:name="_Toc184314478"/>
      <w:bookmarkEnd w:id="304"/>
      <w:bookmarkStart w:id="305" w:name="_Toc184308042"/>
      <w:bookmarkEnd w:id="305"/>
      <w:bookmarkStart w:id="306" w:name="_Toc184308051"/>
      <w:bookmarkEnd w:id="306"/>
      <w:bookmarkStart w:id="307" w:name="_Toc184310277"/>
      <w:bookmarkEnd w:id="307"/>
      <w:bookmarkStart w:id="308" w:name="_Toc184308102"/>
      <w:bookmarkEnd w:id="308"/>
      <w:bookmarkStart w:id="309" w:name="_Toc184313261"/>
      <w:bookmarkEnd w:id="309"/>
      <w:bookmarkStart w:id="310" w:name="_Toc184308048"/>
      <w:bookmarkEnd w:id="310"/>
      <w:bookmarkStart w:id="311" w:name="_Toc184313251"/>
      <w:bookmarkEnd w:id="311"/>
      <w:bookmarkStart w:id="312" w:name="_Toc184313306"/>
      <w:bookmarkEnd w:id="312"/>
      <w:bookmarkStart w:id="313" w:name="_Toc184312076"/>
      <w:bookmarkEnd w:id="313"/>
      <w:bookmarkStart w:id="314" w:name="_Toc184310311"/>
      <w:bookmarkEnd w:id="314"/>
      <w:bookmarkStart w:id="315" w:name="_Toc184308039"/>
      <w:bookmarkEnd w:id="315"/>
      <w:bookmarkStart w:id="316" w:name="_Toc184308097"/>
      <w:bookmarkEnd w:id="316"/>
      <w:bookmarkStart w:id="317" w:name="_Toc184312106"/>
      <w:bookmarkEnd w:id="317"/>
      <w:bookmarkStart w:id="318" w:name="_Toc184312105"/>
      <w:bookmarkEnd w:id="318"/>
      <w:bookmarkStart w:id="319" w:name="_Toc184312084"/>
      <w:bookmarkEnd w:id="319"/>
      <w:bookmarkStart w:id="320" w:name="_Toc184313289"/>
      <w:bookmarkEnd w:id="320"/>
      <w:bookmarkStart w:id="321" w:name="_Toc184314458"/>
      <w:bookmarkEnd w:id="321"/>
      <w:bookmarkStart w:id="322" w:name="_Toc184308070"/>
      <w:bookmarkEnd w:id="322"/>
      <w:bookmarkStart w:id="323" w:name="_Toc184312108"/>
      <w:bookmarkEnd w:id="323"/>
      <w:bookmarkStart w:id="324" w:name="_Toc184310315"/>
      <w:bookmarkEnd w:id="324"/>
      <w:bookmarkStart w:id="325" w:name="_Toc184310327"/>
      <w:bookmarkEnd w:id="325"/>
      <w:bookmarkStart w:id="326" w:name="_Toc184314422"/>
      <w:bookmarkEnd w:id="326"/>
      <w:bookmarkStart w:id="327" w:name="_Toc184312102"/>
      <w:bookmarkEnd w:id="327"/>
      <w:bookmarkStart w:id="328" w:name="_Toc184314447"/>
      <w:bookmarkEnd w:id="328"/>
      <w:bookmarkStart w:id="329" w:name="_Toc184313303"/>
      <w:bookmarkEnd w:id="329"/>
      <w:bookmarkStart w:id="330" w:name="_Toc184313288"/>
      <w:bookmarkEnd w:id="330"/>
      <w:bookmarkStart w:id="331" w:name="_Toc184312133"/>
      <w:bookmarkEnd w:id="331"/>
      <w:bookmarkStart w:id="332" w:name="_Toc184310272"/>
      <w:bookmarkEnd w:id="332"/>
      <w:bookmarkStart w:id="333" w:name="_Toc184312104"/>
      <w:bookmarkEnd w:id="333"/>
      <w:bookmarkStart w:id="334" w:name="_Toc184313294"/>
      <w:bookmarkEnd w:id="334"/>
      <w:bookmarkStart w:id="335" w:name="_Toc184312081"/>
      <w:bookmarkEnd w:id="335"/>
      <w:bookmarkStart w:id="336" w:name="_Toc184313307"/>
      <w:bookmarkEnd w:id="336"/>
      <w:bookmarkStart w:id="337" w:name="_Toc184314469"/>
      <w:bookmarkEnd w:id="337"/>
      <w:bookmarkStart w:id="338" w:name="_Toc184310313"/>
      <w:bookmarkEnd w:id="338"/>
      <w:bookmarkStart w:id="339" w:name="_Toc184312077"/>
      <w:bookmarkEnd w:id="339"/>
      <w:bookmarkStart w:id="340" w:name="_Toc184314440"/>
      <w:bookmarkEnd w:id="340"/>
      <w:bookmarkStart w:id="341" w:name="_Toc184312112"/>
      <w:bookmarkEnd w:id="341"/>
      <w:bookmarkStart w:id="342" w:name="_Toc184313302"/>
      <w:bookmarkEnd w:id="342"/>
      <w:bookmarkStart w:id="343" w:name="_Toc184308069"/>
      <w:bookmarkEnd w:id="343"/>
      <w:bookmarkStart w:id="344" w:name="_Toc184310307"/>
      <w:bookmarkEnd w:id="344"/>
      <w:bookmarkStart w:id="345" w:name="_Toc184312125"/>
      <w:bookmarkEnd w:id="345"/>
      <w:bookmarkStart w:id="346" w:name="_Toc184310322"/>
      <w:bookmarkEnd w:id="346"/>
      <w:bookmarkStart w:id="347" w:name="_Toc184312095"/>
      <w:bookmarkEnd w:id="347"/>
      <w:bookmarkStart w:id="348" w:name="_Toc184310319"/>
      <w:bookmarkEnd w:id="348"/>
      <w:bookmarkStart w:id="349" w:name="_Toc184313296"/>
      <w:bookmarkEnd w:id="349"/>
      <w:bookmarkStart w:id="350" w:name="_Toc184314464"/>
      <w:bookmarkEnd w:id="350"/>
      <w:bookmarkStart w:id="351" w:name="_Toc184308095"/>
      <w:bookmarkEnd w:id="351"/>
      <w:bookmarkStart w:id="352" w:name="_Toc184310304"/>
      <w:bookmarkEnd w:id="352"/>
      <w:bookmarkStart w:id="353" w:name="_Toc184314461"/>
      <w:bookmarkEnd w:id="353"/>
      <w:bookmarkStart w:id="354" w:name="_Toc184308038"/>
      <w:bookmarkEnd w:id="354"/>
      <w:bookmarkStart w:id="355" w:name="_Toc184310299"/>
      <w:bookmarkEnd w:id="355"/>
      <w:bookmarkStart w:id="356" w:name="_Toc184312075"/>
      <w:bookmarkEnd w:id="356"/>
      <w:bookmarkStart w:id="357" w:name="_Toc184314463"/>
      <w:bookmarkEnd w:id="357"/>
      <w:bookmarkStart w:id="358" w:name="_Toc184314479"/>
      <w:bookmarkEnd w:id="358"/>
      <w:bookmarkStart w:id="359" w:name="_Toc184312083"/>
      <w:bookmarkEnd w:id="359"/>
      <w:bookmarkStart w:id="360" w:name="_Toc184314474"/>
      <w:bookmarkEnd w:id="360"/>
      <w:bookmarkStart w:id="361" w:name="_Toc184310325"/>
      <w:bookmarkEnd w:id="361"/>
      <w:bookmarkStart w:id="362" w:name="_Toc184313248"/>
      <w:bookmarkEnd w:id="362"/>
      <w:bookmarkStart w:id="363" w:name="_Toc184312132"/>
      <w:bookmarkEnd w:id="363"/>
      <w:bookmarkStart w:id="364" w:name="_Toc184312126"/>
      <w:bookmarkEnd w:id="364"/>
      <w:bookmarkStart w:id="365" w:name="_Toc184314435"/>
      <w:bookmarkEnd w:id="365"/>
      <w:bookmarkStart w:id="366" w:name="_Toc184312087"/>
      <w:bookmarkEnd w:id="366"/>
      <w:bookmarkStart w:id="367" w:name="_Toc184314472"/>
      <w:bookmarkEnd w:id="367"/>
      <w:bookmarkStart w:id="368" w:name="_Toc184312127"/>
      <w:bookmarkEnd w:id="368"/>
      <w:bookmarkStart w:id="369" w:name="_Toc184310340"/>
      <w:bookmarkEnd w:id="369"/>
      <w:bookmarkStart w:id="370" w:name="_Toc184314429"/>
      <w:bookmarkEnd w:id="370"/>
      <w:bookmarkStart w:id="371" w:name="_Toc184313274"/>
      <w:bookmarkEnd w:id="371"/>
      <w:bookmarkStart w:id="372" w:name="_Toc184312136"/>
      <w:bookmarkEnd w:id="372"/>
      <w:bookmarkStart w:id="373" w:name="_Toc184313243"/>
      <w:bookmarkEnd w:id="373"/>
      <w:bookmarkStart w:id="374" w:name="_Toc184314427"/>
      <w:bookmarkEnd w:id="374"/>
      <w:bookmarkStart w:id="375" w:name="_Toc184314481"/>
      <w:bookmarkEnd w:id="375"/>
      <w:bookmarkStart w:id="376" w:name="_Toc184314414"/>
      <w:bookmarkEnd w:id="376"/>
      <w:bookmarkStart w:id="377" w:name="_Toc184313271"/>
      <w:bookmarkEnd w:id="377"/>
      <w:bookmarkStart w:id="378" w:name="_Toc184313250"/>
      <w:bookmarkEnd w:id="378"/>
      <w:bookmarkStart w:id="379" w:name="_Toc184314473"/>
      <w:bookmarkEnd w:id="379"/>
      <w:bookmarkStart w:id="380" w:name="_Toc184313290"/>
      <w:bookmarkEnd w:id="380"/>
      <w:bookmarkStart w:id="381" w:name="_Toc184312121"/>
      <w:bookmarkEnd w:id="381"/>
      <w:bookmarkStart w:id="382" w:name="_Toc184308060"/>
      <w:bookmarkEnd w:id="382"/>
      <w:bookmarkStart w:id="383" w:name="_Toc184314411"/>
      <w:bookmarkEnd w:id="383"/>
      <w:bookmarkStart w:id="384" w:name="_Toc184312115"/>
      <w:bookmarkEnd w:id="384"/>
      <w:bookmarkStart w:id="385" w:name="_Toc184313279"/>
      <w:bookmarkEnd w:id="385"/>
      <w:bookmarkStart w:id="386" w:name="_Toc184308100"/>
      <w:bookmarkEnd w:id="386"/>
      <w:bookmarkStart w:id="387" w:name="_Toc184314433"/>
      <w:bookmarkEnd w:id="387"/>
      <w:bookmarkStart w:id="388" w:name="_Toc184308046"/>
      <w:bookmarkEnd w:id="388"/>
      <w:bookmarkStart w:id="389" w:name="_Toc184314470"/>
      <w:bookmarkEnd w:id="389"/>
      <w:bookmarkStart w:id="390" w:name="_Toc184310312"/>
      <w:bookmarkEnd w:id="390"/>
      <w:bookmarkStart w:id="391" w:name="_Toc184308082"/>
      <w:bookmarkEnd w:id="391"/>
      <w:bookmarkStart w:id="392" w:name="_Toc184308077"/>
      <w:bookmarkEnd w:id="392"/>
      <w:bookmarkStart w:id="393" w:name="_Toc184313292"/>
      <w:bookmarkEnd w:id="393"/>
      <w:bookmarkStart w:id="394" w:name="_Toc184312110"/>
      <w:bookmarkEnd w:id="394"/>
      <w:bookmarkStart w:id="395" w:name="_Toc184310329"/>
      <w:bookmarkEnd w:id="395"/>
      <w:bookmarkStart w:id="396" w:name="_Toc184312069"/>
      <w:bookmarkEnd w:id="396"/>
      <w:bookmarkStart w:id="397" w:name="_Toc184312137"/>
      <w:bookmarkEnd w:id="397"/>
      <w:bookmarkStart w:id="398" w:name="_Toc184310316"/>
      <w:bookmarkEnd w:id="398"/>
      <w:bookmarkStart w:id="399" w:name="_Toc184313266"/>
      <w:bookmarkEnd w:id="399"/>
      <w:bookmarkStart w:id="400" w:name="_Toc184313275"/>
      <w:bookmarkEnd w:id="400"/>
      <w:bookmarkStart w:id="401" w:name="_Toc184314452"/>
      <w:bookmarkEnd w:id="401"/>
      <w:bookmarkStart w:id="402" w:name="_Toc184313269"/>
      <w:bookmarkEnd w:id="402"/>
      <w:r>
        <w:rPr>
          <w:rFonts w:hint="eastAsia" w:ascii="宋体" w:hAnsi="宋体" w:eastAsia="宋体" w:cs="宋体"/>
          <w:b/>
          <w:sz w:val="36"/>
          <w:szCs w:val="36"/>
          <w:highlight w:val="none"/>
        </w:rPr>
        <w:t>评标办法</w:t>
      </w:r>
    </w:p>
    <w:p>
      <w:pPr>
        <w:snapToGrid w:val="0"/>
        <w:spacing w:line="360" w:lineRule="auto"/>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评标办法前附表</w:t>
      </w:r>
    </w:p>
    <w:tbl>
      <w:tblPr>
        <w:tblStyle w:val="29"/>
        <w:tblpPr w:leftFromText="180" w:rightFromText="180" w:vertAnchor="text" w:horzAnchor="page" w:tblpX="662" w:tblpY="126"/>
        <w:tblW w:w="10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10"/>
        <w:gridCol w:w="7412"/>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spacing w:line="240" w:lineRule="auto"/>
              <w:jc w:val="center"/>
              <w:outlineLvl w:val="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序号</w:t>
            </w:r>
          </w:p>
        </w:tc>
        <w:tc>
          <w:tcPr>
            <w:tcW w:w="1810" w:type="dxa"/>
            <w:vAlign w:val="center"/>
          </w:tcPr>
          <w:p>
            <w:pPr>
              <w:spacing w:line="240" w:lineRule="auto"/>
              <w:jc w:val="center"/>
              <w:outlineLvl w:val="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评分内容</w:t>
            </w:r>
          </w:p>
        </w:tc>
        <w:tc>
          <w:tcPr>
            <w:tcW w:w="7412" w:type="dxa"/>
            <w:vAlign w:val="center"/>
          </w:tcPr>
          <w:p>
            <w:pPr>
              <w:spacing w:line="240" w:lineRule="auto"/>
              <w:jc w:val="center"/>
              <w:outlineLvl w:val="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评标标准</w:t>
            </w:r>
          </w:p>
        </w:tc>
        <w:tc>
          <w:tcPr>
            <w:tcW w:w="914" w:type="dxa"/>
            <w:vAlign w:val="center"/>
          </w:tcPr>
          <w:p>
            <w:pPr>
              <w:spacing w:line="240" w:lineRule="auto"/>
              <w:jc w:val="center"/>
              <w:outlineLvl w:val="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spacing w:line="240" w:lineRule="auto"/>
              <w:jc w:val="center"/>
              <w:outlineLvl w:val="0"/>
              <w:rPr>
                <w:rFonts w:hint="eastAsia" w:ascii="宋体" w:hAnsi="宋体" w:eastAsia="宋体" w:cs="宋体"/>
                <w:color w:val="auto"/>
                <w:sz w:val="24"/>
                <w:szCs w:val="24"/>
                <w:lang w:val="en-US" w:eastAsia="zh-CN"/>
              </w:rPr>
            </w:pPr>
            <w:bookmarkStart w:id="403" w:name="OLE_LINK2" w:colFirst="3" w:colLast="3"/>
            <w:bookmarkStart w:id="404" w:name="OLE_LINK1" w:colFirst="3" w:colLast="3"/>
            <w:r>
              <w:rPr>
                <w:rFonts w:hint="eastAsia" w:ascii="宋体" w:hAnsi="宋体" w:eastAsia="宋体" w:cs="宋体"/>
                <w:color w:val="auto"/>
                <w:sz w:val="24"/>
                <w:szCs w:val="24"/>
              </w:rPr>
              <w:t>1</w:t>
            </w:r>
          </w:p>
        </w:tc>
        <w:tc>
          <w:tcPr>
            <w:tcW w:w="1810" w:type="dxa"/>
            <w:vAlign w:val="center"/>
          </w:tcPr>
          <w:p>
            <w:pPr>
              <w:spacing w:line="30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Cs/>
                <w:sz w:val="24"/>
                <w:szCs w:val="24"/>
                <w14:ligatures w14:val="none"/>
              </w:rPr>
              <w:t>技术服务方案</w:t>
            </w:r>
          </w:p>
        </w:tc>
        <w:tc>
          <w:tcPr>
            <w:tcW w:w="7412" w:type="dxa"/>
            <w:vAlign w:val="top"/>
          </w:tcPr>
          <w:p>
            <w:pPr>
              <w:spacing w:line="300" w:lineRule="exact"/>
              <w:rPr>
                <w:rFonts w:hint="eastAsia" w:ascii="宋体" w:hAnsi="宋体" w:eastAsia="宋体" w:cs="宋体"/>
                <w:sz w:val="24"/>
                <w:szCs w:val="24"/>
                <w:lang w:val="en-US" w:eastAsia="zh-CN"/>
              </w:rPr>
            </w:pPr>
            <w:r>
              <w:rPr>
                <w:rFonts w:hint="eastAsia" w:ascii="宋体" w:hAnsi="宋体" w:eastAsia="宋体" w:cs="Times New Roman"/>
                <w:snapToGrid w:val="0"/>
                <w:kern w:val="0"/>
                <w:sz w:val="24"/>
                <w:szCs w:val="24"/>
                <w14:ligatures w14:val="none"/>
              </w:rPr>
              <w:t>根据各供应商提供的守押寄库服务方案（运钞线路实行“包车制”，不得搭载他行款箱等无关物品），进行综合评定，</w:t>
            </w:r>
            <w:r>
              <w:rPr>
                <w:rFonts w:hint="eastAsia" w:ascii="宋体" w:hAnsi="宋体" w:eastAsia="宋体" w:cs="Times New Roman"/>
                <w:snapToGrid w:val="0"/>
                <w:kern w:val="0"/>
                <w:sz w:val="24"/>
                <w:szCs w:val="24"/>
                <w:lang w:val="en-US" w:eastAsia="zh-CN"/>
                <w14:ligatures w14:val="none"/>
              </w:rPr>
              <w:t>符合基本条件得1-2分，方案再优化更合理</w:t>
            </w:r>
            <w:r>
              <w:rPr>
                <w:rFonts w:hint="eastAsia" w:ascii="宋体" w:hAnsi="宋体" w:eastAsia="宋体" w:cs="Times New Roman"/>
                <w:snapToGrid w:val="0"/>
                <w:kern w:val="0"/>
                <w:sz w:val="24"/>
                <w:szCs w:val="24"/>
                <w14:ligatures w14:val="none"/>
              </w:rPr>
              <w:t>得</w:t>
            </w:r>
            <w:r>
              <w:rPr>
                <w:rFonts w:ascii="宋体" w:hAnsi="宋体" w:eastAsia="宋体" w:cs="Times New Roman"/>
                <w:snapToGrid w:val="0"/>
                <w:kern w:val="0"/>
                <w:sz w:val="24"/>
                <w:szCs w:val="24"/>
                <w14:ligatures w14:val="none"/>
              </w:rPr>
              <w:t>1</w:t>
            </w:r>
            <w:r>
              <w:rPr>
                <w:rFonts w:hint="eastAsia" w:ascii="宋体" w:hAnsi="宋体" w:eastAsia="宋体" w:cs="Times New Roman"/>
                <w:snapToGrid w:val="0"/>
                <w:kern w:val="0"/>
                <w:sz w:val="24"/>
                <w:szCs w:val="24"/>
                <w14:ligatures w14:val="none"/>
              </w:rPr>
              <w:t>-</w:t>
            </w:r>
            <w:r>
              <w:rPr>
                <w:rFonts w:hint="eastAsia" w:ascii="宋体" w:hAnsi="宋体" w:eastAsia="宋体" w:cs="Times New Roman"/>
                <w:snapToGrid w:val="0"/>
                <w:kern w:val="0"/>
                <w:sz w:val="24"/>
                <w:szCs w:val="24"/>
                <w:lang w:val="en-US" w:eastAsia="zh-CN"/>
                <w14:ligatures w14:val="none"/>
              </w:rPr>
              <w:t>2</w:t>
            </w:r>
            <w:r>
              <w:rPr>
                <w:rFonts w:hint="eastAsia" w:ascii="宋体" w:hAnsi="宋体" w:eastAsia="宋体" w:cs="Times New Roman"/>
                <w:snapToGrid w:val="0"/>
                <w:kern w:val="0"/>
                <w:sz w:val="24"/>
                <w:szCs w:val="24"/>
                <w14:ligatures w14:val="none"/>
              </w:rPr>
              <w:t>分。</w:t>
            </w:r>
            <w:r>
              <w:rPr>
                <w:rFonts w:ascii="宋体" w:hAnsi="宋体" w:eastAsia="宋体" w:cs="Times New Roman"/>
                <w:snapToGrid w:val="0"/>
                <w:kern w:val="0"/>
                <w:sz w:val="24"/>
                <w:szCs w:val="24"/>
                <w14:ligatures w14:val="none"/>
              </w:rPr>
              <w:t xml:space="preserve"> </w:t>
            </w:r>
          </w:p>
        </w:tc>
        <w:tc>
          <w:tcPr>
            <w:tcW w:w="914" w:type="dxa"/>
            <w:vAlign w:val="center"/>
          </w:tcPr>
          <w:p>
            <w:pPr>
              <w:spacing w:line="240" w:lineRule="auto"/>
              <w:jc w:val="center"/>
              <w:outlineLvl w:val="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spacing w:line="240" w:lineRule="auto"/>
              <w:jc w:val="center"/>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810" w:type="dxa"/>
            <w:vAlign w:val="center"/>
          </w:tcPr>
          <w:p>
            <w:pPr>
              <w:spacing w:line="300" w:lineRule="exact"/>
              <w:jc w:val="center"/>
              <w:rPr>
                <w:rFonts w:hint="eastAsia"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14:ligatures w14:val="none"/>
              </w:rPr>
              <w:t>安全保障处理</w:t>
            </w:r>
          </w:p>
        </w:tc>
        <w:tc>
          <w:tcPr>
            <w:tcW w:w="7412" w:type="dxa"/>
            <w:vAlign w:val="center"/>
          </w:tcPr>
          <w:p>
            <w:pPr>
              <w:spacing w:line="300" w:lineRule="exact"/>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1）根据各供应商提供本项目守押寄库服务突发事件的应急处理措施，进行综合评定，酌情得1-2分。</w:t>
            </w:r>
          </w:p>
          <w:p>
            <w:pPr>
              <w:spacing w:line="300" w:lineRule="exact"/>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2）成交供应商承诺就提供的各项服务内容按行业标准向有关保险机构办理足额保险，其中现金盗抢险投保金额不低于1亿元，得1分；承诺保险金额最高的，再得1分，第二名得0.5分，其他不得分。</w:t>
            </w:r>
          </w:p>
        </w:tc>
        <w:tc>
          <w:tcPr>
            <w:tcW w:w="914" w:type="dxa"/>
            <w:vAlign w:val="center"/>
          </w:tcPr>
          <w:p>
            <w:pPr>
              <w:spacing w:line="240" w:lineRule="auto"/>
              <w:jc w:val="center"/>
              <w:outlineLvl w:val="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4" w:type="dxa"/>
            <w:vAlign w:val="center"/>
          </w:tcPr>
          <w:p>
            <w:pPr>
              <w:spacing w:line="240" w:lineRule="auto"/>
              <w:jc w:val="center"/>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10" w:type="dxa"/>
            <w:vAlign w:val="center"/>
          </w:tcPr>
          <w:p>
            <w:pPr>
              <w:spacing w:line="300" w:lineRule="exact"/>
              <w:jc w:val="center"/>
              <w:rPr>
                <w:rFonts w:hint="eastAsia" w:ascii="宋体" w:hAnsi="宋体" w:eastAsia="宋体" w:cs="宋体"/>
                <w:color w:val="auto"/>
                <w:sz w:val="24"/>
                <w:szCs w:val="24"/>
                <w:lang w:val="en-US" w:eastAsia="zh-CN"/>
              </w:rPr>
            </w:pPr>
            <w:r>
              <w:rPr>
                <w:rFonts w:hint="eastAsia" w:ascii="宋体" w:hAnsi="宋体" w:eastAsia="宋体" w:cs="Times New Roman"/>
                <w:sz w:val="24"/>
                <w:szCs w:val="24"/>
                <w14:ligatures w14:val="none"/>
              </w:rPr>
              <w:t>团队人员配置</w:t>
            </w:r>
          </w:p>
        </w:tc>
        <w:tc>
          <w:tcPr>
            <w:tcW w:w="7412" w:type="dxa"/>
            <w:vAlign w:val="center"/>
          </w:tcPr>
          <w:p>
            <w:pPr>
              <w:spacing w:line="300" w:lineRule="exact"/>
              <w:jc w:val="both"/>
              <w:rPr>
                <w:rFonts w:hint="eastAsia" w:eastAsia="宋体"/>
                <w:sz w:val="24"/>
                <w:szCs w:val="24"/>
                <w:lang w:val="en-US" w:eastAsia="zh-CN"/>
              </w:rPr>
            </w:pPr>
            <w:r>
              <w:rPr>
                <w:rFonts w:hint="eastAsia" w:ascii="宋体" w:hAnsi="宋体" w:eastAsia="宋体" w:cs="Times New Roman"/>
                <w:snapToGrid w:val="0"/>
                <w:kern w:val="0"/>
                <w:sz w:val="24"/>
                <w:szCs w:val="24"/>
                <w14:ligatures w14:val="none"/>
              </w:rPr>
              <w:t>根据各供应商提供的项目服务团队配置，配置人员人数达到最低标准得2分；配置人员退伍军人人数占比最高的再得1分，第二的得0.5分，其他不得分；人员</w:t>
            </w:r>
            <w:r>
              <w:rPr>
                <w:rFonts w:hint="eastAsia" w:ascii="宋体" w:hAnsi="宋体" w:eastAsia="宋体" w:cs="Times New Roman"/>
                <w:snapToGrid w:val="0"/>
                <w:kern w:val="0"/>
                <w:sz w:val="24"/>
                <w:szCs w:val="24"/>
                <w:lang w:val="en-US" w:eastAsia="zh-CN"/>
                <w14:ligatures w14:val="none"/>
              </w:rPr>
              <w:t>年龄等</w:t>
            </w:r>
            <w:r>
              <w:rPr>
                <w:rFonts w:hint="eastAsia" w:ascii="宋体" w:hAnsi="宋体" w:eastAsia="宋体" w:cs="Times New Roman"/>
                <w:snapToGrid w:val="0"/>
                <w:kern w:val="0"/>
                <w:sz w:val="24"/>
                <w:szCs w:val="24"/>
                <w14:ligatures w14:val="none"/>
              </w:rPr>
              <w:t>配置</w:t>
            </w:r>
            <w:r>
              <w:rPr>
                <w:rFonts w:hint="eastAsia" w:ascii="宋体" w:hAnsi="宋体" w:eastAsia="宋体" w:cs="Times New Roman"/>
                <w:snapToGrid w:val="0"/>
                <w:kern w:val="0"/>
                <w:sz w:val="24"/>
                <w:szCs w:val="24"/>
                <w:lang w:val="en-US" w:eastAsia="zh-CN"/>
                <w14:ligatures w14:val="none"/>
              </w:rPr>
              <w:t>更加优化</w:t>
            </w:r>
            <w:r>
              <w:rPr>
                <w:rFonts w:hint="eastAsia" w:ascii="宋体" w:hAnsi="宋体" w:eastAsia="宋体" w:cs="Times New Roman"/>
                <w:snapToGrid w:val="0"/>
                <w:kern w:val="0"/>
                <w:sz w:val="24"/>
                <w:szCs w:val="24"/>
                <w14:ligatures w14:val="none"/>
              </w:rPr>
              <w:t>合理的，再酌情得1-2。</w:t>
            </w:r>
            <w:r>
              <w:rPr>
                <w:rFonts w:hint="eastAsia" w:ascii="宋体" w:hAnsi="宋体" w:eastAsia="宋体" w:cs="Times New Roman"/>
                <w:b/>
                <w:sz w:val="24"/>
                <w:szCs w:val="24"/>
                <w:lang w:val="en-US" w:eastAsia="zh-CN"/>
                <w14:ligatures w14:val="none"/>
              </w:rPr>
              <w:t>提供</w:t>
            </w:r>
            <w:r>
              <w:rPr>
                <w:rFonts w:hint="eastAsia" w:ascii="宋体" w:hAnsi="宋体" w:eastAsia="宋体" w:cs="Times New Roman"/>
                <w:b/>
                <w:sz w:val="24"/>
                <w:szCs w:val="24"/>
                <w14:ligatures w14:val="none"/>
              </w:rPr>
              <w:t>项目组成成员表</w:t>
            </w:r>
            <w:r>
              <w:rPr>
                <w:rFonts w:hint="eastAsia" w:ascii="宋体" w:hAnsi="宋体" w:eastAsia="宋体" w:cs="Times New Roman"/>
                <w:b/>
                <w:sz w:val="24"/>
                <w:szCs w:val="24"/>
                <w:lang w:eastAsia="zh-CN"/>
                <w14:ligatures w14:val="none"/>
              </w:rPr>
              <w:t>。</w:t>
            </w:r>
          </w:p>
        </w:tc>
        <w:tc>
          <w:tcPr>
            <w:tcW w:w="914" w:type="dxa"/>
            <w:vAlign w:val="center"/>
          </w:tcPr>
          <w:p>
            <w:pPr>
              <w:spacing w:line="240" w:lineRule="auto"/>
              <w:jc w:val="center"/>
              <w:outlineLvl w:val="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spacing w:line="240" w:lineRule="auto"/>
              <w:jc w:val="center"/>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810" w:type="dxa"/>
            <w:vAlign w:val="center"/>
          </w:tcPr>
          <w:p>
            <w:pPr>
              <w:spacing w:line="300" w:lineRule="exact"/>
              <w:jc w:val="center"/>
              <w:rPr>
                <w:rFonts w:hint="eastAsia" w:ascii="宋体" w:hAnsi="宋体" w:eastAsia="宋体" w:cs="宋体"/>
                <w:sz w:val="24"/>
                <w:szCs w:val="24"/>
                <w:lang w:val="en-US" w:eastAsia="zh-CN"/>
              </w:rPr>
            </w:pPr>
            <w:r>
              <w:rPr>
                <w:rFonts w:hint="eastAsia" w:ascii="宋体" w:hAnsi="宋体" w:eastAsia="宋体" w:cs="宋体"/>
                <w:kern w:val="0"/>
                <w:sz w:val="24"/>
                <w:szCs w:val="24"/>
                <w14:ligatures w14:val="none"/>
              </w:rPr>
              <w:t>车辆配置情况</w:t>
            </w:r>
          </w:p>
        </w:tc>
        <w:tc>
          <w:tcPr>
            <w:tcW w:w="7412" w:type="dxa"/>
            <w:vAlign w:val="center"/>
          </w:tcPr>
          <w:p>
            <w:pPr>
              <w:spacing w:line="300" w:lineRule="exact"/>
              <w:rPr>
                <w:rFonts w:hint="eastAsia" w:ascii="宋体" w:hAnsi="宋体" w:eastAsia="宋体" w:cs="宋体"/>
                <w:b/>
                <w:bCs/>
                <w:color w:val="auto"/>
                <w:sz w:val="24"/>
                <w:szCs w:val="24"/>
                <w:lang w:val="en-US" w:eastAsia="zh-CN"/>
              </w:rPr>
            </w:pPr>
            <w:r>
              <w:rPr>
                <w:rFonts w:hint="eastAsia" w:ascii="宋体" w:hAnsi="宋体" w:eastAsia="宋体" w:cs="Times New Roman"/>
                <w:snapToGrid w:val="0"/>
                <w:kern w:val="0"/>
                <w:sz w:val="24"/>
                <w:szCs w:val="24"/>
                <w14:ligatures w14:val="none"/>
              </w:rPr>
              <w:t>根据各供应商提供的服务车辆情况，符合本项目车辆规定的基本条件（车辆</w:t>
            </w:r>
            <w:r>
              <w:rPr>
                <w:rFonts w:hint="eastAsia" w:ascii="宋体" w:hAnsi="宋体" w:eastAsia="宋体" w:cs="Times New Roman"/>
                <w:snapToGrid w:val="0"/>
                <w:kern w:val="0"/>
                <w:sz w:val="24"/>
                <w:szCs w:val="24"/>
                <w:lang w:val="en-US" w:eastAsia="zh-CN"/>
                <w14:ligatures w14:val="none"/>
              </w:rPr>
              <w:t>11辆</w:t>
            </w:r>
            <w:r>
              <w:rPr>
                <w:rFonts w:hint="eastAsia" w:ascii="宋体" w:hAnsi="宋体" w:eastAsia="宋体" w:cs="Times New Roman"/>
                <w:snapToGrid w:val="0"/>
                <w:kern w:val="0"/>
                <w:sz w:val="24"/>
                <w:szCs w:val="24"/>
                <w14:ligatures w14:val="none"/>
              </w:rPr>
              <w:t>和车辆标准</w:t>
            </w:r>
            <w:r>
              <w:rPr>
                <w:rFonts w:hint="eastAsia" w:ascii="宋体" w:hAnsi="宋体" w:eastAsia="宋体" w:cs="Times New Roman"/>
                <w:snapToGrid w:val="0"/>
                <w:kern w:val="0"/>
                <w:sz w:val="24"/>
                <w:szCs w:val="24"/>
                <w:lang w:eastAsia="zh-CN"/>
                <w14:ligatures w14:val="none"/>
              </w:rPr>
              <w:t>：</w:t>
            </w:r>
            <w:r>
              <w:rPr>
                <w:rFonts w:hint="eastAsia" w:ascii="宋体" w:hAnsi="宋体" w:eastAsia="宋体" w:cs="Times New Roman"/>
                <w:snapToGrid w:val="0"/>
                <w:kern w:val="0"/>
                <w:sz w:val="24"/>
                <w:szCs w:val="24"/>
                <w:lang w:val="en-US" w:eastAsia="zh-CN"/>
                <w14:ligatures w14:val="none"/>
              </w:rPr>
              <w:t>年检、110联动、能</w:t>
            </w:r>
            <w:r>
              <w:rPr>
                <w:rFonts w:hint="eastAsia" w:ascii="宋体" w:hAnsi="宋体" w:eastAsia="宋体" w:cs="Times New Roman"/>
                <w:snapToGrid w:val="0"/>
                <w:kern w:val="0"/>
                <w:sz w:val="24"/>
                <w:szCs w:val="24"/>
                <w14:ligatures w14:val="none"/>
              </w:rPr>
              <w:t>具备远程断油断电功能），得</w:t>
            </w:r>
            <w:r>
              <w:rPr>
                <w:rFonts w:hint="eastAsia" w:ascii="宋体" w:hAnsi="宋体" w:eastAsia="宋体" w:cs="Times New Roman"/>
                <w:snapToGrid w:val="0"/>
                <w:kern w:val="0"/>
                <w:sz w:val="24"/>
                <w:szCs w:val="24"/>
                <w:lang w:val="en-US" w:eastAsia="zh-CN"/>
                <w14:ligatures w14:val="none"/>
              </w:rPr>
              <w:t>3</w:t>
            </w:r>
            <w:r>
              <w:rPr>
                <w:rFonts w:hint="eastAsia" w:ascii="宋体" w:hAnsi="宋体" w:eastAsia="宋体" w:cs="Times New Roman"/>
                <w:snapToGrid w:val="0"/>
                <w:kern w:val="0"/>
                <w:sz w:val="24"/>
                <w:szCs w:val="24"/>
                <w14:ligatures w14:val="none"/>
              </w:rPr>
              <w:t>分；提供行驶公里数在50000KM以内的车辆最多的再得</w:t>
            </w:r>
            <w:r>
              <w:rPr>
                <w:rFonts w:hint="eastAsia" w:ascii="宋体" w:hAnsi="宋体" w:eastAsia="宋体" w:cs="Times New Roman"/>
                <w:snapToGrid w:val="0"/>
                <w:kern w:val="0"/>
                <w:sz w:val="24"/>
                <w:szCs w:val="24"/>
                <w:lang w:val="en-US" w:eastAsia="zh-CN"/>
                <w14:ligatures w14:val="none"/>
              </w:rPr>
              <w:t>2</w:t>
            </w:r>
            <w:r>
              <w:rPr>
                <w:rFonts w:hint="eastAsia" w:ascii="宋体" w:hAnsi="宋体" w:eastAsia="宋体" w:cs="Times New Roman"/>
                <w:snapToGrid w:val="0"/>
                <w:kern w:val="0"/>
                <w:sz w:val="24"/>
                <w:szCs w:val="24"/>
                <w14:ligatures w14:val="none"/>
              </w:rPr>
              <w:t>分，第二名得</w:t>
            </w:r>
            <w:r>
              <w:rPr>
                <w:rFonts w:hint="eastAsia" w:ascii="宋体" w:hAnsi="宋体" w:eastAsia="宋体" w:cs="Times New Roman"/>
                <w:snapToGrid w:val="0"/>
                <w:kern w:val="0"/>
                <w:sz w:val="24"/>
                <w:szCs w:val="24"/>
                <w:lang w:val="en-US" w:eastAsia="zh-CN"/>
                <w14:ligatures w14:val="none"/>
              </w:rPr>
              <w:t>1分</w:t>
            </w:r>
            <w:r>
              <w:rPr>
                <w:rFonts w:hint="eastAsia" w:ascii="宋体" w:hAnsi="宋体" w:eastAsia="宋体" w:cs="Times New Roman"/>
                <w:snapToGrid w:val="0"/>
                <w:kern w:val="0"/>
                <w:sz w:val="24"/>
                <w:szCs w:val="24"/>
                <w14:ligatures w14:val="none"/>
              </w:rPr>
              <w:t>，其他不得分</w:t>
            </w:r>
            <w:r>
              <w:rPr>
                <w:rFonts w:hint="eastAsia" w:ascii="宋体" w:hAnsi="宋体" w:eastAsia="宋体" w:cs="Times New Roman"/>
                <w:snapToGrid w:val="0"/>
                <w:kern w:val="0"/>
                <w:sz w:val="24"/>
                <w:szCs w:val="24"/>
                <w:lang w:eastAsia="zh-CN"/>
                <w14:ligatures w14:val="none"/>
              </w:rPr>
              <w:t>。</w:t>
            </w:r>
          </w:p>
        </w:tc>
        <w:tc>
          <w:tcPr>
            <w:tcW w:w="914" w:type="dxa"/>
            <w:vAlign w:val="center"/>
          </w:tcPr>
          <w:p>
            <w:pPr>
              <w:spacing w:line="240" w:lineRule="auto"/>
              <w:jc w:val="center"/>
              <w:outlineLvl w:val="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3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810" w:type="dxa"/>
            <w:vAlign w:val="center"/>
          </w:tcPr>
          <w:p>
            <w:pPr>
              <w:spacing w:line="300" w:lineRule="exact"/>
              <w:jc w:val="center"/>
              <w:rPr>
                <w:rFonts w:hint="eastAsia" w:ascii="宋体" w:hAnsi="宋体" w:eastAsia="宋体" w:cs="Times New Roman"/>
                <w:snapToGrid w:val="0"/>
                <w:kern w:val="0"/>
                <w:sz w:val="24"/>
                <w:szCs w:val="24"/>
                <w:lang w:val="en-US" w:eastAsia="zh-CN"/>
                <w14:ligatures w14:val="none"/>
              </w:rPr>
            </w:pPr>
            <w:r>
              <w:rPr>
                <w:rFonts w:hint="eastAsia" w:ascii="宋体" w:hAnsi="宋体" w:eastAsia="宋体" w:cs="宋体"/>
                <w:kern w:val="0"/>
                <w:sz w:val="24"/>
                <w:szCs w:val="24"/>
                <w14:ligatures w14:val="none"/>
              </w:rPr>
              <w:t>优惠服务</w:t>
            </w:r>
          </w:p>
        </w:tc>
        <w:tc>
          <w:tcPr>
            <w:tcW w:w="7412" w:type="dxa"/>
            <w:vAlign w:val="center"/>
          </w:tcPr>
          <w:p>
            <w:pPr>
              <w:spacing w:line="300" w:lineRule="exact"/>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1)临时任务费用优惠服务：按单次报价，报价最低的得2分，第二名的得1分，其他不得分。</w:t>
            </w:r>
          </w:p>
          <w:p>
            <w:pPr>
              <w:spacing w:line="300" w:lineRule="exact"/>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2)根据各供应商提供的其他优惠服务承诺，进行综合评定，酌情得0-1分。</w:t>
            </w:r>
          </w:p>
          <w:p>
            <w:pPr>
              <w:spacing w:line="300" w:lineRule="exact"/>
              <w:rPr>
                <w:rFonts w:hint="eastAsia" w:ascii="宋体" w:hAnsi="宋体" w:eastAsia="宋体" w:cs="Times New Roman"/>
                <w:snapToGrid w:val="0"/>
                <w:kern w:val="0"/>
                <w:sz w:val="24"/>
                <w:szCs w:val="24"/>
                <w:lang w:val="en-US" w:eastAsia="zh-CN"/>
                <w14:ligatures w14:val="none"/>
              </w:rPr>
            </w:pPr>
            <w:r>
              <w:rPr>
                <w:rFonts w:hint="eastAsia" w:ascii="宋体" w:hAnsi="宋体" w:eastAsia="宋体" w:cs="Times New Roman"/>
                <w:b/>
                <w:bCs/>
                <w:snapToGrid w:val="0"/>
                <w:kern w:val="0"/>
                <w:sz w:val="24"/>
                <w:szCs w:val="24"/>
                <w14:ligatures w14:val="none"/>
              </w:rPr>
              <w:t>临时任务费用报价填写在报价表上。其他优惠服务提供方案及承诺</w:t>
            </w:r>
            <w:r>
              <w:rPr>
                <w:rFonts w:hint="eastAsia" w:ascii="宋体" w:hAnsi="宋体" w:eastAsia="宋体" w:cs="Times New Roman"/>
                <w:b/>
                <w:bCs/>
                <w:snapToGrid w:val="0"/>
                <w:kern w:val="0"/>
                <w:sz w:val="24"/>
                <w:szCs w:val="24"/>
                <w:lang w:eastAsia="zh-CN"/>
                <w14:ligatures w14:val="none"/>
              </w:rPr>
              <w:t>。</w:t>
            </w:r>
          </w:p>
        </w:tc>
        <w:tc>
          <w:tcPr>
            <w:tcW w:w="914" w:type="dxa"/>
            <w:vAlign w:val="center"/>
          </w:tcPr>
          <w:p>
            <w:pPr>
              <w:spacing w:line="300" w:lineRule="exact"/>
              <w:jc w:val="center"/>
              <w:rPr>
                <w:rFonts w:hint="eastAsia"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lang w:val="en-US" w:eastAsia="zh-CN"/>
                <w14:ligatures w14: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3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810" w:type="dxa"/>
            <w:vAlign w:val="center"/>
          </w:tcPr>
          <w:p>
            <w:pPr>
              <w:spacing w:line="300" w:lineRule="exact"/>
              <w:jc w:val="center"/>
              <w:rPr>
                <w:rFonts w:hint="eastAsia" w:ascii="宋体" w:hAnsi="宋体" w:eastAsia="宋体" w:cs="Times New Roman"/>
                <w:snapToGrid w:val="0"/>
                <w:kern w:val="0"/>
                <w:sz w:val="24"/>
                <w:szCs w:val="24"/>
                <w:lang w:val="en-US" w:eastAsia="zh-CN"/>
                <w14:ligatures w14:val="none"/>
              </w:rPr>
            </w:pPr>
            <w:r>
              <w:rPr>
                <w:rFonts w:hint="eastAsia" w:ascii="宋体" w:hAnsi="宋体" w:eastAsia="宋体" w:cs="Times New Roman"/>
                <w:snapToGrid w:val="0"/>
                <w:kern w:val="0"/>
                <w:sz w:val="24"/>
                <w:szCs w:val="24"/>
                <w14:ligatures w14:val="none"/>
              </w:rPr>
              <w:t>信誉、荣誉、获奖情况</w:t>
            </w:r>
          </w:p>
        </w:tc>
        <w:tc>
          <w:tcPr>
            <w:tcW w:w="7412" w:type="dxa"/>
            <w:vAlign w:val="center"/>
          </w:tcPr>
          <w:p>
            <w:pPr>
              <w:spacing w:line="300" w:lineRule="exact"/>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供应商从2021年1月1日至今获得过国家级及以上信誉、荣誉或奖项的，得2分；获得过省级及以上信誉、荣誉或奖项的，得1分；获得过市级（含县级）及以上信誉、荣誉或奖项的，得0.5分</w:t>
            </w:r>
            <w:r>
              <w:rPr>
                <w:rFonts w:hint="eastAsia" w:ascii="宋体" w:hAnsi="宋体" w:eastAsia="宋体" w:cs="Times New Roman"/>
                <w:snapToGrid w:val="0"/>
                <w:kern w:val="0"/>
                <w:sz w:val="24"/>
                <w:szCs w:val="24"/>
                <w:lang w:eastAsia="zh-CN"/>
                <w14:ligatures w14:val="none"/>
              </w:rPr>
              <w:t>。</w:t>
            </w:r>
            <w:r>
              <w:rPr>
                <w:rFonts w:hint="eastAsia" w:ascii="宋体" w:hAnsi="宋体" w:eastAsia="宋体" w:cs="Times New Roman"/>
                <w:snapToGrid w:val="0"/>
                <w:kern w:val="0"/>
                <w:sz w:val="24"/>
                <w:szCs w:val="24"/>
                <w14:ligatures w14:val="none"/>
              </w:rPr>
              <w:t>本项最高得</w:t>
            </w:r>
            <w:r>
              <w:rPr>
                <w:rFonts w:hint="eastAsia" w:ascii="宋体" w:hAnsi="宋体" w:eastAsia="宋体" w:cs="Times New Roman"/>
                <w:snapToGrid w:val="0"/>
                <w:kern w:val="0"/>
                <w:sz w:val="24"/>
                <w:szCs w:val="24"/>
                <w:lang w:val="en-US" w:eastAsia="zh-CN"/>
                <w14:ligatures w14:val="none"/>
              </w:rPr>
              <w:t>2</w:t>
            </w:r>
            <w:r>
              <w:rPr>
                <w:rFonts w:hint="eastAsia" w:ascii="宋体" w:hAnsi="宋体" w:eastAsia="宋体" w:cs="Times New Roman"/>
                <w:snapToGrid w:val="0"/>
                <w:kern w:val="0"/>
                <w:sz w:val="24"/>
                <w:szCs w:val="24"/>
                <w14:ligatures w14:val="none"/>
              </w:rPr>
              <w:t>分。</w:t>
            </w:r>
          </w:p>
          <w:p>
            <w:pPr>
              <w:spacing w:line="300" w:lineRule="exact"/>
              <w:rPr>
                <w:rFonts w:hint="eastAsia" w:ascii="宋体" w:hAnsi="宋体" w:eastAsia="宋体" w:cs="Times New Roman"/>
                <w:snapToGrid w:val="0"/>
                <w:kern w:val="0"/>
                <w:sz w:val="24"/>
                <w:szCs w:val="24"/>
                <w14:ligatures w14:val="none"/>
              </w:rPr>
            </w:pPr>
            <w:r>
              <w:rPr>
                <w:rFonts w:hint="eastAsia" w:ascii="宋体" w:hAnsi="宋体" w:eastAsia="宋体" w:cs="Times New Roman"/>
                <w:snapToGrid w:val="0"/>
                <w:kern w:val="0"/>
                <w:sz w:val="24"/>
                <w:szCs w:val="24"/>
                <w14:ligatures w14:val="none"/>
              </w:rPr>
              <w:t>注：上述信誉、荣誉或奖项的颁发部门为各级政府部门。同一信誉、荣誉或奖项的按最高级别计分。</w:t>
            </w:r>
          </w:p>
          <w:p>
            <w:pPr>
              <w:spacing w:line="300" w:lineRule="exact"/>
              <w:rPr>
                <w:rFonts w:hint="eastAsia" w:ascii="宋体" w:hAnsi="宋体" w:eastAsia="宋体" w:cs="Times New Roman"/>
                <w:snapToGrid w:val="0"/>
                <w:kern w:val="0"/>
                <w:sz w:val="24"/>
                <w:szCs w:val="24"/>
                <w:lang w:val="en-US" w:eastAsia="zh-CN"/>
                <w14:ligatures w14:val="none"/>
              </w:rPr>
            </w:pPr>
            <w:r>
              <w:rPr>
                <w:rFonts w:hint="eastAsia" w:ascii="宋体" w:hAnsi="宋体" w:eastAsia="宋体" w:cs="Times New Roman"/>
                <w:b/>
                <w:bCs/>
                <w:snapToGrid w:val="0"/>
                <w:kern w:val="0"/>
                <w:sz w:val="24"/>
                <w:szCs w:val="24"/>
                <w14:ligatures w14:val="none"/>
              </w:rPr>
              <w:t>提供信誉、奖项复印件加盖公章。</w:t>
            </w:r>
          </w:p>
        </w:tc>
        <w:tc>
          <w:tcPr>
            <w:tcW w:w="91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3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810" w:type="dxa"/>
            <w:vAlign w:val="center"/>
          </w:tcPr>
          <w:p>
            <w:pPr>
              <w:spacing w:line="3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bCs/>
                <w:sz w:val="24"/>
                <w:szCs w:val="24"/>
                <w14:ligatures w14:val="none"/>
              </w:rPr>
              <w:t>同类项目经营业绩</w:t>
            </w:r>
          </w:p>
        </w:tc>
        <w:tc>
          <w:tcPr>
            <w:tcW w:w="7412" w:type="dxa"/>
            <w:vAlign w:val="center"/>
          </w:tcPr>
          <w:p>
            <w:pPr>
              <w:autoSpaceDE w:val="0"/>
              <w:autoSpaceDN w:val="0"/>
              <w:adjustRightInd w:val="0"/>
              <w:spacing w:line="300" w:lineRule="exact"/>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14:ligatures w14:val="none"/>
              </w:rPr>
              <w:t>供应商从2021年1月1日（以合同签订时间为准）至今成功实施的类似项目的，每提供一份合同得</w:t>
            </w:r>
            <w:r>
              <w:rPr>
                <w:rFonts w:ascii="宋体" w:hAnsi="宋体" w:eastAsia="宋体" w:cs="宋体"/>
                <w:sz w:val="24"/>
                <w:szCs w:val="24"/>
                <w14:ligatures w14:val="none"/>
              </w:rPr>
              <w:t>1</w:t>
            </w:r>
            <w:r>
              <w:rPr>
                <w:rFonts w:hint="eastAsia" w:ascii="宋体" w:hAnsi="宋体" w:eastAsia="宋体" w:cs="宋体"/>
                <w:sz w:val="24"/>
                <w:szCs w:val="24"/>
                <w14:ligatures w14:val="none"/>
              </w:rPr>
              <w:t>分，本项最高得</w:t>
            </w:r>
            <w:r>
              <w:rPr>
                <w:rFonts w:ascii="宋体" w:hAnsi="宋体" w:eastAsia="宋体" w:cs="宋体"/>
                <w:sz w:val="24"/>
                <w:szCs w:val="24"/>
                <w14:ligatures w14:val="none"/>
              </w:rPr>
              <w:t>4</w:t>
            </w:r>
            <w:r>
              <w:rPr>
                <w:rFonts w:hint="eastAsia" w:ascii="宋体" w:hAnsi="宋体" w:eastAsia="宋体" w:cs="宋体"/>
                <w:sz w:val="24"/>
                <w:szCs w:val="24"/>
                <w14:ligatures w14:val="none"/>
              </w:rPr>
              <w:t>分。</w:t>
            </w:r>
          </w:p>
        </w:tc>
        <w:tc>
          <w:tcPr>
            <w:tcW w:w="91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3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810" w:type="dxa"/>
            <w:vAlign w:val="center"/>
          </w:tcPr>
          <w:p>
            <w:pPr>
              <w:spacing w:line="300" w:lineRule="exact"/>
              <w:jc w:val="center"/>
              <w:rPr>
                <w:rFonts w:hint="eastAsia" w:ascii="宋体" w:hAnsi="宋体" w:eastAsia="宋体" w:cs="宋体"/>
                <w:color w:val="auto"/>
                <w:sz w:val="24"/>
                <w:szCs w:val="24"/>
              </w:rPr>
            </w:pPr>
            <w:r>
              <w:rPr>
                <w:rFonts w:hint="eastAsia" w:ascii="宋体" w:hAnsi="宋体" w:eastAsia="宋体" w:cs="宋体"/>
                <w:bCs/>
                <w:sz w:val="24"/>
                <w:szCs w:val="24"/>
                <w14:ligatures w14:val="none"/>
              </w:rPr>
              <w:t>客户服务评价</w:t>
            </w:r>
          </w:p>
        </w:tc>
        <w:tc>
          <w:tcPr>
            <w:tcW w:w="7412" w:type="dxa"/>
            <w:vAlign w:val="center"/>
          </w:tcPr>
          <w:p>
            <w:pPr>
              <w:autoSpaceDE w:val="0"/>
              <w:autoSpaceDN w:val="0"/>
              <w:adjustRightInd w:val="0"/>
              <w:spacing w:line="30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根据各供应商提供的客户服务评价及社会面评价情况（要求提供相关证明材料，附加盖被服务单位公章），进行综合评定，酌情得</w:t>
            </w:r>
            <w:r>
              <w:rPr>
                <w:rFonts w:ascii="宋体" w:hAnsi="宋体" w:eastAsia="宋体" w:cs="宋体"/>
                <w:sz w:val="24"/>
                <w:szCs w:val="24"/>
                <w14:ligatures w14:val="none"/>
              </w:rPr>
              <w:t>2</w:t>
            </w:r>
            <w:r>
              <w:rPr>
                <w:rFonts w:hint="eastAsia" w:ascii="宋体" w:hAnsi="宋体" w:eastAsia="宋体" w:cs="宋体"/>
                <w:sz w:val="24"/>
                <w:szCs w:val="24"/>
                <w14:ligatures w14:val="none"/>
              </w:rPr>
              <w:t>-</w:t>
            </w:r>
            <w:r>
              <w:rPr>
                <w:rFonts w:ascii="宋体" w:hAnsi="宋体" w:eastAsia="宋体" w:cs="宋体"/>
                <w:sz w:val="24"/>
                <w:szCs w:val="24"/>
                <w14:ligatures w14:val="none"/>
              </w:rPr>
              <w:t>5</w:t>
            </w:r>
            <w:r>
              <w:rPr>
                <w:rFonts w:hint="eastAsia" w:ascii="宋体" w:hAnsi="宋体" w:eastAsia="宋体" w:cs="宋体"/>
                <w:sz w:val="24"/>
                <w:szCs w:val="24"/>
                <w14:ligatures w14:val="none"/>
              </w:rPr>
              <w:t>分。</w:t>
            </w:r>
          </w:p>
          <w:p>
            <w:pPr>
              <w:autoSpaceDE w:val="0"/>
              <w:autoSpaceDN w:val="0"/>
              <w:adjustRightInd w:val="0"/>
              <w:spacing w:line="300" w:lineRule="exact"/>
              <w:rPr>
                <w:rFonts w:hint="eastAsia" w:ascii="宋体" w:hAnsi="宋体" w:eastAsia="宋体" w:cs="宋体"/>
                <w:kern w:val="0"/>
                <w:sz w:val="24"/>
                <w:szCs w:val="24"/>
                <w:highlight w:val="none"/>
                <w:lang w:val="en-US" w:eastAsia="zh-CN"/>
              </w:rPr>
            </w:pPr>
            <w:r>
              <w:rPr>
                <w:rFonts w:hint="eastAsia" w:ascii="宋体" w:hAnsi="宋体" w:eastAsia="宋体" w:cs="宋体"/>
                <w:b/>
                <w:bCs/>
                <w:sz w:val="24"/>
                <w:szCs w:val="24"/>
                <w14:ligatures w14:val="none"/>
              </w:rPr>
              <w:t>提供合同或项目业主证明文件等复印件。</w:t>
            </w:r>
          </w:p>
        </w:tc>
        <w:tc>
          <w:tcPr>
            <w:tcW w:w="914" w:type="dxa"/>
            <w:vAlign w:val="center"/>
          </w:tcPr>
          <w:p>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83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810" w:type="dxa"/>
            <w:vAlign w:val="center"/>
          </w:tcPr>
          <w:p>
            <w:pPr>
              <w:spacing w:line="300" w:lineRule="exact"/>
              <w:jc w:val="center"/>
              <w:rPr>
                <w:rFonts w:hint="eastAsia" w:ascii="宋体" w:hAnsi="宋体" w:eastAsia="宋体" w:cs="宋体"/>
                <w:color w:val="auto"/>
                <w:sz w:val="24"/>
                <w:szCs w:val="24"/>
                <w:lang w:val="en-US" w:eastAsia="zh-CN"/>
              </w:rPr>
            </w:pPr>
            <w:r>
              <w:rPr>
                <w:rFonts w:hint="eastAsia" w:ascii="宋体" w:hAnsi="宋体" w:eastAsia="宋体" w:cs="宋体"/>
                <w:bCs/>
                <w:sz w:val="24"/>
                <w:szCs w:val="24"/>
                <w14:ligatures w14:val="none"/>
              </w:rPr>
              <w:t>业务库要求</w:t>
            </w:r>
          </w:p>
        </w:tc>
        <w:tc>
          <w:tcPr>
            <w:tcW w:w="7412" w:type="dxa"/>
            <w:vAlign w:val="center"/>
          </w:tcPr>
          <w:p>
            <w:pPr>
              <w:autoSpaceDE w:val="0"/>
              <w:autoSpaceDN w:val="0"/>
              <w:adjustRightInd w:val="0"/>
              <w:spacing w:line="300" w:lineRule="exact"/>
              <w:rPr>
                <w:rFonts w:ascii="宋体" w:hAnsi="宋体" w:eastAsia="宋体" w:cs="宋体"/>
                <w:color w:val="FF0000"/>
                <w:sz w:val="24"/>
                <w:szCs w:val="24"/>
                <w:shd w:val="pct10" w:color="auto" w:fill="FFFFFF"/>
                <w14:ligatures w14:val="none"/>
              </w:rPr>
            </w:pPr>
            <w:r>
              <w:rPr>
                <w:rFonts w:hint="eastAsia" w:ascii="宋体" w:hAnsi="宋体" w:eastAsia="宋体" w:cs="宋体"/>
                <w:sz w:val="24"/>
                <w:szCs w:val="24"/>
                <w14:ligatures w14:val="none"/>
              </w:rPr>
              <w:t>1）承诺周边环境符合相关文件选址要求，</w:t>
            </w:r>
            <w:r>
              <w:rPr>
                <w:rFonts w:ascii="宋体" w:hAnsi="宋体" w:eastAsia="宋体" w:cs="宋体"/>
                <w:sz w:val="24"/>
                <w:szCs w:val="24"/>
                <w14:ligatures w14:val="none"/>
              </w:rPr>
              <w:t>1</w:t>
            </w:r>
            <w:r>
              <w:rPr>
                <w:rFonts w:hint="eastAsia" w:ascii="宋体" w:hAnsi="宋体" w:eastAsia="宋体" w:cs="宋体"/>
                <w:sz w:val="24"/>
                <w:szCs w:val="24"/>
                <w14:ligatures w14:val="none"/>
              </w:rPr>
              <w:t>-</w:t>
            </w:r>
            <w:r>
              <w:rPr>
                <w:rFonts w:ascii="宋体" w:hAnsi="宋体" w:eastAsia="宋体" w:cs="宋体"/>
                <w:sz w:val="24"/>
                <w:szCs w:val="24"/>
                <w14:ligatures w14:val="none"/>
              </w:rPr>
              <w:t>2</w:t>
            </w:r>
            <w:r>
              <w:rPr>
                <w:rFonts w:hint="eastAsia" w:ascii="宋体" w:hAnsi="宋体" w:eastAsia="宋体" w:cs="宋体"/>
                <w:sz w:val="24"/>
                <w:szCs w:val="24"/>
                <w14:ligatures w14:val="none"/>
              </w:rPr>
              <w:t>分；</w:t>
            </w:r>
          </w:p>
          <w:p>
            <w:pPr>
              <w:autoSpaceDE w:val="0"/>
              <w:autoSpaceDN w:val="0"/>
              <w:adjustRightInd w:val="0"/>
              <w:spacing w:line="300" w:lineRule="exact"/>
              <w:rPr>
                <w:rFonts w:ascii="宋体" w:hAnsi="宋体" w:eastAsia="宋体" w:cs="宋体"/>
                <w:sz w:val="24"/>
                <w:szCs w:val="24"/>
                <w14:ligatures w14:val="none"/>
              </w:rPr>
            </w:pPr>
            <w:r>
              <w:rPr>
                <w:rFonts w:hint="eastAsia" w:ascii="宋体" w:hAnsi="宋体" w:eastAsia="宋体" w:cs="宋体"/>
                <w:sz w:val="24"/>
                <w:szCs w:val="24"/>
                <w14:ligatures w14:val="none"/>
              </w:rPr>
              <w:t>2）承诺成交后直接有能投入正常使用的独立的标准库房，</w:t>
            </w:r>
            <w:r>
              <w:rPr>
                <w:rFonts w:ascii="宋体" w:hAnsi="宋体" w:eastAsia="宋体" w:cs="宋体"/>
                <w:sz w:val="24"/>
                <w:szCs w:val="24"/>
                <w14:ligatures w14:val="none"/>
              </w:rPr>
              <w:t>1</w:t>
            </w:r>
            <w:r>
              <w:rPr>
                <w:rFonts w:hint="eastAsia" w:ascii="宋体" w:hAnsi="宋体" w:eastAsia="宋体" w:cs="宋体"/>
                <w:sz w:val="24"/>
                <w:szCs w:val="24"/>
                <w14:ligatures w14:val="none"/>
              </w:rPr>
              <w:t>-</w:t>
            </w:r>
            <w:r>
              <w:rPr>
                <w:rFonts w:ascii="宋体" w:hAnsi="宋体" w:eastAsia="宋体" w:cs="宋体"/>
                <w:sz w:val="24"/>
                <w:szCs w:val="24"/>
                <w14:ligatures w14:val="none"/>
              </w:rPr>
              <w:t>2</w:t>
            </w:r>
            <w:r>
              <w:rPr>
                <w:rFonts w:hint="eastAsia" w:ascii="宋体" w:hAnsi="宋体" w:eastAsia="宋体" w:cs="宋体"/>
                <w:sz w:val="24"/>
                <w:szCs w:val="24"/>
                <w14:ligatures w14:val="none"/>
              </w:rPr>
              <w:t>分；</w:t>
            </w:r>
          </w:p>
          <w:p>
            <w:pPr>
              <w:autoSpaceDE w:val="0"/>
              <w:autoSpaceDN w:val="0"/>
              <w:adjustRightInd w:val="0"/>
              <w:spacing w:line="300" w:lineRule="exact"/>
              <w:rPr>
                <w:rFonts w:ascii="宋体" w:hAnsi="宋体" w:eastAsia="宋体" w:cs="宋体"/>
                <w:sz w:val="24"/>
                <w:szCs w:val="24"/>
                <w14:ligatures w14:val="none"/>
              </w:rPr>
            </w:pPr>
            <w:r>
              <w:rPr>
                <w:rFonts w:hint="eastAsia" w:ascii="宋体" w:hAnsi="宋体" w:eastAsia="宋体" w:cs="宋体"/>
                <w:sz w:val="24"/>
                <w:szCs w:val="24"/>
                <w14:ligatures w14:val="none"/>
              </w:rPr>
              <w:t>3）承诺供交易发起人使用的库房面积不低于</w:t>
            </w:r>
            <w:r>
              <w:rPr>
                <w:rFonts w:ascii="宋体" w:hAnsi="宋体" w:eastAsia="宋体" w:cs="宋体"/>
                <w:sz w:val="24"/>
                <w:szCs w:val="24"/>
                <w14:ligatures w14:val="none"/>
              </w:rPr>
              <w:t>4</w:t>
            </w:r>
            <w:r>
              <w:rPr>
                <w:rFonts w:hint="eastAsia" w:ascii="宋体" w:hAnsi="宋体" w:eastAsia="宋体" w:cs="宋体"/>
                <w:sz w:val="24"/>
                <w:szCs w:val="24"/>
                <w14:ligatures w14:val="none"/>
              </w:rPr>
              <w:t>00平方米，</w:t>
            </w:r>
            <w:r>
              <w:rPr>
                <w:rFonts w:ascii="宋体" w:hAnsi="宋体" w:eastAsia="宋体" w:cs="宋体"/>
                <w:sz w:val="24"/>
                <w:szCs w:val="24"/>
                <w14:ligatures w14:val="none"/>
              </w:rPr>
              <w:t>1</w:t>
            </w:r>
            <w:r>
              <w:rPr>
                <w:rFonts w:hint="eastAsia" w:ascii="宋体" w:hAnsi="宋体" w:eastAsia="宋体" w:cs="宋体"/>
                <w:sz w:val="24"/>
                <w:szCs w:val="24"/>
                <w14:ligatures w14:val="none"/>
              </w:rPr>
              <w:t>-2分。</w:t>
            </w:r>
          </w:p>
          <w:p>
            <w:pPr>
              <w:rPr>
                <w:rFonts w:hint="eastAsia" w:ascii="宋体" w:hAnsi="宋体" w:eastAsia="宋体" w:cs="宋体"/>
                <w:kern w:val="0"/>
                <w:sz w:val="24"/>
                <w:szCs w:val="24"/>
                <w:highlight w:val="none"/>
                <w:lang w:val="en-US" w:eastAsia="zh-CN"/>
              </w:rPr>
            </w:pPr>
            <w:r>
              <w:rPr>
                <w:rFonts w:hint="eastAsia" w:ascii="Times New Roman" w:hAnsi="Times New Roman" w:eastAsia="宋体" w:cs="Times New Roman"/>
                <w:sz w:val="24"/>
                <w:szCs w:val="24"/>
                <w14:ligatures w14:val="none"/>
              </w:rPr>
              <w:t>要求提供相应的业务库地址、标准、面积等的证明材料，无证明材料不得分。</w:t>
            </w:r>
          </w:p>
        </w:tc>
        <w:tc>
          <w:tcPr>
            <w:tcW w:w="914" w:type="dxa"/>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810" w:type="dxa"/>
            <w:vAlign w:val="center"/>
          </w:tcPr>
          <w:p>
            <w:pPr>
              <w:spacing w:line="300" w:lineRule="exact"/>
              <w:jc w:val="center"/>
              <w:rPr>
                <w:rFonts w:hint="eastAsia" w:ascii="宋体" w:hAnsi="宋体" w:eastAsia="宋体" w:cs="宋体"/>
                <w:bCs/>
                <w:sz w:val="24"/>
                <w:szCs w:val="24"/>
                <w14:ligatures w14:val="none"/>
              </w:rPr>
            </w:pPr>
            <w:r>
              <w:rPr>
                <w:rFonts w:hint="eastAsia" w:ascii="宋体" w:hAnsi="宋体" w:eastAsia="宋体" w:cs="Times New Roman"/>
                <w:sz w:val="24"/>
                <w:szCs w:val="24"/>
                <w14:ligatures w14:val="none"/>
              </w:rPr>
              <w:t>投标</w:t>
            </w:r>
            <w:r>
              <w:rPr>
                <w:rFonts w:hint="eastAsia" w:ascii="宋体" w:hAnsi="宋体" w:eastAsia="宋体" w:cs="Times New Roman"/>
                <w:bCs/>
                <w:sz w:val="24"/>
                <w:szCs w:val="24"/>
                <w14:ligatures w14:val="none"/>
              </w:rPr>
              <w:t>文件制件</w:t>
            </w:r>
          </w:p>
        </w:tc>
        <w:tc>
          <w:tcPr>
            <w:tcW w:w="7412" w:type="dxa"/>
            <w:vAlign w:val="center"/>
          </w:tcPr>
          <w:p>
            <w:pPr>
              <w:autoSpaceDE w:val="0"/>
              <w:autoSpaceDN w:val="0"/>
              <w:adjustRightInd w:val="0"/>
              <w:spacing w:line="300" w:lineRule="exact"/>
              <w:rPr>
                <w:rFonts w:hint="eastAsia" w:ascii="Times New Roman" w:hAnsi="Times New Roman" w:eastAsia="宋体" w:cs="Times New Roman"/>
                <w:sz w:val="24"/>
                <w:szCs w:val="24"/>
                <w14:ligatures w14:val="none"/>
              </w:rPr>
            </w:pPr>
            <w:r>
              <w:rPr>
                <w:rFonts w:hint="eastAsia" w:ascii="宋体" w:hAnsi="宋体" w:eastAsia="宋体" w:cs="Times New Roman"/>
                <w:sz w:val="24"/>
                <w:szCs w:val="24"/>
                <w14:ligatures w14:val="none"/>
              </w:rPr>
              <w:t>根据各供应商制作的投标文件比较评分，得</w:t>
            </w:r>
            <w:r>
              <w:rPr>
                <w:rFonts w:ascii="宋体" w:hAnsi="宋体" w:eastAsia="宋体" w:cs="Times New Roman"/>
                <w:sz w:val="24"/>
                <w:szCs w:val="24"/>
                <w14:ligatures w14:val="none"/>
              </w:rPr>
              <w:t>1</w:t>
            </w:r>
            <w:r>
              <w:rPr>
                <w:rFonts w:hint="eastAsia" w:ascii="宋体" w:hAnsi="宋体" w:eastAsia="宋体" w:cs="Times New Roman"/>
                <w:sz w:val="24"/>
                <w:szCs w:val="24"/>
                <w14:ligatures w14:val="none"/>
              </w:rPr>
              <w:t>-</w:t>
            </w:r>
            <w:r>
              <w:rPr>
                <w:rFonts w:ascii="宋体" w:hAnsi="宋体" w:eastAsia="宋体" w:cs="Times New Roman"/>
                <w:sz w:val="24"/>
                <w:szCs w:val="24"/>
                <w14:ligatures w14:val="none"/>
              </w:rPr>
              <w:t>2</w:t>
            </w:r>
            <w:r>
              <w:rPr>
                <w:rFonts w:hint="eastAsia" w:ascii="宋体" w:hAnsi="宋体" w:eastAsia="宋体" w:cs="Times New Roman"/>
                <w:sz w:val="24"/>
                <w:szCs w:val="24"/>
                <w14:ligatures w14:val="none"/>
              </w:rPr>
              <w:t>分。</w:t>
            </w:r>
          </w:p>
        </w:tc>
        <w:tc>
          <w:tcPr>
            <w:tcW w:w="914" w:type="dxa"/>
            <w:vAlign w:val="center"/>
          </w:tcPr>
          <w:p>
            <w:pPr>
              <w:spacing w:line="24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34" w:type="dxa"/>
            <w:vAlign w:val="center"/>
          </w:tcPr>
          <w:p>
            <w:pPr>
              <w:spacing w:line="240" w:lineRule="auto"/>
              <w:jc w:val="center"/>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1810" w:type="dxa"/>
            <w:vAlign w:val="center"/>
          </w:tcPr>
          <w:p>
            <w:pPr>
              <w:widowControl/>
              <w:shd w:val="clear" w:color="auto" w:fill="FFFFFF"/>
              <w:adjustRightInd/>
              <w:spacing w:after="225"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tc>
        <w:tc>
          <w:tcPr>
            <w:tcW w:w="7412" w:type="dxa"/>
            <w:vAlign w:val="top"/>
          </w:tcPr>
          <w:p>
            <w:pPr>
              <w:autoSpaceDE w:val="0"/>
              <w:autoSpaceDN w:val="0"/>
              <w:adjustRightInd w:val="0"/>
              <w:spacing w:line="30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价格分统一采用低价优先法计算，即满足招标文件要求且最终固定包年费用报价最低的为评审基准价，其价格分为满分60分。其他供应商的价格分统一按照下列公式计算：</w:t>
            </w:r>
          </w:p>
          <w:p>
            <w:pPr>
              <w:autoSpaceDE w:val="0"/>
              <w:autoSpaceDN w:val="0"/>
              <w:adjustRightInd w:val="0"/>
              <w:spacing w:line="300" w:lineRule="exact"/>
              <w:rPr>
                <w:rFonts w:hint="eastAsia" w:ascii="宋体" w:hAnsi="宋体" w:eastAsia="宋体" w:cs="宋体"/>
                <w:sz w:val="24"/>
                <w:szCs w:val="24"/>
                <w:lang w:val="en-US" w:eastAsia="zh-CN"/>
                <w14:ligatures w14:val="none"/>
              </w:rPr>
            </w:pPr>
            <w:r>
              <w:rPr>
                <w:rFonts w:hint="eastAsia" w:ascii="宋体" w:hAnsi="宋体" w:eastAsia="宋体" w:cs="宋体"/>
                <w:sz w:val="24"/>
                <w:szCs w:val="24"/>
                <w14:ligatures w14:val="none"/>
              </w:rPr>
              <w:t>价格分=60+（评审基准价/固定包年费用报价-1）×200（保留两位小数）</w:t>
            </w:r>
          </w:p>
        </w:tc>
        <w:tc>
          <w:tcPr>
            <w:tcW w:w="914" w:type="dxa"/>
            <w:vAlign w:val="center"/>
          </w:tcPr>
          <w:p>
            <w:pPr>
              <w:autoSpaceDE w:val="0"/>
              <w:autoSpaceDN w:val="0"/>
              <w:adjustRightInd w:val="0"/>
              <w:spacing w:line="300" w:lineRule="exact"/>
              <w:jc w:val="center"/>
              <w:rPr>
                <w:rFonts w:hint="eastAsia" w:ascii="宋体" w:hAnsi="宋体" w:eastAsia="宋体" w:cs="宋体"/>
                <w:sz w:val="24"/>
                <w:szCs w:val="24"/>
                <w:lang w:val="en-US" w:eastAsia="zh-CN"/>
                <w14:ligatures w14:val="none"/>
              </w:rPr>
            </w:pPr>
            <w:r>
              <w:rPr>
                <w:rFonts w:hint="eastAsia" w:ascii="宋体" w:hAnsi="宋体" w:eastAsia="宋体" w:cs="宋体"/>
                <w:sz w:val="24"/>
                <w:szCs w:val="24"/>
                <w:lang w:val="en-US" w:eastAsia="zh-CN"/>
                <w14:ligatures w14:val="none"/>
              </w:rPr>
              <w:t>60分</w:t>
            </w:r>
          </w:p>
        </w:tc>
      </w:tr>
      <w:bookmarkEnd w:id="403"/>
      <w:bookmarkEnd w:id="404"/>
    </w:tbl>
    <w:p>
      <w:pPr>
        <w:snapToGrid w:val="0"/>
        <w:spacing w:line="360" w:lineRule="auto"/>
        <w:rPr>
          <w:rFonts w:hint="eastAsia" w:ascii="宋体" w:hAnsi="宋体" w:eastAsia="宋体" w:cs="宋体"/>
          <w:sz w:val="20"/>
          <w:szCs w:val="20"/>
          <w:highlight w:val="none"/>
          <w:shd w:val="clear" w:color="auto" w:fill="FFFFFF"/>
        </w:rPr>
      </w:pPr>
    </w:p>
    <w:p>
      <w:pPr>
        <w:snapToGrid w:val="0"/>
        <w:spacing w:line="360" w:lineRule="auto"/>
        <w:rPr>
          <w:rFonts w:hint="eastAsia" w:ascii="宋体" w:hAnsi="宋体" w:eastAsia="宋体" w:cs="宋体"/>
          <w:sz w:val="24"/>
          <w:highlight w:val="none"/>
        </w:rPr>
      </w:pPr>
      <w:r>
        <w:rPr>
          <w:rFonts w:hint="eastAsia" w:ascii="宋体" w:hAnsi="宋体" w:eastAsia="宋体" w:cs="宋体"/>
          <w:sz w:val="20"/>
          <w:szCs w:val="20"/>
          <w:highlight w:val="none"/>
          <w:shd w:val="clear" w:color="auto" w:fill="FFFFFF"/>
        </w:rPr>
        <w:t> *</w:t>
      </w:r>
      <w:r>
        <w:rPr>
          <w:rFonts w:hint="eastAsia" w:ascii="宋体" w:hAnsi="宋体" w:eastAsia="宋体" w:cs="宋体"/>
          <w:b/>
          <w:sz w:val="24"/>
          <w:highlight w:val="none"/>
        </w:rPr>
        <w:t>备注：</w:t>
      </w:r>
      <w:r>
        <w:rPr>
          <w:rFonts w:hint="eastAsia" w:ascii="宋体" w:hAnsi="宋体" w:eastAsia="宋体" w:cs="宋体"/>
          <w:sz w:val="24"/>
          <w:highlight w:val="none"/>
        </w:rPr>
        <w:t>供应商编制磋商响应文件（商务技术文件部分）时，建议按此目录（序号和内容）提供评标标准相应的商务技术资料。 </w:t>
      </w:r>
    </w:p>
    <w:p>
      <w:pPr>
        <w:snapToGrid w:val="0"/>
        <w:spacing w:line="360" w:lineRule="auto"/>
        <w:rPr>
          <w:rFonts w:hint="eastAsia" w:ascii="宋体" w:hAnsi="宋体" w:eastAsia="宋体" w:cs="宋体"/>
          <w:b/>
          <w:sz w:val="28"/>
          <w:szCs w:val="28"/>
          <w:highlight w:val="none"/>
        </w:rPr>
      </w:pPr>
      <w:r>
        <w:rPr>
          <w:rFonts w:hint="eastAsia" w:ascii="宋体" w:hAnsi="宋体" w:eastAsia="宋体" w:cs="宋体"/>
          <w:b/>
          <w:sz w:val="32"/>
          <w:highlight w:val="none"/>
        </w:rPr>
        <w:t>一、评标方法</w:t>
      </w:r>
    </w:p>
    <w:p>
      <w:pPr>
        <w:adjustRightInd/>
        <w:spacing w:line="360" w:lineRule="auto"/>
        <w:ind w:firstLine="472" w:firstLineChars="196"/>
        <w:rPr>
          <w:rFonts w:hint="eastAsia" w:ascii="宋体" w:hAnsi="宋体" w:eastAsia="宋体" w:cs="宋体"/>
          <w:kern w:val="0"/>
          <w:sz w:val="24"/>
          <w:highlight w:val="none"/>
        </w:rPr>
      </w:pPr>
      <w:r>
        <w:rPr>
          <w:rFonts w:hint="eastAsia" w:ascii="宋体" w:hAnsi="宋体" w:eastAsia="宋体" w:cs="宋体"/>
          <w:b/>
          <w:kern w:val="0"/>
          <w:sz w:val="24"/>
          <w:highlight w:val="none"/>
        </w:rPr>
        <w:t>1.本项目采用综合评分法。</w:t>
      </w:r>
      <w:r>
        <w:rPr>
          <w:rFonts w:hint="eastAsia" w:ascii="宋体" w:hAnsi="宋体" w:eastAsia="宋体" w:cs="宋体"/>
          <w:kern w:val="0"/>
          <w:sz w:val="24"/>
          <w:highlight w:val="none"/>
        </w:rPr>
        <w:t>综合评分法，是指磋商响应文件满足竞争性磋商文件全部实质性要求，且按照评审因素的量化指标评审得分最高的供应商为中标候选人的评标方法。</w:t>
      </w:r>
    </w:p>
    <w:p>
      <w:pPr>
        <w:adjustRightInd/>
        <w:spacing w:line="360" w:lineRule="auto"/>
        <w:rPr>
          <w:rFonts w:hint="eastAsia" w:ascii="宋体" w:hAnsi="宋体" w:eastAsia="宋体" w:cs="宋体"/>
          <w:kern w:val="0"/>
          <w:sz w:val="24"/>
          <w:highlight w:val="none"/>
        </w:rPr>
      </w:pPr>
      <w:r>
        <w:rPr>
          <w:rFonts w:hint="eastAsia" w:ascii="宋体" w:hAnsi="宋体" w:eastAsia="宋体" w:cs="宋体"/>
          <w:b/>
          <w:sz w:val="32"/>
          <w:highlight w:val="none"/>
        </w:rPr>
        <w:t>二、评标标准</w:t>
      </w:r>
    </w:p>
    <w:p>
      <w:pPr>
        <w:spacing w:line="360" w:lineRule="auto"/>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eastAsia="宋体" w:cs="宋体"/>
          <w:highlight w:val="none"/>
        </w:rPr>
        <w:t xml:space="preserve"> </w:t>
      </w:r>
      <w:r>
        <w:rPr>
          <w:rFonts w:hint="eastAsia" w:ascii="宋体" w:hAnsi="宋体" w:eastAsia="宋体" w:cs="宋体"/>
          <w:b/>
          <w:sz w:val="24"/>
          <w:highlight w:val="none"/>
        </w:rPr>
        <w:t>评标标准：</w:t>
      </w:r>
      <w:r>
        <w:rPr>
          <w:rFonts w:hint="eastAsia" w:ascii="宋体" w:hAnsi="宋体" w:eastAsia="宋体" w:cs="宋体"/>
          <w:kern w:val="0"/>
          <w:sz w:val="24"/>
          <w:highlight w:val="none"/>
        </w:rPr>
        <w:t>见评标办法前附表。</w:t>
      </w:r>
    </w:p>
    <w:p>
      <w:pPr>
        <w:spacing w:line="360" w:lineRule="auto"/>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三、磋商程序</w:t>
      </w:r>
    </w:p>
    <w:p>
      <w:pPr>
        <w:spacing w:line="360" w:lineRule="auto"/>
        <w:ind w:firstLine="472" w:firstLineChars="196"/>
        <w:rPr>
          <w:rFonts w:hint="eastAsia" w:ascii="宋体" w:hAnsi="宋体" w:eastAsia="宋体" w:cs="宋体"/>
          <w:kern w:val="0"/>
          <w:sz w:val="24"/>
          <w:highlight w:val="none"/>
        </w:rPr>
      </w:pPr>
      <w:r>
        <w:rPr>
          <w:rFonts w:hint="eastAsia" w:ascii="宋体" w:hAnsi="宋体" w:eastAsia="宋体" w:cs="宋体"/>
          <w:b/>
          <w:kern w:val="0"/>
          <w:sz w:val="24"/>
          <w:highlight w:val="none"/>
        </w:rPr>
        <w:t>3.1符合性审查。</w:t>
      </w:r>
      <w:r>
        <w:rPr>
          <w:rFonts w:hint="eastAsia" w:ascii="宋体" w:hAnsi="宋体" w:eastAsia="宋体" w:cs="宋体"/>
          <w:kern w:val="0"/>
          <w:sz w:val="24"/>
          <w:highlight w:val="none"/>
        </w:rPr>
        <w:t>磋商小组应当对符合资格的供应商的磋商响应文件进行符合性审查，以确定其是否满足竞争性磋商文件的实质性要求。不满足竞争性磋商文件的实质性要求的，投标无效。</w:t>
      </w:r>
    </w:p>
    <w:p>
      <w:pPr>
        <w:spacing w:line="360" w:lineRule="auto"/>
        <w:ind w:firstLine="472" w:firstLineChars="196"/>
        <w:rPr>
          <w:rFonts w:hint="eastAsia" w:ascii="宋体" w:hAnsi="宋体" w:eastAsia="宋体" w:cs="宋体"/>
          <w:b/>
          <w:kern w:val="0"/>
          <w:sz w:val="24"/>
          <w:highlight w:val="none"/>
        </w:rPr>
      </w:pPr>
      <w:r>
        <w:rPr>
          <w:rFonts w:hint="eastAsia" w:ascii="宋体" w:hAnsi="宋体" w:eastAsia="宋体" w:cs="宋体"/>
          <w:b/>
          <w:kern w:val="0"/>
          <w:sz w:val="24"/>
          <w:highlight w:val="none"/>
        </w:rPr>
        <w:t>3.2 与各磋商响应方进行磋商。</w:t>
      </w:r>
    </w:p>
    <w:p>
      <w:pPr>
        <w:tabs>
          <w:tab w:val="left" w:pos="0"/>
        </w:tabs>
        <w:spacing w:line="360" w:lineRule="auto"/>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3.2.1磋商小组与符合要求的供应商进行磋商。磋商小组所有成员按照响应文件次序集中与单一供应商分别进行磋商，并给予所有参加磋商的供应商平等的磋商机会。磋商过程中，磋商小组可以根据磋商情况调整轮次。</w:t>
      </w:r>
    </w:p>
    <w:p>
      <w:pPr>
        <w:tabs>
          <w:tab w:val="left" w:pos="0"/>
        </w:tabs>
        <w:spacing w:line="360" w:lineRule="auto"/>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3.2.2经磋商确定采购文件的变动情况。对采购文件作出的实质性变动是采购文件的有效组成部分，磋商小组应当及时以书面形式同时通知所有参加磋商的供应商。</w:t>
      </w:r>
    </w:p>
    <w:p>
      <w:pPr>
        <w:spacing w:line="360" w:lineRule="auto"/>
        <w:ind w:firstLine="470" w:firstLineChars="196"/>
        <w:rPr>
          <w:rFonts w:hint="eastAsia" w:ascii="宋体" w:hAnsi="宋体" w:eastAsia="宋体" w:cs="宋体"/>
          <w:kern w:val="0"/>
          <w:sz w:val="24"/>
          <w:highlight w:val="none"/>
        </w:rPr>
      </w:pPr>
      <w:r>
        <w:rPr>
          <w:rFonts w:hint="eastAsia" w:ascii="宋体" w:hAnsi="宋体" w:eastAsia="宋体" w:cs="宋体"/>
          <w:kern w:val="0"/>
          <w:sz w:val="24"/>
          <w:highlight w:val="none"/>
        </w:rPr>
        <w:t>3.2.3磋商小组应当按照采购文件中规定的评标方法和标准，对符合性审查合格的投标文件进行商务和技术评估，综合比较与评价。磋商小组各成员应当独立对每个磋商响应方的商务和技术文件进行评价，并汇总商务技术得分情况。</w:t>
      </w:r>
    </w:p>
    <w:p>
      <w:pPr>
        <w:snapToGrid w:val="0"/>
        <w:spacing w:line="360" w:lineRule="auto"/>
        <w:ind w:firstLine="470" w:firstLineChars="196"/>
        <w:rPr>
          <w:rFonts w:hint="eastAsia" w:ascii="宋体" w:hAnsi="宋体" w:eastAsia="宋体" w:cs="宋体"/>
          <w:kern w:val="0"/>
          <w:sz w:val="24"/>
          <w:highlight w:val="none"/>
        </w:rPr>
      </w:pPr>
      <w:r>
        <w:rPr>
          <w:rFonts w:hint="eastAsia" w:ascii="宋体" w:hAnsi="宋体" w:eastAsia="宋体" w:cs="宋体"/>
          <w:kern w:val="0"/>
          <w:sz w:val="24"/>
          <w:highlight w:val="none"/>
        </w:rPr>
        <w:t>3.2.4各磋商响应方在本标项全部磋商结束后在规定时间内进行最后报价（供应商需在30分钟内提交最终报价）。</w:t>
      </w:r>
    </w:p>
    <w:p>
      <w:pPr>
        <w:spacing w:line="360" w:lineRule="auto"/>
        <w:ind w:firstLine="472" w:firstLineChars="196"/>
        <w:rPr>
          <w:rFonts w:hint="eastAsia" w:ascii="宋体" w:hAnsi="宋体" w:eastAsia="宋体" w:cs="宋体"/>
          <w:kern w:val="0"/>
          <w:sz w:val="24"/>
          <w:highlight w:val="none"/>
        </w:rPr>
      </w:pPr>
      <w:r>
        <w:rPr>
          <w:rFonts w:hint="eastAsia" w:ascii="宋体" w:hAnsi="宋体" w:eastAsia="宋体" w:cs="宋体"/>
          <w:b/>
          <w:kern w:val="0"/>
          <w:sz w:val="24"/>
          <w:highlight w:val="none"/>
        </w:rPr>
        <w:t>3.3汇总商务技术得分。</w:t>
      </w:r>
      <w:r>
        <w:rPr>
          <w:rFonts w:hint="eastAsia" w:ascii="宋体" w:hAnsi="宋体" w:eastAsia="宋体" w:cs="宋体"/>
          <w:kern w:val="0"/>
          <w:sz w:val="24"/>
          <w:highlight w:val="none"/>
        </w:rPr>
        <w:t>磋商小组各成员应当独立对每个供应商的商务和技术文件进行评价，并汇总商务技术得分情况。</w:t>
      </w:r>
    </w:p>
    <w:p>
      <w:pPr>
        <w:spacing w:line="360" w:lineRule="auto"/>
        <w:ind w:firstLine="472" w:firstLineChars="196"/>
        <w:rPr>
          <w:rFonts w:hint="eastAsia" w:ascii="宋体" w:hAnsi="宋体" w:eastAsia="宋体" w:cs="宋体"/>
          <w:b/>
          <w:kern w:val="0"/>
          <w:sz w:val="24"/>
          <w:highlight w:val="none"/>
        </w:rPr>
      </w:pPr>
      <w:r>
        <w:rPr>
          <w:rFonts w:hint="eastAsia" w:ascii="宋体" w:hAnsi="宋体" w:eastAsia="宋体" w:cs="宋体"/>
          <w:b/>
          <w:kern w:val="0"/>
          <w:sz w:val="24"/>
          <w:highlight w:val="none"/>
        </w:rPr>
        <w:t>3.4报价评审。</w:t>
      </w:r>
    </w:p>
    <w:p>
      <w:pPr>
        <w:pStyle w:val="39"/>
        <w:spacing w:before="0"/>
        <w:ind w:firstLine="508" w:firstLineChars="212"/>
        <w:rPr>
          <w:rFonts w:hint="eastAsia" w:ascii="宋体" w:hAnsi="宋体" w:eastAsia="宋体" w:cs="宋体"/>
          <w:kern w:val="0"/>
          <w:highlight w:val="none"/>
        </w:rPr>
      </w:pPr>
      <w:r>
        <w:rPr>
          <w:rFonts w:hint="eastAsia" w:ascii="宋体" w:hAnsi="宋体" w:eastAsia="宋体" w:cs="宋体"/>
          <w:kern w:val="0"/>
          <w:highlight w:val="none"/>
        </w:rPr>
        <w:t>3.4.1磋商响应文件报价出现前后不一致的，按照下列规定修正：</w:t>
      </w:r>
    </w:p>
    <w:p>
      <w:pPr>
        <w:pStyle w:val="39"/>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3.4.1.1磋商响应文件中开标一览表(报价表)内容与磋商响应文件中相应内容不一致的，以开标一览表(报价表)为准;</w:t>
      </w:r>
    </w:p>
    <w:p>
      <w:pPr>
        <w:pStyle w:val="39"/>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3.4.1.2大写金额和小写金额不一致的，以大写金额为准;</w:t>
      </w:r>
    </w:p>
    <w:p>
      <w:pPr>
        <w:pStyle w:val="39"/>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3.4.1.3单价金额小数点或者百分比有明显错位的，以开标一览表的总价为准，并修改单价;</w:t>
      </w:r>
    </w:p>
    <w:p>
      <w:pPr>
        <w:pStyle w:val="39"/>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3.4.1.4总价金额与按单价汇总金额不一致的，以单价金额计算结果为准。</w:t>
      </w:r>
    </w:p>
    <w:p>
      <w:pPr>
        <w:pStyle w:val="39"/>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3.4.1.5同时出现两种以上不一致的，按照3.4.1规定的顺序修正。修正后的报价按照财政部第87号令 《政府采购货物和服务招标投标管理办法》第五十一条第二款的规定经供应商确认后产生约束力。</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3.4.2磋商响应文件出现不是唯一的、有选择性投标报价的，投标无效。</w:t>
      </w:r>
    </w:p>
    <w:p>
      <w:pPr>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3.4.3投标报价超过竞争性磋商文件中规定的预算金额或者最高限价的，投标无效。</w:t>
      </w:r>
    </w:p>
    <w:p>
      <w:pPr>
        <w:pStyle w:val="39"/>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3.4.4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投标处理。</w:t>
      </w:r>
    </w:p>
    <w:p>
      <w:pPr>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3.5排序与推荐。</w:t>
      </w:r>
      <w:r>
        <w:rPr>
          <w:rFonts w:hint="eastAsia" w:ascii="宋体" w:hAnsi="宋体" w:eastAsia="宋体" w:cs="宋体"/>
          <w:kern w:val="0"/>
          <w:sz w:val="24"/>
          <w:highlight w:val="none"/>
        </w:rPr>
        <w:t>采用综合评分法的，评标结果按评审后得分由高到低顺序排列。得分相同的，按投标报价由低到高顺序排列。得分且投标报价相同的并列。磋商响应文件满足竞争性磋商文件全部实质性要求，且按照评审因素的量化指标评审得分最高的供应商为排名第一的中标候选人。</w:t>
      </w:r>
    </w:p>
    <w:p>
      <w:pPr>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多家供应商提供相同品牌产品（单一产品采购项目中的该产品或者非单一产品采购项目的核心产品）且通过资格审查、符合性审查的不同供应商参加同一合同项下投标的，按一家供应商计算，评审后得分最高的同品牌供应商获得中标人推荐资格；评审得分相同的，采取随机抽取方式确定，其他同品牌供应商不作为中标候选人。</w:t>
      </w:r>
    </w:p>
    <w:p>
      <w:pPr>
        <w:spacing w:line="360" w:lineRule="auto"/>
        <w:ind w:firstLine="472" w:firstLineChars="196"/>
        <w:rPr>
          <w:rFonts w:hint="eastAsia" w:ascii="宋体" w:hAnsi="宋体" w:eastAsia="宋体" w:cs="宋体"/>
          <w:kern w:val="0"/>
          <w:sz w:val="24"/>
          <w:highlight w:val="none"/>
          <w:lang w:eastAsia="zh-CN"/>
        </w:rPr>
      </w:pPr>
      <w:r>
        <w:rPr>
          <w:rFonts w:hint="eastAsia" w:ascii="宋体" w:hAnsi="宋体" w:eastAsia="宋体" w:cs="宋体"/>
          <w:b/>
          <w:kern w:val="0"/>
          <w:sz w:val="24"/>
          <w:highlight w:val="none"/>
        </w:rPr>
        <w:t>3.6编写评标报告。</w:t>
      </w:r>
      <w:r>
        <w:rPr>
          <w:rFonts w:hint="eastAsia" w:ascii="宋体" w:hAnsi="宋体" w:eastAsia="宋体" w:cs="宋体"/>
          <w:kern w:val="0"/>
          <w:sz w:val="24"/>
          <w:highlight w:val="none"/>
        </w:rPr>
        <w:t>磋商小组根据全体评标成员签字的原始评标记录和评标结果编写评标报告。磋商小组成员对需要共同认定的事项存在争议的，应当按照少数服从多数的原则作出结论。持不同意见的磋商小组成员应当在评标报告上签署不同意见及理由</w:t>
      </w:r>
      <w:r>
        <w:rPr>
          <w:rFonts w:hint="eastAsia" w:ascii="宋体" w:hAnsi="宋体" w:cs="宋体"/>
          <w:kern w:val="0"/>
          <w:sz w:val="24"/>
          <w:highlight w:val="none"/>
          <w:lang w:eastAsia="zh-CN"/>
        </w:rPr>
        <w:t>。</w:t>
      </w:r>
    </w:p>
    <w:p>
      <w:pPr>
        <w:widowControl/>
        <w:adjustRightInd/>
        <w:spacing w:after="225" w:line="315" w:lineRule="atLeast"/>
        <w:jc w:val="left"/>
        <w:rPr>
          <w:rFonts w:hint="eastAsia" w:ascii="宋体" w:hAnsi="宋体" w:eastAsia="宋体" w:cs="宋体"/>
          <w:b/>
          <w:sz w:val="32"/>
          <w:highlight w:val="none"/>
        </w:rPr>
      </w:pPr>
      <w:r>
        <w:rPr>
          <w:rFonts w:hint="eastAsia" w:ascii="宋体" w:hAnsi="宋体" w:eastAsia="宋体" w:cs="宋体"/>
          <w:b/>
          <w:sz w:val="32"/>
          <w:highlight w:val="none"/>
        </w:rPr>
        <w:t>四、评标中的其他事项</w:t>
      </w:r>
    </w:p>
    <w:p>
      <w:pPr>
        <w:pStyle w:val="39"/>
        <w:spacing w:before="0"/>
        <w:ind w:firstLine="472" w:firstLineChars="196"/>
        <w:rPr>
          <w:rFonts w:hint="eastAsia" w:ascii="宋体" w:hAnsi="宋体" w:eastAsia="宋体" w:cs="宋体"/>
          <w:kern w:val="0"/>
          <w:szCs w:val="24"/>
          <w:highlight w:val="none"/>
        </w:rPr>
      </w:pPr>
      <w:r>
        <w:rPr>
          <w:rFonts w:hint="eastAsia" w:ascii="宋体" w:hAnsi="宋体" w:eastAsia="宋体" w:cs="宋体"/>
          <w:b/>
          <w:kern w:val="0"/>
          <w:szCs w:val="24"/>
          <w:highlight w:val="none"/>
        </w:rPr>
        <w:t>4.1供应商澄清、说明或者补正。</w:t>
      </w:r>
      <w:r>
        <w:rPr>
          <w:rFonts w:hint="eastAsia" w:ascii="宋体" w:hAnsi="宋体" w:eastAsia="宋体" w:cs="宋体"/>
          <w:kern w:val="0"/>
          <w:szCs w:val="24"/>
          <w:highlight w:val="none"/>
        </w:rPr>
        <w:t>对于磋商响应文件中含义不明确、同类问题表述不一致或者有明显文字和计算错误的内容需要供应商作出必要的澄清、说明或者补正的，磋商小组和供应商通过手机电话方式与供应商进行沟通，给予供应商提交澄清、说明或补正的时间不得少于半小时，供应商已经明确表示澄清说明或补正完毕的除外。供应商的澄清、说明或者补正不得超出磋商响应文件的范围或者改变磋商响应文件的实质性内容。</w:t>
      </w:r>
    </w:p>
    <w:p>
      <w:pPr>
        <w:pStyle w:val="15"/>
        <w:spacing w:line="360" w:lineRule="auto"/>
        <w:ind w:left="954" w:leftChars="226" w:hanging="479" w:firstLineChars="0"/>
        <w:rPr>
          <w:rFonts w:hint="eastAsia" w:ascii="宋体" w:hAnsi="宋体" w:eastAsia="宋体" w:cs="宋体"/>
          <w:szCs w:val="21"/>
          <w:highlight w:val="none"/>
        </w:rPr>
      </w:pPr>
      <w:r>
        <w:rPr>
          <w:rFonts w:hint="eastAsia" w:ascii="宋体" w:hAnsi="宋体" w:eastAsia="宋体" w:cs="宋体"/>
          <w:b/>
          <w:kern w:val="0"/>
          <w:highlight w:val="none"/>
        </w:rPr>
        <w:t>4.2投标无效。</w:t>
      </w:r>
      <w:r>
        <w:rPr>
          <w:rFonts w:hint="eastAsia" w:ascii="宋体" w:hAnsi="宋体" w:eastAsia="宋体" w:cs="宋体"/>
          <w:szCs w:val="21"/>
          <w:highlight w:val="none"/>
        </w:rPr>
        <w:t>有下列情况之一的，投标无效：</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4.2.1供应商不具备竞争性磋商文件中规定的资格要求的（供应商未提供有效的资格文件的，视为供应商不具备竞争性磋商文件中规定的资格要求）；</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4.2.2磋商响应文件未按照竞争性磋商文件要求签署、盖章的；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4.2.3采购人拟采购的产品属于政府强制采购的节能产品品目清单范围的，供应商未按竞争性磋商文件要求提供国家确定的认证机构出具的、处于有效期之内的节能产品认证证书的；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4.2.4磋商响应文件含有采购人不能接受的附加条件的；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4.2.5磋商响应文件中承诺的投标有效期少于竞争性磋商文件中载明的投标有效期的；</w:t>
      </w:r>
    </w:p>
    <w:p>
      <w:pPr>
        <w:snapToGrid w:val="0"/>
        <w:spacing w:line="360" w:lineRule="auto"/>
        <w:ind w:firstLine="120" w:firstLineChars="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4.2.6磋商响应文件出现不是唯一的、有选择性投标报价的;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4.2.7投标报价超过竞争性磋商文件中规定的预算金额或者最高限价的;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4.2.8报价明显低于其他通过符合性审查供应商的报价，有可能影响产品质量或者不能诚信履约的，未能按要求提供书面说明或者提交相关证明材料，不能证明其报价合理性的;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4.2.9供应商对根据修正原则修正后的报价不确认的；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4.2.10供应商提供虚假材料投标的；</w:t>
      </w:r>
    </w:p>
    <w:p>
      <w:pPr>
        <w:spacing w:line="360" w:lineRule="auto"/>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4.2.11供应商有恶意串通、妨碍其他供应商的竞争行为、损害采购人或者其他供应商的合法权益情形的；</w:t>
      </w:r>
    </w:p>
    <w:p>
      <w:pPr>
        <w:pStyle w:val="2"/>
        <w:numPr>
          <w:ilvl w:val="1"/>
          <w:numId w:val="0"/>
        </w:numPr>
        <w:tabs>
          <w:tab w:val="left" w:pos="432"/>
        </w:tabs>
        <w:ind w:left="430" w:leftChars="205"/>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4.2.12 磋商响应文件不满足竞争性磋商文件的其它实质性要求的；</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4.2.13法律、法规、规章（适用本市的）及省级以上规范性文件（适用本市的）规定的其他无效情形。</w:t>
      </w:r>
    </w:p>
    <w:p>
      <w:pPr>
        <w:pStyle w:val="15"/>
        <w:snapToGrid w:val="0"/>
        <w:spacing w:line="360" w:lineRule="auto"/>
        <w:ind w:firstLine="472" w:firstLineChars="196"/>
        <w:rPr>
          <w:rFonts w:hint="eastAsia" w:ascii="宋体" w:hAnsi="宋体" w:eastAsia="宋体" w:cs="宋体"/>
          <w:highlight w:val="none"/>
        </w:rPr>
      </w:pPr>
      <w:r>
        <w:rPr>
          <w:rFonts w:hint="eastAsia" w:ascii="宋体" w:hAnsi="宋体" w:eastAsia="宋体" w:cs="宋体"/>
          <w:b/>
          <w:highlight w:val="none"/>
        </w:rPr>
        <w:t>5.废标。</w:t>
      </w:r>
      <w:r>
        <w:rPr>
          <w:rFonts w:hint="eastAsia" w:ascii="宋体" w:hAnsi="宋体" w:eastAsia="宋体" w:cs="宋体"/>
          <w:highlight w:val="none"/>
        </w:rPr>
        <w:t>根据《中华人民共和国政府采购法》第三十六条之规定，在采购中，出现下列情形之一的，应予废标：</w:t>
      </w:r>
    </w:p>
    <w:p>
      <w:pPr>
        <w:pStyle w:val="15"/>
        <w:snapToGrid w:val="0"/>
        <w:spacing w:line="360" w:lineRule="auto"/>
        <w:rPr>
          <w:rFonts w:hint="eastAsia" w:ascii="宋体" w:hAnsi="宋体" w:eastAsia="宋体" w:cs="宋体"/>
          <w:highlight w:val="none"/>
        </w:rPr>
      </w:pPr>
      <w:r>
        <w:rPr>
          <w:rFonts w:hint="eastAsia" w:ascii="宋体" w:hAnsi="宋体" w:eastAsia="宋体" w:cs="宋体"/>
          <w:highlight w:val="none"/>
        </w:rPr>
        <w:t>5.</w:t>
      </w:r>
      <w:r>
        <w:rPr>
          <w:rFonts w:hint="eastAsia" w:cs="宋体"/>
          <w:highlight w:val="none"/>
          <w:lang w:val="en-US" w:eastAsia="zh-CN"/>
        </w:rPr>
        <w:t>1</w:t>
      </w:r>
      <w:r>
        <w:rPr>
          <w:rFonts w:hint="eastAsia" w:ascii="宋体" w:hAnsi="宋体" w:eastAsia="宋体" w:cs="宋体"/>
          <w:highlight w:val="none"/>
        </w:rPr>
        <w:t>出现影响采购公正的违法、违规行为的；</w:t>
      </w:r>
    </w:p>
    <w:p>
      <w:pPr>
        <w:pStyle w:val="15"/>
        <w:snapToGrid w:val="0"/>
        <w:spacing w:line="360" w:lineRule="auto"/>
        <w:rPr>
          <w:rFonts w:hint="eastAsia" w:ascii="宋体" w:hAnsi="宋体" w:eastAsia="宋体" w:cs="宋体"/>
          <w:highlight w:val="none"/>
        </w:rPr>
      </w:pPr>
      <w:r>
        <w:rPr>
          <w:rFonts w:hint="eastAsia" w:ascii="宋体" w:hAnsi="宋体" w:eastAsia="宋体" w:cs="宋体"/>
          <w:highlight w:val="none"/>
        </w:rPr>
        <w:t>5.</w:t>
      </w:r>
      <w:r>
        <w:rPr>
          <w:rFonts w:hint="eastAsia" w:cs="宋体"/>
          <w:highlight w:val="none"/>
          <w:lang w:val="en-US" w:eastAsia="zh-CN"/>
        </w:rPr>
        <w:t>2</w:t>
      </w:r>
      <w:r>
        <w:rPr>
          <w:rFonts w:hint="eastAsia" w:ascii="宋体" w:hAnsi="宋体" w:eastAsia="宋体" w:cs="宋体"/>
          <w:highlight w:val="none"/>
        </w:rPr>
        <w:t>供应商的报价均超过了采购预算，采购人不能支付的；</w:t>
      </w:r>
    </w:p>
    <w:p>
      <w:pPr>
        <w:pStyle w:val="15"/>
        <w:snapToGrid w:val="0"/>
        <w:spacing w:line="360" w:lineRule="auto"/>
        <w:rPr>
          <w:rFonts w:hint="eastAsia" w:ascii="宋体" w:hAnsi="宋体" w:eastAsia="宋体" w:cs="宋体"/>
          <w:highlight w:val="none"/>
        </w:rPr>
      </w:pPr>
      <w:r>
        <w:rPr>
          <w:rFonts w:hint="eastAsia" w:ascii="宋体" w:hAnsi="宋体" w:eastAsia="宋体" w:cs="宋体"/>
          <w:highlight w:val="none"/>
        </w:rPr>
        <w:t>5.</w:t>
      </w:r>
      <w:r>
        <w:rPr>
          <w:rFonts w:hint="eastAsia" w:cs="宋体"/>
          <w:highlight w:val="none"/>
          <w:lang w:val="en-US" w:eastAsia="zh-CN"/>
        </w:rPr>
        <w:t>3</w:t>
      </w:r>
      <w:r>
        <w:rPr>
          <w:rFonts w:hint="eastAsia" w:ascii="宋体" w:hAnsi="宋体" w:eastAsia="宋体" w:cs="宋体"/>
          <w:highlight w:val="none"/>
        </w:rPr>
        <w:t>因重大变故，采购任务取消的。</w:t>
      </w:r>
    </w:p>
    <w:p>
      <w:pPr>
        <w:pStyle w:val="15"/>
        <w:snapToGrid w:val="0"/>
        <w:spacing w:line="360" w:lineRule="auto"/>
        <w:rPr>
          <w:rFonts w:hint="eastAsia" w:ascii="宋体" w:hAnsi="宋体" w:eastAsia="宋体" w:cs="宋体"/>
          <w:highlight w:val="none"/>
        </w:rPr>
      </w:pPr>
      <w:r>
        <w:rPr>
          <w:rFonts w:hint="eastAsia" w:ascii="宋体" w:hAnsi="宋体" w:eastAsia="宋体" w:cs="宋体"/>
          <w:highlight w:val="none"/>
        </w:rPr>
        <w:t>废标后，采购机构应当将废标理由通知所有供应商。</w:t>
      </w:r>
    </w:p>
    <w:p>
      <w:pPr>
        <w:pStyle w:val="15"/>
        <w:snapToGrid w:val="0"/>
        <w:spacing w:line="360" w:lineRule="auto"/>
        <w:ind w:firstLine="590" w:firstLineChars="245"/>
        <w:rPr>
          <w:rFonts w:hint="eastAsia" w:ascii="宋体" w:hAnsi="宋体" w:eastAsia="宋体" w:cs="宋体"/>
          <w:highlight w:val="none"/>
        </w:rPr>
      </w:pPr>
      <w:r>
        <w:rPr>
          <w:rFonts w:hint="eastAsia" w:ascii="宋体" w:hAnsi="宋体" w:eastAsia="宋体" w:cs="宋体"/>
          <w:b/>
          <w:highlight w:val="none"/>
        </w:rPr>
        <w:t>6.修改竞争性磋商文件，重新组织采购活动。</w:t>
      </w:r>
      <w:r>
        <w:rPr>
          <w:rFonts w:hint="eastAsia" w:ascii="宋体" w:hAnsi="宋体" w:eastAsia="宋体" w:cs="宋体"/>
          <w:highlight w:val="none"/>
        </w:rPr>
        <w:t>磋商小组发现竞争性磋商文件存在歧义、重大缺陷导致评标工作无法进行，或者竞争性磋商文件内容违反国家有关强制性规定的，将停止评标工作，并与采购人、采购机构沟通并作书面记录。采购人、采购机构确认后，将修改竞争性磋商文件，重新组织采购活动。</w:t>
      </w:r>
    </w:p>
    <w:p>
      <w:pPr>
        <w:pStyle w:val="15"/>
        <w:snapToGrid w:val="0"/>
        <w:spacing w:line="360" w:lineRule="auto"/>
        <w:ind w:firstLine="590" w:firstLineChars="245"/>
        <w:rPr>
          <w:rFonts w:hint="eastAsia" w:ascii="宋体" w:hAnsi="宋体" w:eastAsia="宋体" w:cs="宋体"/>
          <w:highlight w:val="none"/>
        </w:rPr>
      </w:pPr>
      <w:r>
        <w:rPr>
          <w:rFonts w:hint="eastAsia" w:ascii="宋体" w:hAnsi="宋体" w:eastAsia="宋体" w:cs="宋体"/>
          <w:b/>
          <w:kern w:val="0"/>
          <w:highlight w:val="none"/>
        </w:rPr>
        <w:t>7.重新开展采购。</w:t>
      </w:r>
      <w:r>
        <w:rPr>
          <w:rFonts w:hint="eastAsia" w:ascii="宋体" w:hAnsi="宋体" w:eastAsia="宋体" w:cs="宋体"/>
          <w:highlight w:val="none"/>
        </w:rPr>
        <w:t>有政府采购法第七十一条、第七十二条规定的违法行为之一，影响或者可能影响中标、成交结果的，依照下列规定处理：</w:t>
      </w:r>
    </w:p>
    <w:p>
      <w:pPr>
        <w:pStyle w:val="15"/>
        <w:snapToGrid w:val="0"/>
        <w:spacing w:line="360" w:lineRule="auto"/>
        <w:ind w:firstLine="600" w:firstLineChars="250"/>
        <w:rPr>
          <w:rFonts w:hint="eastAsia" w:ascii="宋体" w:hAnsi="宋体" w:eastAsia="宋体" w:cs="宋体"/>
          <w:highlight w:val="none"/>
        </w:rPr>
      </w:pPr>
      <w:r>
        <w:rPr>
          <w:rFonts w:hint="eastAsia" w:ascii="宋体" w:hAnsi="宋体" w:eastAsia="宋体" w:cs="宋体"/>
          <w:highlight w:val="none"/>
        </w:rPr>
        <w:t>7.1未确定中标或者中标人的，终止本次采购活动，重新开展采购活动。</w:t>
      </w:r>
    </w:p>
    <w:p>
      <w:pPr>
        <w:pStyle w:val="15"/>
        <w:snapToGrid w:val="0"/>
        <w:spacing w:line="360" w:lineRule="auto"/>
        <w:ind w:firstLine="600" w:firstLineChars="250"/>
        <w:rPr>
          <w:rFonts w:hint="eastAsia" w:ascii="宋体" w:hAnsi="宋体" w:eastAsia="宋体" w:cs="宋体"/>
          <w:highlight w:val="none"/>
        </w:rPr>
      </w:pPr>
      <w:r>
        <w:rPr>
          <w:rFonts w:hint="eastAsia" w:ascii="宋体" w:hAnsi="宋体" w:eastAsia="宋体" w:cs="宋体"/>
          <w:highlight w:val="none"/>
        </w:rPr>
        <w:t>7.2已确定中标或者中标人但尚未签订采购合同的，中标或者成交结果无效，从合格的中标或者成交候选人中另行确定中标或者中标人；没有合格的中标或者成交候选人的，重新开展采购活动。</w:t>
      </w:r>
    </w:p>
    <w:p>
      <w:pPr>
        <w:pStyle w:val="15"/>
        <w:snapToGrid w:val="0"/>
        <w:spacing w:line="360" w:lineRule="auto"/>
        <w:ind w:firstLine="600" w:firstLineChars="250"/>
        <w:rPr>
          <w:rFonts w:hint="eastAsia" w:ascii="宋体" w:hAnsi="宋体" w:eastAsia="宋体" w:cs="宋体"/>
          <w:highlight w:val="none"/>
        </w:rPr>
      </w:pPr>
      <w:r>
        <w:rPr>
          <w:rFonts w:hint="eastAsia" w:ascii="宋体" w:hAnsi="宋体" w:eastAsia="宋体" w:cs="宋体"/>
          <w:highlight w:val="none"/>
        </w:rPr>
        <w:t>7.3采购合同已签订但尚未履行的，撤销合同，从合格的中标或者成交候选人中另行确定中标或者中标人；没有合格的中标或者成交候选人的，重新开展采购活动</w:t>
      </w:r>
    </w:p>
    <w:p>
      <w:pPr>
        <w:pStyle w:val="15"/>
        <w:snapToGrid w:val="0"/>
        <w:spacing w:line="360" w:lineRule="auto"/>
        <w:ind w:firstLine="600" w:firstLineChars="250"/>
        <w:rPr>
          <w:rFonts w:hint="eastAsia" w:ascii="宋体" w:hAnsi="宋体" w:eastAsia="宋体" w:cs="宋体"/>
          <w:highlight w:val="none"/>
          <w:lang w:eastAsia="zh-CN"/>
        </w:rPr>
      </w:pPr>
      <w:r>
        <w:rPr>
          <w:rFonts w:hint="eastAsia" w:ascii="宋体" w:hAnsi="宋体" w:eastAsia="宋体" w:cs="宋体"/>
          <w:highlight w:val="none"/>
        </w:rPr>
        <w:t>7.4采购合同已经履行，给采购人、供应商造成损失的，由责任人承担赔偿责任</w:t>
      </w:r>
      <w:r>
        <w:rPr>
          <w:rFonts w:hint="eastAsia" w:cs="宋体"/>
          <w:highlight w:val="none"/>
          <w:lang w:eastAsia="zh-CN"/>
        </w:rPr>
        <w:t>。</w:t>
      </w:r>
    </w:p>
    <w:p>
      <w:pPr>
        <w:pStyle w:val="15"/>
        <w:snapToGrid w:val="0"/>
        <w:spacing w:line="360" w:lineRule="auto"/>
        <w:ind w:firstLine="600" w:firstLineChars="250"/>
        <w:rPr>
          <w:rFonts w:hint="eastAsia" w:ascii="宋体" w:hAnsi="宋体" w:eastAsia="宋体" w:cs="宋体"/>
          <w:highlight w:val="none"/>
          <w:lang w:eastAsia="zh-CN"/>
        </w:rPr>
      </w:pPr>
      <w:r>
        <w:rPr>
          <w:rFonts w:hint="eastAsia" w:ascii="宋体" w:hAnsi="宋体" w:eastAsia="宋体" w:cs="宋体"/>
          <w:highlight w:val="none"/>
        </w:rPr>
        <w:t>7.5采购当事人有其他违反政府采购法</w:t>
      </w:r>
      <w:r>
        <w:rPr>
          <w:rFonts w:hint="eastAsia" w:ascii="宋体" w:hAnsi="宋体" w:eastAsia="宋体" w:cs="宋体"/>
          <w:kern w:val="0"/>
          <w:highlight w:val="none"/>
        </w:rPr>
        <w:t>或者政府采购法实施条例等法律法规规定</w:t>
      </w:r>
      <w:r>
        <w:rPr>
          <w:rFonts w:hint="eastAsia" w:ascii="宋体" w:hAnsi="宋体" w:eastAsia="宋体" w:cs="宋体"/>
          <w:highlight w:val="none"/>
        </w:rPr>
        <w:t>的行为，经改正后仍然影响或者可能影响中标、成交结果或者依法被认定为中标、成交无效的，依照7.1-7.4规定处理</w:t>
      </w:r>
      <w:bookmarkStart w:id="405" w:name="第五部分"/>
      <w:bookmarkStart w:id="406" w:name="_Toc86217003"/>
      <w:r>
        <w:rPr>
          <w:rFonts w:hint="eastAsia" w:cs="宋体"/>
          <w:highlight w:val="none"/>
          <w:lang w:eastAsia="zh-CN"/>
        </w:rPr>
        <w:t>。</w:t>
      </w: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ascii="宋体" w:hAnsi="宋体" w:eastAsia="宋体" w:cs="宋体"/>
          <w:highlight w:val="none"/>
        </w:rPr>
      </w:pPr>
    </w:p>
    <w:p>
      <w:pPr>
        <w:pStyle w:val="19"/>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spacing w:line="360" w:lineRule="auto"/>
        <w:ind w:left="720" w:leftChars="343" w:firstLine="1807" w:firstLineChars="500"/>
        <w:outlineLvl w:val="0"/>
        <w:rPr>
          <w:rFonts w:hint="eastAsia" w:ascii="宋体" w:hAnsi="宋体" w:eastAsia="宋体" w:cs="宋体"/>
          <w:b/>
          <w:sz w:val="36"/>
          <w:szCs w:val="36"/>
        </w:rPr>
      </w:pPr>
      <w:r>
        <w:rPr>
          <w:rFonts w:hint="eastAsia" w:ascii="宋体" w:hAnsi="宋体" w:eastAsia="宋体" w:cs="宋体"/>
          <w:b/>
          <w:sz w:val="36"/>
          <w:szCs w:val="36"/>
        </w:rPr>
        <w:t xml:space="preserve">第五部分 </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rPr>
        <w:t xml:space="preserve"> 拟签订的合同文本</w:t>
      </w:r>
    </w:p>
    <w:p>
      <w:pPr>
        <w:autoSpaceDE w:val="0"/>
        <w:autoSpaceDN w:val="0"/>
        <w:spacing w:line="432" w:lineRule="auto"/>
        <w:rPr>
          <w:rFonts w:hint="eastAsia" w:ascii="宋体" w:hAnsi="宋体" w:eastAsia="宋体" w:cs="Times New Roman"/>
          <w:sz w:val="32"/>
          <w:szCs w:val="32"/>
          <w14:ligatures w14:val="none"/>
        </w:rPr>
      </w:pPr>
    </w:p>
    <w:p>
      <w:pPr>
        <w:autoSpaceDE w:val="0"/>
        <w:autoSpaceDN w:val="0"/>
        <w:spacing w:line="432" w:lineRule="auto"/>
        <w:rPr>
          <w:rFonts w:hint="eastAsia" w:ascii="宋体" w:hAnsi="宋体" w:eastAsia="宋体" w:cs="Times New Roman"/>
          <w:sz w:val="32"/>
          <w:szCs w:val="32"/>
          <w14:ligatures w14:val="none"/>
        </w:rPr>
      </w:pPr>
    </w:p>
    <w:p>
      <w:pPr>
        <w:autoSpaceDE w:val="0"/>
        <w:autoSpaceDN w:val="0"/>
        <w:spacing w:line="432" w:lineRule="auto"/>
        <w:rPr>
          <w:rFonts w:hint="eastAsia" w:ascii="宋体" w:hAnsi="宋体" w:eastAsia="宋体" w:cs="宋体"/>
          <w:sz w:val="24"/>
        </w:rPr>
      </w:pPr>
      <w:r>
        <w:rPr>
          <w:rFonts w:hint="eastAsia" w:ascii="宋体" w:hAnsi="宋体" w:eastAsia="宋体" w:cs="Times New Roman"/>
          <w:sz w:val="32"/>
          <w:szCs w:val="32"/>
          <w14:ligatures w14:val="none"/>
        </w:rPr>
        <w:t>注：具体以双方签订的正式合同为准，合同内容不得违背本招标文件实质性要求。</w:t>
      </w:r>
    </w:p>
    <w:p/>
    <w:p>
      <w:pPr>
        <w:pStyle w:val="12"/>
        <w:rPr>
          <w:rFonts w:hint="eastAsia" w:ascii="宋体" w:hAnsi="宋体" w:eastAsia="宋体" w:cs="宋体"/>
          <w:highlight w:val="none"/>
        </w:rPr>
      </w:pPr>
    </w:p>
    <w:p>
      <w:pPr>
        <w:pStyle w:val="13"/>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ascii="宋体" w:hAnsi="宋体" w:eastAsia="宋体" w:cs="宋体"/>
          <w:highlight w:val="none"/>
        </w:rPr>
      </w:pPr>
    </w:p>
    <w:p>
      <w:pPr>
        <w:pStyle w:val="19"/>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ascii="宋体" w:hAnsi="宋体" w:eastAsia="宋体" w:cs="宋体"/>
          <w:highlight w:val="none"/>
        </w:rPr>
      </w:pPr>
    </w:p>
    <w:p>
      <w:pPr>
        <w:pStyle w:val="19"/>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ascii="宋体" w:hAnsi="宋体" w:eastAsia="宋体" w:cs="宋体"/>
          <w:highlight w:val="none"/>
        </w:rPr>
      </w:pPr>
    </w:p>
    <w:p>
      <w:pPr>
        <w:pStyle w:val="19"/>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ascii="宋体" w:hAnsi="宋体" w:eastAsia="宋体" w:cs="宋体"/>
          <w:highlight w:val="none"/>
        </w:rPr>
      </w:pPr>
    </w:p>
    <w:p>
      <w:pPr>
        <w:pStyle w:val="19"/>
        <w:rPr>
          <w:rFonts w:hint="eastAsia"/>
        </w:rPr>
      </w:pPr>
    </w:p>
    <w:p>
      <w:pPr>
        <w:pStyle w:val="19"/>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rPr>
      </w:pPr>
    </w:p>
    <w:p>
      <w:pPr>
        <w:rPr>
          <w:rFonts w:hint="eastAsia"/>
        </w:rPr>
      </w:pPr>
    </w:p>
    <w:p>
      <w:pPr>
        <w:rPr>
          <w:rFonts w:hint="eastAsia" w:ascii="宋体" w:hAnsi="宋体" w:eastAsia="宋体" w:cs="宋体"/>
          <w:b/>
          <w:sz w:val="36"/>
          <w:szCs w:val="20"/>
          <w:highlight w:val="none"/>
        </w:rPr>
      </w:pPr>
      <w:r>
        <w:rPr>
          <w:rFonts w:hint="eastAsia" w:ascii="宋体" w:hAnsi="宋体" w:eastAsia="宋体" w:cs="宋体"/>
          <w:b/>
          <w:sz w:val="36"/>
          <w:szCs w:val="20"/>
          <w:highlight w:val="none"/>
        </w:rPr>
        <w:br w:type="page"/>
      </w:r>
    </w:p>
    <w:p>
      <w:pPr>
        <w:spacing w:line="360" w:lineRule="auto"/>
        <w:jc w:val="center"/>
        <w:outlineLvl w:val="0"/>
        <w:rPr>
          <w:rFonts w:hint="eastAsia" w:ascii="宋体" w:hAnsi="宋体" w:eastAsia="宋体" w:cs="宋体"/>
          <w:b/>
          <w:sz w:val="36"/>
          <w:szCs w:val="20"/>
          <w:highlight w:val="none"/>
        </w:rPr>
      </w:pPr>
      <w:r>
        <w:rPr>
          <w:rFonts w:hint="eastAsia" w:ascii="宋体" w:hAnsi="宋体" w:eastAsia="宋体" w:cs="宋体"/>
          <w:b/>
          <w:sz w:val="36"/>
          <w:szCs w:val="20"/>
          <w:highlight w:val="none"/>
        </w:rPr>
        <w:t>第六部分</w:t>
      </w:r>
      <w:bookmarkEnd w:id="405"/>
      <w:r>
        <w:rPr>
          <w:rFonts w:hint="eastAsia" w:ascii="宋体" w:hAnsi="宋体" w:eastAsia="宋体" w:cs="宋体"/>
          <w:b/>
          <w:sz w:val="36"/>
          <w:szCs w:val="20"/>
          <w:highlight w:val="none"/>
        </w:rPr>
        <w:t xml:space="preserve"> </w:t>
      </w:r>
      <w:bookmarkEnd w:id="406"/>
      <w:r>
        <w:rPr>
          <w:rFonts w:hint="eastAsia" w:ascii="宋体" w:hAnsi="宋体" w:eastAsia="宋体" w:cs="宋体"/>
          <w:b/>
          <w:sz w:val="36"/>
          <w:szCs w:val="20"/>
          <w:highlight w:val="none"/>
        </w:rPr>
        <w:t>应提交的有关格式范例</w:t>
      </w:r>
    </w:p>
    <w:p>
      <w:pPr>
        <w:pStyle w:val="51"/>
        <w:tabs>
          <w:tab w:val="center" w:pos="4535"/>
        </w:tabs>
        <w:ind w:left="0"/>
        <w:jc w:val="left"/>
        <w:outlineLvl w:val="1"/>
        <w:rPr>
          <w:rFonts w:hint="eastAsia" w:ascii="宋体" w:hAnsi="宋体" w:eastAsia="宋体" w:cs="宋体"/>
          <w:sz w:val="36"/>
          <w:szCs w:val="36"/>
          <w:highlight w:val="none"/>
        </w:rPr>
      </w:pPr>
    </w:p>
    <w:p>
      <w:pPr>
        <w:pStyle w:val="51"/>
        <w:tabs>
          <w:tab w:val="center" w:pos="4535"/>
        </w:tabs>
        <w:ind w:left="0"/>
        <w:jc w:val="left"/>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t>1、外包装封面格式：</w:t>
      </w:r>
      <w:r>
        <w:rPr>
          <w:rFonts w:hint="eastAsia" w:ascii="宋体" w:hAnsi="宋体" w:eastAsia="宋体" w:cs="宋体"/>
          <w:sz w:val="36"/>
          <w:szCs w:val="36"/>
          <w:highlight w:val="none"/>
        </w:rPr>
        <w:tab/>
      </w:r>
    </w:p>
    <w:p>
      <w:pPr>
        <w:pStyle w:val="51"/>
        <w:tabs>
          <w:tab w:val="center" w:pos="4535"/>
        </w:tabs>
        <w:ind w:left="0"/>
        <w:outlineLvl w:val="1"/>
        <w:rPr>
          <w:rFonts w:hint="eastAsia" w:ascii="宋体" w:hAnsi="宋体" w:eastAsia="宋体" w:cs="宋体"/>
          <w:sz w:val="36"/>
          <w:szCs w:val="36"/>
          <w:highlight w:val="none"/>
        </w:rPr>
      </w:pPr>
    </w:p>
    <w:p>
      <w:pPr>
        <w:snapToGrid w:val="0"/>
        <w:spacing w:line="360" w:lineRule="auto"/>
        <w:ind w:firstLine="800" w:firstLineChars="200"/>
        <w:jc w:val="center"/>
        <w:rPr>
          <w:rFonts w:hint="eastAsia" w:ascii="宋体" w:hAnsi="宋体" w:eastAsia="宋体" w:cs="宋体"/>
          <w:bCs/>
          <w:color w:val="000000"/>
          <w:sz w:val="40"/>
          <w:szCs w:val="40"/>
          <w:highlight w:val="none"/>
        </w:rPr>
      </w:pPr>
      <w:r>
        <w:rPr>
          <w:rFonts w:hint="eastAsia" w:ascii="宋体" w:hAnsi="宋体" w:eastAsia="宋体" w:cs="宋体"/>
          <w:bCs/>
          <w:color w:val="000000"/>
          <w:sz w:val="40"/>
          <w:szCs w:val="40"/>
          <w:highlight w:val="none"/>
        </w:rPr>
        <w:t>×××（投标人名称）</w:t>
      </w:r>
    </w:p>
    <w:p>
      <w:pPr>
        <w:snapToGrid w:val="0"/>
        <w:spacing w:line="360" w:lineRule="auto"/>
        <w:ind w:firstLine="800" w:firstLineChars="200"/>
        <w:jc w:val="center"/>
        <w:rPr>
          <w:rFonts w:hint="eastAsia" w:ascii="宋体" w:hAnsi="宋体" w:eastAsia="宋体" w:cs="宋体"/>
          <w:bCs/>
          <w:color w:val="000000"/>
          <w:sz w:val="40"/>
          <w:szCs w:val="40"/>
          <w:highlight w:val="none"/>
        </w:rPr>
      </w:pPr>
      <w:r>
        <w:rPr>
          <w:rFonts w:hint="eastAsia" w:ascii="宋体" w:hAnsi="宋体" w:eastAsia="宋体" w:cs="宋体"/>
          <w:bCs/>
          <w:color w:val="000000"/>
          <w:sz w:val="40"/>
          <w:szCs w:val="40"/>
          <w:highlight w:val="none"/>
        </w:rPr>
        <w:t>投 标 文 件</w:t>
      </w:r>
    </w:p>
    <w:p>
      <w:pPr>
        <w:pStyle w:val="2"/>
        <w:numPr>
          <w:ilvl w:val="1"/>
          <w:numId w:val="0"/>
        </w:numPr>
        <w:rPr>
          <w:rFonts w:hint="eastAsia" w:ascii="宋体" w:hAnsi="宋体" w:eastAsia="宋体" w:cs="宋体"/>
          <w:highlight w:val="none"/>
        </w:rPr>
      </w:pPr>
    </w:p>
    <w:p>
      <w:pPr>
        <w:rPr>
          <w:rFonts w:hint="eastAsia" w:ascii="宋体" w:hAnsi="宋体" w:eastAsia="宋体" w:cs="宋体"/>
          <w:bCs/>
          <w:color w:val="000000"/>
          <w:sz w:val="24"/>
          <w:highlight w:val="none"/>
        </w:rPr>
      </w:pPr>
    </w:p>
    <w:p>
      <w:pPr>
        <w:pStyle w:val="2"/>
        <w:numPr>
          <w:ilvl w:val="1"/>
          <w:numId w:val="0"/>
        </w:num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ascii="宋体" w:hAnsi="宋体" w:eastAsia="宋体" w:cs="宋体"/>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pStyle w:val="18"/>
        <w:rPr>
          <w:rFonts w:hint="eastAsia"/>
        </w:rPr>
      </w:pPr>
    </w:p>
    <w:p>
      <w:pPr>
        <w:rPr>
          <w:rFonts w:hint="eastAsia" w:ascii="宋体" w:hAnsi="宋体" w:eastAsia="宋体" w:cs="宋体"/>
          <w:highlight w:val="none"/>
        </w:rPr>
      </w:pP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项目名称：</w:t>
      </w:r>
      <w:r>
        <w:rPr>
          <w:rFonts w:hint="eastAsia" w:ascii="宋体" w:hAnsi="宋体" w:cs="宋体"/>
          <w:bCs/>
          <w:color w:val="000000"/>
          <w:sz w:val="24"/>
          <w:highlight w:val="none"/>
          <w:lang w:val="zh-CN" w:eastAsia="zh-CN"/>
        </w:rPr>
        <w:t>桐庐农商银行守押寄库服务采购项目</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lang w:val="zh-CN" w:eastAsia="zh-CN"/>
        </w:rPr>
      </w:pPr>
      <w:r>
        <w:rPr>
          <w:rFonts w:hint="eastAsia" w:ascii="宋体" w:hAnsi="宋体" w:eastAsia="宋体" w:cs="宋体"/>
          <w:bCs/>
          <w:color w:val="000000"/>
          <w:sz w:val="24"/>
          <w:highlight w:val="none"/>
          <w:lang w:val="zh-CN" w:eastAsia="zh-CN"/>
        </w:rPr>
        <w:t>项目编号：</w:t>
      </w:r>
      <w:r>
        <w:rPr>
          <w:rFonts w:hint="eastAsia" w:ascii="宋体" w:hAnsi="宋体" w:cs="宋体"/>
          <w:bCs/>
          <w:color w:val="000000"/>
          <w:sz w:val="24"/>
          <w:highlight w:val="none"/>
          <w:lang w:val="zh-CN" w:eastAsia="zh-CN"/>
        </w:rPr>
        <w:t>CTJSCG-2024-001-1-1</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投标文件名称：（资格文件）（商务技术文件）（报价文件）</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投标人名称（盖章）：</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投标人地址：</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法定代表人</w:t>
      </w:r>
      <w:r>
        <w:rPr>
          <w:rFonts w:hint="eastAsia" w:ascii="宋体" w:hAnsi="宋体" w:cs="宋体"/>
          <w:bCs/>
          <w:color w:val="000000"/>
          <w:sz w:val="24"/>
          <w:highlight w:val="none"/>
          <w:lang w:val="en-US" w:eastAsia="zh-CN"/>
        </w:rPr>
        <w:t>或</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委托代理人）</w:t>
      </w:r>
      <w:r>
        <w:rPr>
          <w:rFonts w:hint="eastAsia" w:ascii="宋体" w:hAnsi="宋体" w:eastAsia="宋体" w:cs="宋体"/>
          <w:bCs/>
          <w:color w:val="000000"/>
          <w:sz w:val="24"/>
          <w:highlight w:val="none"/>
        </w:rPr>
        <w:t>签字或盖章：</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在 202</w:t>
      </w:r>
      <w:r>
        <w:rPr>
          <w:rFonts w:hint="eastAsia" w:ascii="宋体" w:hAnsi="宋体" w:cs="宋体"/>
          <w:bCs/>
          <w:color w:val="000000"/>
          <w:sz w:val="24"/>
          <w:highlight w:val="none"/>
          <w:lang w:val="en-US" w:eastAsia="zh-CN"/>
        </w:rPr>
        <w:t>4</w:t>
      </w:r>
      <w:r>
        <w:rPr>
          <w:rFonts w:hint="eastAsia" w:ascii="宋体" w:hAnsi="宋体" w:eastAsia="宋体" w:cs="宋体"/>
          <w:bCs/>
          <w:color w:val="000000"/>
          <w:sz w:val="24"/>
          <w:highlight w:val="none"/>
        </w:rPr>
        <w:t>年</w:t>
      </w:r>
      <w:r>
        <w:rPr>
          <w:rFonts w:hint="eastAsia" w:ascii="宋体" w:hAnsi="宋体" w:cs="宋体"/>
          <w:bCs/>
          <w:color w:val="000000"/>
          <w:sz w:val="24"/>
          <w:highlight w:val="none"/>
          <w:lang w:val="en-US" w:eastAsia="zh-CN"/>
        </w:rPr>
        <w:t>05</w:t>
      </w:r>
      <w:r>
        <w:rPr>
          <w:rFonts w:hint="eastAsia" w:ascii="宋体" w:hAnsi="宋体" w:eastAsia="宋体" w:cs="宋体"/>
          <w:bCs/>
          <w:color w:val="000000"/>
          <w:sz w:val="24"/>
          <w:highlight w:val="none"/>
        </w:rPr>
        <w:t>月</w:t>
      </w:r>
      <w:r>
        <w:rPr>
          <w:rFonts w:hint="eastAsia" w:ascii="宋体" w:hAnsi="宋体" w:cs="宋体"/>
          <w:bCs/>
          <w:color w:val="000000"/>
          <w:sz w:val="24"/>
          <w:highlight w:val="none"/>
          <w:lang w:val="en-US" w:eastAsia="zh-CN"/>
        </w:rPr>
        <w:t>29</w:t>
      </w:r>
      <w:r>
        <w:rPr>
          <w:rFonts w:hint="eastAsia" w:ascii="宋体" w:hAnsi="宋体" w:eastAsia="宋体" w:cs="宋体"/>
          <w:bCs/>
          <w:color w:val="000000"/>
          <w:sz w:val="24"/>
          <w:highlight w:val="none"/>
        </w:rPr>
        <w:t>日</w:t>
      </w:r>
      <w:r>
        <w:rPr>
          <w:rFonts w:hint="eastAsia" w:ascii="宋体" w:hAnsi="宋体" w:cs="宋体"/>
          <w:bCs/>
          <w:color w:val="000000"/>
          <w:sz w:val="24"/>
          <w:highlight w:val="none"/>
          <w:lang w:val="en-US" w:eastAsia="zh-CN"/>
        </w:rPr>
        <w:t>09</w:t>
      </w:r>
      <w:r>
        <w:rPr>
          <w:rFonts w:hint="eastAsia" w:ascii="宋体" w:hAnsi="宋体" w:eastAsia="宋体" w:cs="宋体"/>
          <w:bCs/>
          <w:color w:val="000000"/>
          <w:sz w:val="24"/>
          <w:highlight w:val="none"/>
        </w:rPr>
        <w:t>时</w:t>
      </w:r>
      <w:r>
        <w:rPr>
          <w:rFonts w:hint="eastAsia" w:ascii="宋体" w:hAnsi="宋体" w:cs="宋体"/>
          <w:bCs/>
          <w:color w:val="000000"/>
          <w:sz w:val="24"/>
          <w:highlight w:val="none"/>
          <w:lang w:val="en-US" w:eastAsia="zh-CN"/>
        </w:rPr>
        <w:t>30</w:t>
      </w:r>
      <w:r>
        <w:rPr>
          <w:rFonts w:hint="eastAsia" w:ascii="宋体" w:hAnsi="宋体" w:eastAsia="宋体" w:cs="宋体"/>
          <w:bCs/>
          <w:color w:val="000000"/>
          <w:sz w:val="24"/>
          <w:highlight w:val="none"/>
        </w:rPr>
        <w:t>分之前不得启封</w:t>
      </w:r>
    </w:p>
    <w:p>
      <w:pPr>
        <w:pStyle w:val="51"/>
        <w:ind w:left="0"/>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2、 投标文件封面格式： </w:t>
      </w:r>
    </w:p>
    <w:p>
      <w:pPr>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napToGrid w:val="0"/>
        <w:spacing w:line="360" w:lineRule="auto"/>
        <w:ind w:firstLine="803" w:firstLineChars="200"/>
        <w:jc w:val="right"/>
        <w:rPr>
          <w:rFonts w:hint="eastAsia"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rPr>
        <w:t>正本/副本</w:t>
      </w:r>
    </w:p>
    <w:p>
      <w:pPr>
        <w:snapToGrid w:val="0"/>
        <w:spacing w:line="360" w:lineRule="auto"/>
        <w:ind w:firstLine="800" w:firstLineChars="200"/>
        <w:jc w:val="center"/>
        <w:rPr>
          <w:rFonts w:hint="eastAsia" w:ascii="宋体" w:hAnsi="宋体" w:eastAsia="宋体" w:cs="宋体"/>
          <w:bCs/>
          <w:color w:val="000000"/>
          <w:sz w:val="40"/>
          <w:szCs w:val="40"/>
          <w:highlight w:val="none"/>
        </w:rPr>
      </w:pPr>
    </w:p>
    <w:p>
      <w:pPr>
        <w:snapToGrid w:val="0"/>
        <w:spacing w:line="360" w:lineRule="auto"/>
        <w:ind w:firstLine="800" w:firstLineChars="200"/>
        <w:jc w:val="center"/>
        <w:rPr>
          <w:rFonts w:hint="eastAsia" w:ascii="宋体" w:hAnsi="宋体" w:eastAsia="宋体" w:cs="宋体"/>
          <w:bCs/>
          <w:color w:val="000000"/>
          <w:sz w:val="40"/>
          <w:szCs w:val="40"/>
          <w:highlight w:val="none"/>
        </w:rPr>
      </w:pPr>
      <w:r>
        <w:rPr>
          <w:rFonts w:hint="eastAsia" w:ascii="宋体" w:hAnsi="宋体" w:eastAsia="宋体" w:cs="宋体"/>
          <w:bCs/>
          <w:color w:val="000000"/>
          <w:sz w:val="40"/>
          <w:szCs w:val="40"/>
          <w:highlight w:val="none"/>
        </w:rPr>
        <w:t>×××（投标人名称）</w:t>
      </w:r>
    </w:p>
    <w:p>
      <w:pPr>
        <w:snapToGrid w:val="0"/>
        <w:spacing w:line="360" w:lineRule="auto"/>
        <w:ind w:firstLine="800" w:firstLineChars="200"/>
        <w:jc w:val="center"/>
        <w:rPr>
          <w:rFonts w:hint="eastAsia" w:ascii="宋体" w:hAnsi="宋体" w:eastAsia="宋体" w:cs="宋体"/>
          <w:bCs/>
          <w:color w:val="000000"/>
          <w:sz w:val="40"/>
          <w:szCs w:val="40"/>
          <w:highlight w:val="none"/>
        </w:rPr>
      </w:pPr>
      <w:r>
        <w:rPr>
          <w:rFonts w:hint="eastAsia" w:ascii="宋体" w:hAnsi="宋体" w:eastAsia="宋体" w:cs="宋体"/>
          <w:bCs/>
          <w:color w:val="000000"/>
          <w:sz w:val="40"/>
          <w:szCs w:val="40"/>
          <w:highlight w:val="none"/>
        </w:rPr>
        <w:t>资格文件、商务技术文件、报价文件</w:t>
      </w:r>
    </w:p>
    <w:p>
      <w:pPr>
        <w:pStyle w:val="2"/>
        <w:numPr>
          <w:ilvl w:val="1"/>
          <w:numId w:val="0"/>
        </w:numPr>
        <w:rPr>
          <w:rFonts w:hint="eastAsia" w:ascii="宋体" w:hAnsi="宋体" w:eastAsia="宋体" w:cs="宋体"/>
          <w:highlight w:val="none"/>
        </w:rPr>
      </w:pPr>
    </w:p>
    <w:p>
      <w:pPr>
        <w:rPr>
          <w:rFonts w:hint="eastAsia" w:ascii="宋体" w:hAnsi="宋体" w:eastAsia="宋体" w:cs="宋体"/>
          <w:bCs/>
          <w:color w:val="000000"/>
          <w:sz w:val="24"/>
          <w:highlight w:val="none"/>
        </w:rPr>
      </w:pPr>
    </w:p>
    <w:p>
      <w:pPr>
        <w:rPr>
          <w:rFonts w:hint="eastAsia" w:ascii="宋体" w:hAnsi="宋体" w:eastAsia="宋体" w:cs="宋体"/>
          <w:bCs/>
          <w:color w:val="000000"/>
          <w:sz w:val="24"/>
          <w:highlight w:val="none"/>
        </w:rPr>
      </w:pPr>
    </w:p>
    <w:p>
      <w:pPr>
        <w:pStyle w:val="2"/>
        <w:numPr>
          <w:ilvl w:val="1"/>
          <w:numId w:val="0"/>
        </w:num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项目名称：</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项目编号：</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投标人名称（盖章）：</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投标人地址：</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法定代表人</w:t>
      </w:r>
      <w:r>
        <w:rPr>
          <w:rFonts w:hint="eastAsia" w:ascii="宋体" w:hAnsi="宋体" w:cs="宋体"/>
          <w:bCs/>
          <w:color w:val="000000"/>
          <w:sz w:val="24"/>
          <w:highlight w:val="none"/>
          <w:lang w:val="en-US" w:eastAsia="zh-CN"/>
        </w:rPr>
        <w:t>或</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委托代理人）</w:t>
      </w:r>
      <w:r>
        <w:rPr>
          <w:rFonts w:hint="eastAsia" w:ascii="宋体" w:hAnsi="宋体" w:eastAsia="宋体" w:cs="宋体"/>
          <w:bCs/>
          <w:color w:val="000000"/>
          <w:sz w:val="24"/>
          <w:highlight w:val="none"/>
        </w:rPr>
        <w:t>签字或盖章：</w:t>
      </w:r>
    </w:p>
    <w:p>
      <w:pPr>
        <w:snapToGrid w:val="0"/>
        <w:spacing w:before="240" w:beforeLines="100" w:after="240" w:afterLines="100" w:line="360" w:lineRule="auto"/>
        <w:ind w:firstLine="480" w:firstLineChars="200"/>
        <w:rPr>
          <w:rFonts w:hint="eastAsia" w:ascii="宋体" w:hAnsi="宋体" w:eastAsia="宋体" w:cs="宋体"/>
          <w:bCs/>
          <w:color w:val="000000"/>
          <w:sz w:val="24"/>
          <w:highlight w:val="none"/>
        </w:rPr>
      </w:pPr>
    </w:p>
    <w:p>
      <w:pPr>
        <w:snapToGrid w:val="0"/>
        <w:spacing w:line="360" w:lineRule="auto"/>
        <w:ind w:firstLine="480" w:firstLineChars="2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pPr>
        <w:pStyle w:val="2"/>
        <w:numPr>
          <w:ilvl w:val="1"/>
          <w:numId w:val="0"/>
        </w:numPr>
        <w:tabs>
          <w:tab w:val="left" w:pos="524"/>
        </w:tabs>
        <w:rPr>
          <w:rFonts w:hint="eastAsia" w:ascii="宋体" w:hAnsi="宋体" w:eastAsia="宋体" w:cs="宋体"/>
          <w:highlight w:val="none"/>
        </w:rPr>
      </w:pPr>
    </w:p>
    <w:p>
      <w:pPr>
        <w:rPr>
          <w:rFonts w:hint="eastAsia" w:ascii="宋体" w:hAnsi="宋体" w:eastAsia="宋体" w:cs="宋体"/>
          <w:highlight w:val="none"/>
        </w:rPr>
      </w:pPr>
    </w:p>
    <w:p>
      <w:pPr>
        <w:snapToGrid w:val="0"/>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注：投标人应按技术资信文件、报价文件分别进行编制、装订、封装投标文件</w:t>
      </w:r>
    </w:p>
    <w:p>
      <w:pPr>
        <w:rPr>
          <w:rFonts w:hint="eastAsia" w:ascii="宋体" w:hAnsi="宋体" w:eastAsia="宋体" w:cs="宋体"/>
          <w:b/>
          <w:kern w:val="0"/>
          <w:sz w:val="36"/>
          <w:szCs w:val="36"/>
          <w:highlight w:val="none"/>
        </w:rPr>
      </w:pPr>
    </w:p>
    <w:p>
      <w:pPr>
        <w:pStyle w:val="15"/>
        <w:rPr>
          <w:rFonts w:hint="eastAsia" w:ascii="宋体" w:hAnsi="宋体" w:eastAsia="宋体" w:cs="宋体"/>
          <w:highlight w:val="none"/>
        </w:rPr>
      </w:pPr>
    </w:p>
    <w:p>
      <w:pPr>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资格文件部分</w:t>
      </w:r>
    </w:p>
    <w:p>
      <w:pPr>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目录</w:t>
      </w:r>
    </w:p>
    <w:p>
      <w:pPr>
        <w:spacing w:line="360" w:lineRule="auto"/>
        <w:jc w:val="center"/>
        <w:rPr>
          <w:rFonts w:hint="eastAsia" w:ascii="宋体" w:hAnsi="宋体" w:eastAsia="宋体" w:cs="宋体"/>
          <w:b/>
          <w:kern w:val="0"/>
          <w:sz w:val="36"/>
          <w:szCs w:val="36"/>
          <w:highlight w:val="none"/>
        </w:rPr>
      </w:pP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（1）符合参加采购活动应当具备的一般条件的承诺函………………………（页码）</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2</w:t>
      </w:r>
      <w:r>
        <w:rPr>
          <w:rFonts w:hint="eastAsia" w:ascii="宋体" w:hAnsi="宋体" w:eastAsia="宋体" w:cs="宋体"/>
          <w:sz w:val="24"/>
          <w:highlight w:val="none"/>
        </w:rPr>
        <w:t>）本项目的特定资格要求……………………………………………………（页码）</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营业执照</w:t>
      </w:r>
      <w:r>
        <w:rPr>
          <w:rFonts w:hint="eastAsia" w:ascii="宋体" w:hAnsi="宋体" w:eastAsia="宋体" w:cs="宋体"/>
          <w:sz w:val="24"/>
          <w:highlight w:val="none"/>
        </w:rPr>
        <w:t>……………………………………………………………………（页码）</w:t>
      </w:r>
    </w:p>
    <w:p>
      <w:pPr>
        <w:spacing w:line="360" w:lineRule="auto"/>
        <w:ind w:firstLine="480" w:firstLineChars="200"/>
        <w:rPr>
          <w:rFonts w:hint="eastAsia" w:ascii="宋体" w:hAnsi="宋体" w:eastAsia="宋体" w:cs="宋体"/>
          <w:sz w:val="24"/>
          <w:highlight w:val="none"/>
        </w:rPr>
      </w:pPr>
    </w:p>
    <w:p>
      <w:pPr>
        <w:snapToGrid w:val="0"/>
        <w:spacing w:line="360" w:lineRule="auto"/>
        <w:ind w:right="480"/>
        <w:jc w:val="center"/>
        <w:rPr>
          <w:rFonts w:hint="eastAsia" w:ascii="宋体" w:hAnsi="宋体" w:eastAsia="宋体" w:cs="宋体"/>
          <w:b/>
          <w:kern w:val="0"/>
          <w:sz w:val="32"/>
          <w:szCs w:val="32"/>
          <w:highlight w:val="none"/>
        </w:rPr>
      </w:pPr>
      <w:r>
        <w:rPr>
          <w:rFonts w:hint="eastAsia" w:ascii="宋体" w:hAnsi="宋体" w:eastAsia="宋体" w:cs="宋体"/>
          <w:kern w:val="0"/>
          <w:sz w:val="24"/>
          <w:highlight w:val="none"/>
        </w:rPr>
        <w:br w:type="page"/>
      </w:r>
      <w:r>
        <w:rPr>
          <w:rFonts w:hint="eastAsia" w:ascii="宋体" w:hAnsi="宋体" w:eastAsia="宋体" w:cs="宋体"/>
          <w:b/>
          <w:kern w:val="0"/>
          <w:sz w:val="32"/>
          <w:szCs w:val="32"/>
          <w:highlight w:val="none"/>
        </w:rPr>
        <w:t xml:space="preserve">  一、 符合参加采购活动应当具备的一般条件的承诺函</w:t>
      </w:r>
    </w:p>
    <w:p>
      <w:pPr>
        <w:snapToGrid w:val="0"/>
        <w:spacing w:line="360" w:lineRule="auto"/>
        <w:rPr>
          <w:rFonts w:hint="eastAsia" w:ascii="宋体" w:hAnsi="宋体" w:cs="宋体"/>
          <w:sz w:val="24"/>
          <w:highlight w:val="none"/>
          <w:lang w:eastAsia="zh-CN"/>
        </w:rPr>
      </w:pPr>
    </w:p>
    <w:p>
      <w:pPr>
        <w:snapToGrid w:val="0"/>
        <w:spacing w:line="360" w:lineRule="auto"/>
        <w:rPr>
          <w:rFonts w:hint="eastAsia" w:ascii="宋体" w:hAnsi="宋体" w:eastAsia="宋体" w:cs="宋体"/>
          <w:sz w:val="24"/>
          <w:highlight w:val="none"/>
        </w:rPr>
      </w:pPr>
      <w:r>
        <w:rPr>
          <w:rFonts w:hint="eastAsia" w:ascii="宋体" w:hAnsi="宋体" w:cs="宋体"/>
          <w:sz w:val="24"/>
          <w:highlight w:val="none"/>
          <w:lang w:eastAsia="zh-CN"/>
        </w:rPr>
        <w:t>浙江桐庐农村商业银行股份有限公司</w:t>
      </w:r>
      <w:r>
        <w:rPr>
          <w:rFonts w:hint="eastAsia" w:ascii="宋体" w:hAnsi="宋体" w:eastAsia="宋体" w:cs="宋体"/>
          <w:sz w:val="24"/>
          <w:highlight w:val="none"/>
        </w:rPr>
        <w:t>、</w:t>
      </w:r>
      <w:r>
        <w:rPr>
          <w:rFonts w:hint="eastAsia" w:ascii="宋体" w:hAnsi="宋体" w:cs="宋体"/>
          <w:sz w:val="24"/>
          <w:highlight w:val="none"/>
          <w:lang w:eastAsia="zh-CN"/>
        </w:rPr>
        <w:t>浙江承天建设工程管理有限公司</w:t>
      </w:r>
      <w:r>
        <w:rPr>
          <w:rFonts w:hint="eastAsia" w:ascii="宋体" w:hAnsi="宋体" w:eastAsia="宋体" w:cs="宋体"/>
          <w:sz w:val="24"/>
          <w:highlight w:val="none"/>
          <w:lang w:val="zh-CN"/>
        </w:rPr>
        <w:t>：</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我方</w:t>
      </w:r>
      <w:r>
        <w:rPr>
          <w:rFonts w:hint="eastAsia" w:ascii="宋体" w:hAnsi="宋体" w:eastAsia="宋体" w:cs="宋体"/>
          <w:sz w:val="24"/>
          <w:highlight w:val="none"/>
          <w:lang w:eastAsia="zh-CN"/>
        </w:rPr>
        <w:t>参与</w:t>
      </w:r>
      <w:r>
        <w:rPr>
          <w:rFonts w:hint="eastAsia" w:ascii="宋体" w:hAnsi="宋体" w:cs="宋体"/>
          <w:sz w:val="24"/>
          <w:highlight w:val="none"/>
          <w:lang w:eastAsia="zh-CN"/>
        </w:rPr>
        <w:t>桐庐农商银行守押寄库服务采购项目</w:t>
      </w:r>
      <w:r>
        <w:rPr>
          <w:rFonts w:hint="eastAsia" w:ascii="宋体" w:hAnsi="宋体" w:eastAsia="宋体" w:cs="宋体"/>
          <w:sz w:val="24"/>
          <w:highlight w:val="none"/>
        </w:rPr>
        <w:t>【招标编号：</w:t>
      </w:r>
      <w:r>
        <w:rPr>
          <w:rFonts w:hint="eastAsia" w:ascii="宋体" w:hAnsi="宋体" w:cs="宋体"/>
          <w:sz w:val="24"/>
          <w:highlight w:val="none"/>
          <w:lang w:eastAsia="zh-CN"/>
        </w:rPr>
        <w:t>CTJSCG-2024-001-1-1</w:t>
      </w:r>
      <w:r>
        <w:rPr>
          <w:rFonts w:hint="eastAsia" w:ascii="宋体" w:hAnsi="宋体" w:eastAsia="宋体" w:cs="宋体"/>
          <w:sz w:val="24"/>
          <w:highlight w:val="none"/>
        </w:rPr>
        <w:t>】采购活动，郑重承诺：</w:t>
      </w:r>
    </w:p>
    <w:p>
      <w:pPr>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（一）具备</w:t>
      </w:r>
      <w:r>
        <w:rPr>
          <w:rFonts w:hint="eastAsia" w:ascii="宋体" w:hAnsi="宋体" w:cs="宋体"/>
          <w:sz w:val="24"/>
          <w:highlight w:val="none"/>
          <w:lang w:val="en-US" w:eastAsia="zh-CN"/>
        </w:rPr>
        <w:t>以下</w:t>
      </w:r>
      <w:r>
        <w:rPr>
          <w:rFonts w:hint="eastAsia" w:ascii="宋体" w:hAnsi="宋体" w:eastAsia="宋体" w:cs="宋体"/>
          <w:sz w:val="24"/>
          <w:highlight w:val="none"/>
        </w:rPr>
        <w:t>条件：</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1、具有独立承担民事责任的能力；</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2、具有良好的商业信誉和健全的财务会计制度； </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3、具有履行合同所必需的设备和专业技术能力；</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4、有依法缴纳税收和社会保障资金的良好记录；</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5、参加采购活动前三年内，在经营活动中没有重大违法记录；</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6、具有法律、行政法规规定的其他条件。</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b w:val="0"/>
          <w:bCs/>
          <w:color w:val="auto"/>
          <w:sz w:val="24"/>
          <w:highlight w:val="none"/>
          <w:lang w:val="en-US" w:eastAsia="zh-CN"/>
        </w:rPr>
        <w:t>至本项目投标截止时间前，供应商未列入失信被执行人、重大税收违法案件当事人名单、政府采购严重违法失信行为记录名单（以“信用中国”网站www.creditchina.gov.cn、“中国政府采购网”www.ccgp.gov.cn查询结果为准）</w:t>
      </w:r>
      <w:r>
        <w:rPr>
          <w:rFonts w:hint="eastAsia" w:ascii="宋体" w:hAnsi="宋体" w:eastAsia="宋体" w:cs="宋体"/>
          <w:sz w:val="24"/>
          <w:highlight w:val="none"/>
        </w:rPr>
        <w:t>。</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（三）不存在以下情况：</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 w:val="0"/>
          <w:bCs/>
          <w:color w:val="auto"/>
          <w:sz w:val="24"/>
          <w:highlight w:val="none"/>
          <w:lang w:val="en-US" w:eastAsia="zh-CN"/>
        </w:rPr>
        <w:t>单位负责人为同一人或者存在直接控股、管理关系的不同供应商，不得同时参加同一合同项下的投标</w:t>
      </w:r>
      <w:r>
        <w:rPr>
          <w:rFonts w:hint="eastAsia" w:ascii="宋体" w:hAnsi="宋体" w:eastAsia="宋体" w:cs="宋体"/>
          <w:sz w:val="24"/>
          <w:highlight w:val="none"/>
        </w:rPr>
        <w:t>；</w:t>
      </w:r>
    </w:p>
    <w:p>
      <w:pPr>
        <w:snapToGrid w:val="0"/>
        <w:spacing w:line="360" w:lineRule="auto"/>
        <w:ind w:firstLine="5520" w:firstLineChars="2300"/>
        <w:rPr>
          <w:rFonts w:hint="eastAsia" w:ascii="宋体" w:hAnsi="宋体" w:eastAsia="宋体" w:cs="宋体"/>
          <w:kern w:val="0"/>
          <w:sz w:val="24"/>
          <w:highlight w:val="none"/>
          <w:lang w:val="zh-CN"/>
        </w:rPr>
      </w:pPr>
    </w:p>
    <w:p>
      <w:pPr>
        <w:snapToGrid w:val="0"/>
        <w:spacing w:line="360" w:lineRule="auto"/>
        <w:ind w:firstLine="5520" w:firstLineChars="2300"/>
        <w:rPr>
          <w:rFonts w:hint="eastAsia" w:ascii="宋体" w:hAnsi="宋体" w:eastAsia="宋体" w:cs="宋体"/>
          <w:kern w:val="0"/>
          <w:sz w:val="24"/>
          <w:highlight w:val="none"/>
          <w:lang w:val="zh-CN"/>
        </w:rPr>
      </w:pPr>
    </w:p>
    <w:p>
      <w:pPr>
        <w:snapToGrid w:val="0"/>
        <w:spacing w:line="360" w:lineRule="auto"/>
        <w:ind w:firstLine="5520" w:firstLineChars="2300"/>
        <w:rPr>
          <w:rFonts w:hint="eastAsia" w:ascii="宋体" w:hAnsi="宋体" w:eastAsia="宋体" w:cs="宋体"/>
          <w:kern w:val="0"/>
          <w:sz w:val="24"/>
          <w:highlight w:val="none"/>
          <w:lang w:val="zh-CN"/>
        </w:rPr>
      </w:pPr>
    </w:p>
    <w:p>
      <w:pPr>
        <w:snapToGrid w:val="0"/>
        <w:spacing w:line="360" w:lineRule="auto"/>
        <w:ind w:firstLine="5520" w:firstLineChars="23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供应商名称</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盖章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w:t>
      </w: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rPr>
          <w:rFonts w:hint="eastAsia" w:ascii="宋体" w:hAnsi="宋体" w:eastAsia="宋体" w:cs="宋体"/>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rPr>
          <w:rFonts w:hint="eastAsia" w:ascii="宋体" w:hAnsi="宋体" w:eastAsia="宋体" w:cs="宋体"/>
          <w:highlight w:val="none"/>
        </w:rPr>
      </w:pPr>
    </w:p>
    <w:p>
      <w:pPr>
        <w:pStyle w:val="2"/>
        <w:numPr>
          <w:ilvl w:val="0"/>
          <w:numId w:val="8"/>
        </w:numPr>
        <w:tabs>
          <w:tab w:val="left" w:pos="432"/>
        </w:tabs>
        <w:jc w:val="center"/>
        <w:rPr>
          <w:rFonts w:hint="eastAsia" w:ascii="宋体" w:hAnsi="宋体" w:eastAsia="宋体" w:cs="宋体"/>
          <w:bCs w:val="0"/>
          <w:kern w:val="0"/>
          <w:highlight w:val="none"/>
        </w:rPr>
      </w:pPr>
      <w:r>
        <w:rPr>
          <w:rFonts w:hint="eastAsia" w:ascii="宋体" w:hAnsi="宋体" w:eastAsia="宋体" w:cs="宋体"/>
          <w:bCs w:val="0"/>
          <w:kern w:val="0"/>
          <w:highlight w:val="none"/>
        </w:rPr>
        <w:t>本项目的特定资格要求</w:t>
      </w:r>
    </w:p>
    <w:p>
      <w:pPr>
        <w:pStyle w:val="7"/>
        <w:numPr>
          <w:ilvl w:val="5"/>
          <w:numId w:val="0"/>
        </w:numPr>
        <w:ind w:leftChars="0"/>
        <w:rPr>
          <w:rFonts w:hint="eastAsia" w:ascii="宋体" w:hAnsi="宋体" w:eastAsia="宋体" w:cs="新宋体"/>
          <w:kern w:val="0"/>
          <w:szCs w:val="21"/>
          <w:lang w:val="en-US" w:eastAsia="zh-CN"/>
          <w14:ligatures w14:val="none"/>
        </w:rPr>
      </w:pPr>
      <w:r>
        <w:rPr>
          <w:rFonts w:hint="eastAsia" w:ascii="宋体" w:hAnsi="宋体" w:eastAsia="宋体" w:cs="新宋体"/>
          <w:kern w:val="0"/>
          <w:szCs w:val="21"/>
          <w:lang w:val="en-US" w:eastAsia="zh-CN"/>
          <w14:ligatures w14:val="none"/>
        </w:rPr>
        <w:t>1.供应商具有有效的保安服务许可证（服务范围含：守护、押运）</w:t>
      </w:r>
    </w:p>
    <w:p>
      <w:pPr>
        <w:pStyle w:val="7"/>
        <w:numPr>
          <w:ilvl w:val="5"/>
          <w:numId w:val="0"/>
        </w:numPr>
        <w:ind w:leftChars="0"/>
        <w:rPr>
          <w:rFonts w:hint="eastAsia" w:ascii="宋体" w:hAnsi="宋体" w:eastAsia="宋体" w:cs="新宋体"/>
          <w:kern w:val="0"/>
          <w:szCs w:val="21"/>
          <w14:ligatures w14:val="none"/>
        </w:rPr>
      </w:pPr>
      <w:r>
        <w:rPr>
          <w:rFonts w:hint="eastAsia" w:ascii="宋体" w:hAnsi="宋体" w:eastAsia="宋体" w:cs="新宋体"/>
          <w:kern w:val="0"/>
          <w:szCs w:val="21"/>
          <w:lang w:val="en-US" w:eastAsia="zh-CN"/>
          <w14:ligatures w14:val="none"/>
        </w:rPr>
        <w:t>2.</w:t>
      </w:r>
      <w:r>
        <w:rPr>
          <w:rFonts w:hint="eastAsia" w:ascii="宋体" w:hAnsi="宋体" w:eastAsia="宋体" w:cs="新宋体"/>
          <w:kern w:val="0"/>
          <w:szCs w:val="21"/>
          <w14:ligatures w14:val="none"/>
        </w:rPr>
        <w:t>供应商应拥有在杭州市行政辖区内符合满足桐庐农商银行寄库需要以及公安部门要求的金库（自建、租入均可）</w:t>
      </w: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snapToGrid w:val="0"/>
        <w:spacing w:line="360" w:lineRule="auto"/>
        <w:ind w:firstLine="5520" w:firstLineChars="23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供应商名称</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盖章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w:t>
      </w:r>
    </w:p>
    <w:p>
      <w:pPr>
        <w:pStyle w:val="2"/>
        <w:numPr>
          <w:ilvl w:val="1"/>
          <w:numId w:val="0"/>
        </w:numPr>
        <w:tabs>
          <w:tab w:val="left" w:pos="432"/>
        </w:tabs>
        <w:rPr>
          <w:rFonts w:hint="eastAsia" w:ascii="宋体" w:hAnsi="宋体" w:eastAsia="宋体" w:cs="宋体"/>
          <w:highlight w:val="none"/>
        </w:rPr>
      </w:pPr>
    </w:p>
    <w:p>
      <w:pPr>
        <w:rPr>
          <w:rFonts w:hint="eastAsia" w:ascii="宋体" w:hAnsi="宋体" w:eastAsia="宋体" w:cs="宋体"/>
          <w:highlight w:val="none"/>
        </w:rPr>
      </w:pPr>
    </w:p>
    <w:p>
      <w:pPr>
        <w:pStyle w:val="2"/>
        <w:numPr>
          <w:ilvl w:val="0"/>
          <w:numId w:val="8"/>
        </w:numPr>
        <w:tabs>
          <w:tab w:val="left" w:pos="432"/>
        </w:tabs>
        <w:jc w:val="center"/>
        <w:rPr>
          <w:rFonts w:hint="eastAsia" w:ascii="宋体" w:hAnsi="宋体" w:eastAsia="宋体" w:cs="宋体"/>
          <w:bCs w:val="0"/>
          <w:kern w:val="0"/>
          <w:highlight w:val="none"/>
        </w:rPr>
      </w:pPr>
      <w:r>
        <w:rPr>
          <w:rFonts w:hint="eastAsia" w:ascii="宋体" w:hAnsi="宋体" w:eastAsia="宋体" w:cs="宋体"/>
          <w:bCs w:val="0"/>
          <w:kern w:val="0"/>
          <w:highlight w:val="none"/>
          <w:lang w:val="en-US" w:eastAsia="zh-CN"/>
        </w:rPr>
        <w:t>营业执照</w:t>
      </w:r>
    </w:p>
    <w:p>
      <w:pPr>
        <w:pStyle w:val="2"/>
        <w:numPr>
          <w:ilvl w:val="1"/>
          <w:numId w:val="0"/>
        </w:numPr>
        <w:tabs>
          <w:tab w:val="left" w:pos="432"/>
        </w:tabs>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rPr>
      </w:pPr>
    </w:p>
    <w:p>
      <w:pPr>
        <w:pStyle w:val="17"/>
        <w:rPr>
          <w:rFonts w:hint="eastAsia" w:ascii="宋体" w:hAnsi="宋体" w:eastAsia="宋体" w:cs="宋体"/>
          <w:b w:val="0"/>
          <w:bCs w:val="0"/>
          <w:highlight w:val="none"/>
        </w:rPr>
      </w:pPr>
    </w:p>
    <w:p>
      <w:pPr>
        <w:pStyle w:val="18"/>
        <w:rPr>
          <w:rFonts w:hint="eastAsia" w:ascii="宋体" w:hAnsi="宋体" w:eastAsia="宋体" w:cs="宋体"/>
          <w:b w:val="0"/>
          <w:bCs w:val="0"/>
          <w:highlight w:val="none"/>
        </w:rPr>
      </w:pPr>
    </w:p>
    <w:p>
      <w:pPr>
        <w:rPr>
          <w:rFonts w:hint="eastAsia" w:ascii="宋体" w:hAnsi="宋体" w:eastAsia="宋体" w:cs="宋体"/>
          <w:b w:val="0"/>
          <w:bCs w:val="0"/>
          <w:highlight w:val="none"/>
        </w:rPr>
      </w:pPr>
    </w:p>
    <w:p>
      <w:pPr>
        <w:snapToGrid w:val="0"/>
        <w:spacing w:line="360" w:lineRule="auto"/>
        <w:ind w:firstLine="5520" w:firstLineChars="23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供应商名称</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盖章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w:t>
      </w:r>
    </w:p>
    <w:p>
      <w:pPr>
        <w:pStyle w:val="17"/>
        <w:rPr>
          <w:rFonts w:hint="eastAsia" w:ascii="宋体" w:hAnsi="宋体" w:eastAsia="宋体" w:cs="宋体"/>
          <w:b w:val="0"/>
          <w:bCs w:val="0"/>
          <w:highlight w:val="none"/>
        </w:rPr>
      </w:pPr>
    </w:p>
    <w:p>
      <w:pPr>
        <w:rPr>
          <w:rFonts w:hint="eastAsia" w:ascii="宋体" w:hAnsi="宋体" w:eastAsia="宋体" w:cs="宋体"/>
          <w:highlight w:val="none"/>
        </w:rPr>
      </w:pPr>
    </w:p>
    <w:p>
      <w:pPr>
        <w:pStyle w:val="17"/>
        <w:rPr>
          <w:rFonts w:hint="eastAsia" w:ascii="宋体" w:hAnsi="宋体" w:eastAsia="宋体" w:cs="宋体"/>
          <w:highlight w:val="none"/>
        </w:rPr>
      </w:pPr>
    </w:p>
    <w:p>
      <w:pPr>
        <w:spacing w:line="360" w:lineRule="auto"/>
        <w:ind w:right="420"/>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商务技术文件部分</w:t>
      </w:r>
    </w:p>
    <w:p>
      <w:pPr>
        <w:spacing w:line="360" w:lineRule="auto"/>
        <w:jc w:val="center"/>
        <w:rPr>
          <w:rFonts w:hint="eastAsia" w:ascii="宋体" w:hAnsi="宋体" w:eastAsia="宋体" w:cs="宋体"/>
          <w:b/>
          <w:kern w:val="0"/>
          <w:sz w:val="24"/>
          <w:highlight w:val="none"/>
        </w:rPr>
      </w:pPr>
    </w:p>
    <w:p>
      <w:pPr>
        <w:spacing w:line="360" w:lineRule="auto"/>
        <w:jc w:val="center"/>
        <w:outlineLvl w:val="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目录</w:t>
      </w:r>
    </w:p>
    <w:p>
      <w:pPr>
        <w:snapToGrid w:val="0"/>
        <w:spacing w:line="360" w:lineRule="auto"/>
        <w:rPr>
          <w:rFonts w:hint="eastAsia" w:ascii="宋体" w:hAnsi="宋体" w:eastAsia="宋体" w:cs="宋体"/>
          <w:highlight w:val="none"/>
        </w:rPr>
      </w:pPr>
      <w:r>
        <w:rPr>
          <w:rFonts w:hint="eastAsia" w:ascii="宋体" w:hAnsi="宋体" w:eastAsia="宋体" w:cs="宋体"/>
          <w:sz w:val="24"/>
          <w:highlight w:val="none"/>
        </w:rPr>
        <w:t>（1）磋商承诺函</w:t>
      </w:r>
      <w:r>
        <w:rPr>
          <w:rFonts w:hint="eastAsia" w:ascii="宋体" w:hAnsi="宋体" w:eastAsia="宋体" w:cs="宋体"/>
          <w:highlight w:val="none"/>
        </w:rPr>
        <w:t>………………………………………………………………………………（页码）</w:t>
      </w:r>
    </w:p>
    <w:p>
      <w:pPr>
        <w:snapToGrid w:val="0"/>
        <w:spacing w:line="360" w:lineRule="auto"/>
        <w:rPr>
          <w:rFonts w:hint="eastAsia" w:ascii="宋体" w:hAnsi="宋体" w:eastAsia="宋体" w:cs="宋体"/>
          <w:highlight w:val="none"/>
        </w:rPr>
      </w:pPr>
      <w:r>
        <w:rPr>
          <w:rFonts w:hint="eastAsia" w:ascii="宋体" w:hAnsi="宋体" w:eastAsia="宋体" w:cs="宋体"/>
          <w:sz w:val="24"/>
          <w:highlight w:val="none"/>
        </w:rPr>
        <w:t>（2）授权委托书或法定代表人（单位负责人、自然人本人）身份证明</w:t>
      </w:r>
      <w:r>
        <w:rPr>
          <w:rFonts w:hint="eastAsia" w:ascii="宋体" w:hAnsi="宋体" w:eastAsia="宋体" w:cs="宋体"/>
          <w:highlight w:val="none"/>
        </w:rPr>
        <w:t>…………（页码）</w:t>
      </w:r>
    </w:p>
    <w:p>
      <w:pPr>
        <w:snapToGrid w:val="0"/>
        <w:spacing w:line="360" w:lineRule="auto"/>
        <w:rPr>
          <w:rFonts w:hint="eastAsia" w:ascii="宋体" w:hAnsi="宋体" w:eastAsia="宋体" w:cs="宋体"/>
          <w:highlight w:val="none"/>
        </w:rPr>
      </w:pPr>
      <w:r>
        <w:rPr>
          <w:rFonts w:hint="eastAsia" w:ascii="宋体" w:hAnsi="宋体" w:eastAsia="宋体" w:cs="宋体"/>
          <w:sz w:val="24"/>
          <w:highlight w:val="none"/>
        </w:rPr>
        <w:t>（3）符合性审查资料</w:t>
      </w:r>
      <w:r>
        <w:rPr>
          <w:rFonts w:hint="eastAsia" w:ascii="宋体" w:hAnsi="宋体" w:eastAsia="宋体" w:cs="宋体"/>
          <w:highlight w:val="none"/>
        </w:rPr>
        <w:t>…………………………………………………………………………（页码）</w:t>
      </w:r>
    </w:p>
    <w:p>
      <w:pPr>
        <w:snapToGrid w:val="0"/>
        <w:spacing w:line="360" w:lineRule="auto"/>
        <w:rPr>
          <w:rFonts w:hint="eastAsia" w:ascii="宋体" w:hAnsi="宋体" w:eastAsia="宋体" w:cs="宋体"/>
          <w:highlight w:val="none"/>
        </w:rPr>
      </w:pPr>
      <w:r>
        <w:rPr>
          <w:rFonts w:hint="eastAsia" w:ascii="宋体" w:hAnsi="宋体" w:eastAsia="宋体" w:cs="宋体"/>
          <w:sz w:val="24"/>
          <w:highlight w:val="none"/>
        </w:rPr>
        <w:t>（4）评标标准相应的商务技术资料</w:t>
      </w:r>
      <w:r>
        <w:rPr>
          <w:rFonts w:hint="eastAsia" w:ascii="宋体" w:hAnsi="宋体" w:eastAsia="宋体" w:cs="宋体"/>
          <w:highlight w:val="none"/>
        </w:rPr>
        <w:t>…………………………</w:t>
      </w:r>
      <w:r>
        <w:rPr>
          <w:rFonts w:hint="eastAsia" w:ascii="宋体" w:hAnsi="宋体" w:eastAsia="宋体" w:cs="宋体"/>
          <w:sz w:val="24"/>
          <w:highlight w:val="none"/>
        </w:rPr>
        <w:t>………</w:t>
      </w:r>
      <w:r>
        <w:rPr>
          <w:rFonts w:hint="eastAsia" w:ascii="宋体" w:hAnsi="宋体" w:eastAsia="宋体" w:cs="宋体"/>
          <w:highlight w:val="none"/>
        </w:rPr>
        <w:t>…</w:t>
      </w:r>
      <w:r>
        <w:rPr>
          <w:rFonts w:hint="eastAsia" w:ascii="宋体" w:hAnsi="宋体" w:eastAsia="宋体" w:cs="宋体"/>
          <w:sz w:val="24"/>
          <w:highlight w:val="none"/>
        </w:rPr>
        <w:t>…</w:t>
      </w:r>
      <w:r>
        <w:rPr>
          <w:rFonts w:hint="eastAsia" w:ascii="宋体" w:hAnsi="宋体" w:eastAsia="宋体" w:cs="宋体"/>
          <w:highlight w:val="none"/>
        </w:rPr>
        <w:t>…………… （页码）</w:t>
      </w:r>
    </w:p>
    <w:p>
      <w:pPr>
        <w:snapToGrid w:val="0"/>
        <w:spacing w:line="360" w:lineRule="auto"/>
        <w:rPr>
          <w:rFonts w:hint="eastAsia" w:ascii="宋体" w:hAnsi="宋体" w:eastAsia="宋体" w:cs="宋体"/>
          <w:highlight w:val="none"/>
        </w:rPr>
      </w:pPr>
      <w:r>
        <w:rPr>
          <w:rFonts w:hint="eastAsia" w:ascii="宋体" w:hAnsi="宋体" w:eastAsia="宋体" w:cs="宋体"/>
          <w:sz w:val="24"/>
          <w:highlight w:val="none"/>
        </w:rPr>
        <w:t>（5）评分对应表</w:t>
      </w:r>
      <w:r>
        <w:rPr>
          <w:rFonts w:hint="eastAsia" w:ascii="宋体" w:hAnsi="宋体" w:eastAsia="宋体" w:cs="宋体"/>
          <w:highlight w:val="none"/>
        </w:rPr>
        <w:t>……………………………………………………………………………… （页码）</w:t>
      </w:r>
    </w:p>
    <w:p>
      <w:pPr>
        <w:snapToGrid w:val="0"/>
        <w:spacing w:line="360" w:lineRule="auto"/>
        <w:rPr>
          <w:rFonts w:hint="eastAsia" w:ascii="宋体" w:hAnsi="宋体" w:eastAsia="宋体" w:cs="宋体"/>
          <w:highlight w:val="none"/>
        </w:rPr>
      </w:pPr>
      <w:r>
        <w:rPr>
          <w:rFonts w:hint="eastAsia" w:ascii="宋体" w:hAnsi="宋体" w:eastAsia="宋体" w:cs="宋体"/>
          <w:sz w:val="24"/>
          <w:highlight w:val="none"/>
        </w:rPr>
        <w:t>（6）商务技术偏离表</w:t>
      </w:r>
      <w:r>
        <w:rPr>
          <w:rFonts w:hint="eastAsia" w:ascii="宋体" w:hAnsi="宋体" w:eastAsia="宋体" w:cs="宋体"/>
          <w:highlight w:val="none"/>
        </w:rPr>
        <w:t>………………………………………………………………………… （页码）</w:t>
      </w:r>
    </w:p>
    <w:p>
      <w:pPr>
        <w:snapToGrid w:val="0"/>
        <w:spacing w:line="360" w:lineRule="auto"/>
        <w:rPr>
          <w:rFonts w:hint="eastAsia" w:ascii="宋体" w:hAnsi="宋体" w:eastAsia="宋体" w:cs="宋体"/>
          <w:highlight w:val="none"/>
        </w:rPr>
      </w:pPr>
      <w:r>
        <w:rPr>
          <w:rFonts w:hint="eastAsia" w:ascii="宋体" w:hAnsi="宋体" w:eastAsia="宋体" w:cs="宋体"/>
          <w:sz w:val="24"/>
          <w:highlight w:val="none"/>
          <w:lang w:val="zh-CN"/>
        </w:rPr>
        <w:t>（</w:t>
      </w:r>
      <w:r>
        <w:rPr>
          <w:rFonts w:hint="eastAsia" w:ascii="宋体" w:hAnsi="宋体" w:eastAsia="宋体" w:cs="宋体"/>
          <w:sz w:val="24"/>
          <w:highlight w:val="none"/>
        </w:rPr>
        <w:t>7</w:t>
      </w:r>
      <w:r>
        <w:rPr>
          <w:rFonts w:hint="eastAsia" w:ascii="宋体" w:hAnsi="宋体" w:eastAsia="宋体" w:cs="宋体"/>
          <w:sz w:val="24"/>
          <w:highlight w:val="none"/>
          <w:lang w:val="zh-CN"/>
        </w:rPr>
        <w:t>）采购供应商廉洁自律承诺书</w:t>
      </w:r>
      <w:r>
        <w:rPr>
          <w:rFonts w:hint="eastAsia" w:ascii="宋体" w:hAnsi="宋体" w:eastAsia="宋体" w:cs="宋体"/>
          <w:highlight w:val="none"/>
        </w:rPr>
        <w:t>…………………………………………………… （页码）</w:t>
      </w:r>
    </w:p>
    <w:p>
      <w:pPr>
        <w:snapToGrid w:val="0"/>
        <w:spacing w:line="360" w:lineRule="auto"/>
        <w:jc w:val="center"/>
        <w:rPr>
          <w:rFonts w:hint="eastAsia" w:ascii="宋体" w:hAnsi="宋体" w:eastAsia="宋体" w:cs="宋体"/>
          <w:b/>
          <w:kern w:val="0"/>
          <w:sz w:val="32"/>
          <w:szCs w:val="32"/>
          <w:highlight w:val="none"/>
          <w:lang w:val="zh-CN"/>
        </w:rPr>
      </w:pPr>
    </w:p>
    <w:p>
      <w:pPr>
        <w:snapToGrid w:val="0"/>
        <w:spacing w:line="360" w:lineRule="auto"/>
        <w:jc w:val="center"/>
        <w:rPr>
          <w:rFonts w:hint="eastAsia" w:ascii="宋体" w:hAnsi="宋体" w:eastAsia="宋体" w:cs="宋体"/>
          <w:b/>
          <w:kern w:val="0"/>
          <w:sz w:val="32"/>
          <w:szCs w:val="32"/>
          <w:highlight w:val="none"/>
          <w:lang w:val="zh-CN"/>
        </w:rPr>
      </w:pPr>
    </w:p>
    <w:p>
      <w:pPr>
        <w:snapToGrid w:val="0"/>
        <w:spacing w:line="360" w:lineRule="auto"/>
        <w:jc w:val="center"/>
        <w:rPr>
          <w:rFonts w:hint="eastAsia" w:ascii="宋体" w:hAnsi="宋体" w:eastAsia="宋体" w:cs="宋体"/>
          <w:b/>
          <w:kern w:val="0"/>
          <w:sz w:val="32"/>
          <w:szCs w:val="32"/>
          <w:highlight w:val="none"/>
          <w:lang w:val="zh-CN"/>
        </w:rPr>
      </w:pPr>
    </w:p>
    <w:p>
      <w:pPr>
        <w:snapToGrid w:val="0"/>
        <w:spacing w:line="360" w:lineRule="auto"/>
        <w:jc w:val="center"/>
        <w:rPr>
          <w:rFonts w:hint="eastAsia" w:ascii="宋体" w:hAnsi="宋体" w:eastAsia="宋体" w:cs="宋体"/>
          <w:b/>
          <w:kern w:val="0"/>
          <w:sz w:val="32"/>
          <w:szCs w:val="32"/>
          <w:highlight w:val="none"/>
          <w:lang w:val="zh-CN"/>
        </w:rPr>
      </w:pPr>
    </w:p>
    <w:p>
      <w:pPr>
        <w:snapToGrid w:val="0"/>
        <w:spacing w:line="360" w:lineRule="auto"/>
        <w:jc w:val="center"/>
        <w:rPr>
          <w:rFonts w:hint="eastAsia" w:ascii="宋体" w:hAnsi="宋体" w:eastAsia="宋体" w:cs="宋体"/>
          <w:b/>
          <w:kern w:val="0"/>
          <w:sz w:val="32"/>
          <w:szCs w:val="32"/>
          <w:highlight w:val="none"/>
          <w:lang w:val="zh-CN"/>
        </w:rPr>
      </w:pPr>
    </w:p>
    <w:p>
      <w:pPr>
        <w:snapToGrid w:val="0"/>
        <w:spacing w:line="360" w:lineRule="auto"/>
        <w:jc w:val="center"/>
        <w:rPr>
          <w:rFonts w:hint="eastAsia" w:ascii="宋体" w:hAnsi="宋体" w:eastAsia="宋体" w:cs="宋体"/>
          <w:b/>
          <w:kern w:val="0"/>
          <w:sz w:val="32"/>
          <w:szCs w:val="32"/>
          <w:highlight w:val="none"/>
        </w:rPr>
      </w:pPr>
    </w:p>
    <w:p>
      <w:pPr>
        <w:snapToGrid w:val="0"/>
        <w:spacing w:line="360" w:lineRule="auto"/>
        <w:jc w:val="center"/>
        <w:rPr>
          <w:rFonts w:hint="eastAsia" w:ascii="宋体" w:hAnsi="宋体" w:eastAsia="宋体" w:cs="宋体"/>
          <w:b/>
          <w:kern w:val="0"/>
          <w:sz w:val="32"/>
          <w:szCs w:val="32"/>
          <w:highlight w:val="none"/>
        </w:rPr>
      </w:pPr>
    </w:p>
    <w:p>
      <w:pPr>
        <w:rPr>
          <w:rFonts w:hint="eastAsia" w:ascii="宋体" w:hAnsi="宋体" w:eastAsia="宋体" w:cs="宋体"/>
          <w:highlight w:val="none"/>
        </w:rPr>
      </w:pPr>
    </w:p>
    <w:p>
      <w:pPr>
        <w:snapToGrid w:val="0"/>
        <w:spacing w:line="360" w:lineRule="auto"/>
        <w:jc w:val="center"/>
        <w:rPr>
          <w:rFonts w:hint="eastAsia" w:ascii="宋体" w:hAnsi="宋体" w:eastAsia="宋体" w:cs="宋体"/>
          <w:b/>
          <w:kern w:val="0"/>
          <w:sz w:val="32"/>
          <w:szCs w:val="32"/>
          <w:highlight w:val="none"/>
        </w:rPr>
      </w:pPr>
    </w:p>
    <w:p>
      <w:pPr>
        <w:snapToGrid w:val="0"/>
        <w:spacing w:line="360" w:lineRule="auto"/>
        <w:jc w:val="center"/>
        <w:rPr>
          <w:rFonts w:hint="eastAsia" w:ascii="宋体" w:hAnsi="宋体" w:eastAsia="宋体" w:cs="宋体"/>
          <w:b/>
          <w:kern w:val="0"/>
          <w:sz w:val="32"/>
          <w:szCs w:val="32"/>
          <w:highlight w:val="none"/>
        </w:rPr>
      </w:pPr>
    </w:p>
    <w:p>
      <w:pPr>
        <w:snapToGrid w:val="0"/>
        <w:spacing w:line="360" w:lineRule="auto"/>
        <w:jc w:val="center"/>
        <w:rPr>
          <w:rFonts w:hint="eastAsia" w:ascii="宋体" w:hAnsi="宋体" w:eastAsia="宋体" w:cs="宋体"/>
          <w:b/>
          <w:kern w:val="0"/>
          <w:sz w:val="32"/>
          <w:szCs w:val="32"/>
          <w:highlight w:val="none"/>
        </w:rPr>
      </w:pPr>
    </w:p>
    <w:p>
      <w:pPr>
        <w:snapToGrid w:val="0"/>
        <w:spacing w:line="360" w:lineRule="auto"/>
        <w:jc w:val="center"/>
        <w:rPr>
          <w:rFonts w:hint="eastAsia" w:ascii="宋体" w:hAnsi="宋体" w:eastAsia="宋体" w:cs="宋体"/>
          <w:b/>
          <w:kern w:val="0"/>
          <w:sz w:val="32"/>
          <w:szCs w:val="32"/>
          <w:highlight w:val="none"/>
        </w:rPr>
      </w:pPr>
    </w:p>
    <w:p>
      <w:pPr>
        <w:snapToGrid w:val="0"/>
        <w:spacing w:line="360" w:lineRule="auto"/>
        <w:jc w:val="center"/>
        <w:rPr>
          <w:rFonts w:hint="eastAsia" w:ascii="宋体" w:hAnsi="宋体" w:eastAsia="宋体" w:cs="宋体"/>
          <w:b/>
          <w:kern w:val="0"/>
          <w:sz w:val="32"/>
          <w:szCs w:val="32"/>
          <w:highlight w:val="none"/>
        </w:rPr>
      </w:pPr>
    </w:p>
    <w:p>
      <w:pPr>
        <w:snapToGrid w:val="0"/>
        <w:spacing w:line="360" w:lineRule="auto"/>
        <w:rPr>
          <w:rFonts w:hint="eastAsia" w:ascii="宋体" w:hAnsi="宋体" w:eastAsia="宋体" w:cs="宋体"/>
          <w:b/>
          <w:kern w:val="0"/>
          <w:sz w:val="32"/>
          <w:szCs w:val="32"/>
          <w:highlight w:val="none"/>
        </w:rPr>
      </w:pPr>
    </w:p>
    <w:p>
      <w:pPr>
        <w:snapToGrid w:val="0"/>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kern w:val="0"/>
          <w:sz w:val="32"/>
          <w:szCs w:val="32"/>
          <w:highlight w:val="none"/>
        </w:rPr>
        <w:t>一、磋商承诺</w:t>
      </w:r>
      <w:r>
        <w:rPr>
          <w:rFonts w:hint="eastAsia" w:ascii="宋体" w:hAnsi="宋体" w:eastAsia="宋体" w:cs="宋体"/>
          <w:b/>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highlight w:val="none"/>
        </w:rPr>
      </w:pPr>
      <w:r>
        <w:rPr>
          <w:rFonts w:hint="eastAsia" w:ascii="宋体" w:hAnsi="宋体" w:cs="宋体"/>
          <w:sz w:val="24"/>
          <w:highlight w:val="none"/>
          <w:lang w:eastAsia="zh-CN"/>
        </w:rPr>
        <w:t>浙江桐庐农村商业银行股份有限公司</w:t>
      </w:r>
      <w:r>
        <w:rPr>
          <w:rFonts w:hint="eastAsia" w:ascii="宋体" w:hAnsi="宋体" w:eastAsia="宋体" w:cs="宋体"/>
          <w:sz w:val="24"/>
          <w:highlight w:val="none"/>
        </w:rPr>
        <w:t>、</w:t>
      </w:r>
      <w:r>
        <w:rPr>
          <w:rFonts w:hint="eastAsia" w:ascii="宋体" w:hAnsi="宋体" w:cs="宋体"/>
          <w:sz w:val="24"/>
          <w:highlight w:val="none"/>
          <w:lang w:eastAsia="zh-CN"/>
        </w:rPr>
        <w:t>浙江承天建设工程管理有限公司</w:t>
      </w:r>
      <w:r>
        <w:rPr>
          <w:rFonts w:hint="eastAsia" w:ascii="宋体" w:hAnsi="宋体" w:eastAsia="宋体" w:cs="宋体"/>
          <w:sz w:val="24"/>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我方参加你方组织的</w:t>
      </w:r>
      <w:r>
        <w:rPr>
          <w:rFonts w:hint="eastAsia" w:ascii="宋体" w:hAnsi="宋体" w:cs="宋体"/>
          <w:sz w:val="24"/>
          <w:highlight w:val="none"/>
          <w:lang w:eastAsia="zh-CN"/>
        </w:rPr>
        <w:t>桐庐农商银行守押寄库服务采购项目</w:t>
      </w:r>
      <w:r>
        <w:rPr>
          <w:rFonts w:hint="eastAsia" w:ascii="宋体" w:hAnsi="宋体" w:eastAsia="宋体" w:cs="宋体"/>
          <w:sz w:val="24"/>
          <w:highlight w:val="none"/>
        </w:rPr>
        <w:t>【招标编号：</w:t>
      </w:r>
      <w:r>
        <w:rPr>
          <w:rFonts w:hint="eastAsia" w:ascii="宋体" w:hAnsi="宋体" w:cs="宋体"/>
          <w:sz w:val="24"/>
          <w:highlight w:val="none"/>
          <w:lang w:eastAsia="zh-CN"/>
        </w:rPr>
        <w:t>CTJSCG-2024-001-1-1</w:t>
      </w:r>
      <w:r>
        <w:rPr>
          <w:rFonts w:hint="eastAsia" w:ascii="宋体" w:hAnsi="宋体" w:eastAsia="宋体" w:cs="宋体"/>
          <w:sz w:val="24"/>
          <w:highlight w:val="none"/>
        </w:rPr>
        <w:t>】招标的有关活动，并对此项目进行投标。为此：</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1、我方承诺投标有效期从提交磋商响应文件的截止之日起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天（不少于90天）</w:t>
      </w:r>
      <w:r>
        <w:rPr>
          <w:rFonts w:hint="eastAsia" w:ascii="宋体" w:hAnsi="宋体" w:eastAsia="宋体" w:cs="宋体"/>
          <w:highlight w:val="none"/>
        </w:rPr>
        <w:t>，</w:t>
      </w:r>
      <w:r>
        <w:rPr>
          <w:rFonts w:hint="eastAsia" w:ascii="宋体" w:hAnsi="宋体" w:eastAsia="宋体" w:cs="宋体"/>
          <w:sz w:val="24"/>
          <w:highlight w:val="none"/>
        </w:rPr>
        <w:t>本磋商响应文件在投标有效期满之前均具有约束力。</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2、我方的磋商响应文件包括以下内容：</w:t>
      </w:r>
    </w:p>
    <w:p>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2.1资格文件：</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2.1.1符合参加采购活动应当具备的一般条件的承诺函；</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cs="宋体"/>
          <w:sz w:val="24"/>
          <w:highlight w:val="none"/>
          <w:lang w:val="en-US" w:eastAsia="zh-CN"/>
        </w:rPr>
        <w:t>2</w:t>
      </w:r>
      <w:r>
        <w:rPr>
          <w:rFonts w:hint="eastAsia" w:ascii="宋体" w:hAnsi="宋体" w:eastAsia="宋体" w:cs="宋体"/>
          <w:sz w:val="24"/>
          <w:highlight w:val="none"/>
        </w:rPr>
        <w:t>本项目的特定资格要求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rPr>
      </w:pPr>
      <w:r>
        <w:rPr>
          <w:rFonts w:hint="eastAsia" w:ascii="宋体" w:hAnsi="宋体" w:eastAsia="宋体" w:cs="宋体"/>
          <w:sz w:val="24"/>
          <w:highlight w:val="none"/>
        </w:rPr>
        <w:t>2.1.</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rPr>
          <w:rFonts w:hint="eastAsia" w:ascii="宋体" w:hAnsi="宋体" w:eastAsia="宋体" w:cs="宋体"/>
          <w:sz w:val="24"/>
          <w:highlight w:val="none"/>
          <w:lang w:val="zh-CN"/>
        </w:rPr>
      </w:pPr>
      <w:r>
        <w:rPr>
          <w:rFonts w:hint="eastAsia" w:ascii="宋体" w:hAnsi="宋体" w:eastAsia="宋体" w:cs="宋体"/>
          <w:sz w:val="24"/>
          <w:highlight w:val="none"/>
        </w:rPr>
        <w:t>2</w:t>
      </w:r>
      <w:r>
        <w:rPr>
          <w:rFonts w:hint="eastAsia" w:ascii="宋体" w:hAnsi="宋体" w:eastAsia="宋体" w:cs="宋体"/>
          <w:sz w:val="24"/>
          <w:highlight w:val="none"/>
          <w:lang w:val="zh-CN"/>
        </w:rPr>
        <w:t>.</w:t>
      </w:r>
      <w:r>
        <w:rPr>
          <w:rFonts w:hint="eastAsia" w:ascii="宋体" w:hAnsi="宋体" w:eastAsia="宋体" w:cs="宋体"/>
          <w:sz w:val="24"/>
          <w:highlight w:val="none"/>
        </w:rPr>
        <w:t>2</w:t>
      </w:r>
      <w:r>
        <w:rPr>
          <w:rFonts w:hint="eastAsia" w:ascii="宋体" w:hAnsi="宋体" w:eastAsia="宋体" w:cs="宋体"/>
          <w:sz w:val="24"/>
          <w:highlight w:val="none"/>
          <w:lang w:val="zh-CN"/>
        </w:rPr>
        <w:t xml:space="preserve"> </w:t>
      </w:r>
      <w:r>
        <w:rPr>
          <w:rFonts w:hint="eastAsia" w:ascii="宋体" w:hAnsi="宋体" w:eastAsia="宋体" w:cs="宋体"/>
          <w:sz w:val="24"/>
          <w:highlight w:val="none"/>
        </w:rPr>
        <w:t>商务技术</w:t>
      </w:r>
      <w:r>
        <w:rPr>
          <w:rFonts w:hint="eastAsia" w:ascii="宋体" w:hAnsi="宋体" w:eastAsia="宋体" w:cs="宋体"/>
          <w:sz w:val="24"/>
          <w:highlight w:val="none"/>
          <w:lang w:val="zh-CN"/>
        </w:rPr>
        <w:t>文件：</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2.2.1磋商承诺函；</w:t>
      </w:r>
      <w:r>
        <w:rPr>
          <w:rFonts w:hint="eastAsia" w:ascii="宋体" w:hAnsi="宋体" w:eastAsia="宋体" w:cs="宋体"/>
          <w:sz w:val="24"/>
          <w:highlight w:val="none"/>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2.2.2授权委托书或法定代表人（单位负责人）身份证明；</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2.2.3符合性审查资料；</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2.2.4评标标准相应的商务技术资料；</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highlight w:val="none"/>
        </w:rPr>
      </w:pPr>
      <w:r>
        <w:rPr>
          <w:rFonts w:hint="eastAsia" w:ascii="宋体" w:hAnsi="宋体" w:eastAsia="宋体" w:cs="宋体"/>
          <w:sz w:val="24"/>
          <w:highlight w:val="none"/>
        </w:rPr>
        <w:t>2.2.5商务技术偏离表；</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2.2.6评分对应表；</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lang w:val="zh-CN"/>
        </w:rPr>
      </w:pPr>
      <w:r>
        <w:rPr>
          <w:rFonts w:hint="eastAsia" w:ascii="宋体" w:hAnsi="宋体" w:eastAsia="宋体" w:cs="宋体"/>
          <w:sz w:val="24"/>
          <w:highlight w:val="none"/>
        </w:rPr>
        <w:t>2</w:t>
      </w:r>
      <w:r>
        <w:rPr>
          <w:rFonts w:hint="eastAsia" w:ascii="宋体" w:hAnsi="宋体" w:eastAsia="宋体" w:cs="宋体"/>
          <w:sz w:val="24"/>
          <w:highlight w:val="none"/>
          <w:lang w:val="zh-CN"/>
        </w:rPr>
        <w:t>.</w:t>
      </w:r>
      <w:r>
        <w:rPr>
          <w:rFonts w:hint="eastAsia" w:ascii="宋体" w:hAnsi="宋体" w:eastAsia="宋体" w:cs="宋体"/>
          <w:sz w:val="24"/>
          <w:highlight w:val="none"/>
        </w:rPr>
        <w:t>2</w:t>
      </w:r>
      <w:r>
        <w:rPr>
          <w:rFonts w:hint="eastAsia" w:ascii="宋体" w:hAnsi="宋体" w:eastAsia="宋体" w:cs="宋体"/>
          <w:sz w:val="24"/>
          <w:highlight w:val="none"/>
          <w:lang w:val="zh-CN"/>
        </w:rPr>
        <w:t>.</w:t>
      </w:r>
      <w:r>
        <w:rPr>
          <w:rFonts w:hint="eastAsia" w:ascii="宋体" w:hAnsi="宋体" w:eastAsia="宋体" w:cs="宋体"/>
          <w:sz w:val="24"/>
          <w:highlight w:val="none"/>
        </w:rPr>
        <w:t>7</w:t>
      </w:r>
      <w:r>
        <w:rPr>
          <w:rFonts w:hint="eastAsia" w:ascii="宋体" w:hAnsi="宋体" w:eastAsia="宋体" w:cs="宋体"/>
          <w:sz w:val="24"/>
          <w:highlight w:val="none"/>
          <w:lang w:val="zh-CN"/>
        </w:rPr>
        <w:t>采购供应商廉洁自律承诺书；</w:t>
      </w:r>
    </w:p>
    <w:p>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zh-CN"/>
        </w:rPr>
        <w:t>.</w:t>
      </w:r>
      <w:r>
        <w:rPr>
          <w:rFonts w:hint="eastAsia" w:ascii="宋体" w:hAnsi="宋体" w:eastAsia="宋体" w:cs="宋体"/>
          <w:sz w:val="24"/>
          <w:highlight w:val="none"/>
        </w:rPr>
        <w:t>3报价文件</w:t>
      </w:r>
    </w:p>
    <w:p>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2.3.1开标一览表（报价表）；</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3、我方承诺除商务技术偏离表列出的偏离外，我方响应竞争性磋商文件的全部要求。</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4、如我方中标，我方承诺：</w:t>
      </w:r>
    </w:p>
    <w:p>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4.1在收到中标通知书后，在中标通知书规定的期限内与你方签订合同； </w:t>
      </w:r>
    </w:p>
    <w:p>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4.2在签订合同时不向你方提出附加条件；  </w:t>
      </w:r>
    </w:p>
    <w:p>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4.3在合同约定的期限内完成合同规定的全部义务。 </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5、其他补充说明: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adjustRightInd w:val="0"/>
        <w:spacing w:line="336" w:lineRule="auto"/>
        <w:ind w:firstLine="3840" w:firstLineChars="1600"/>
        <w:textAlignment w:val="auto"/>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盖章</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pPr>
        <w:keepNext w:val="0"/>
        <w:keepLines w:val="0"/>
        <w:pageBreakBefore w:val="0"/>
        <w:widowControl w:val="0"/>
        <w:kinsoku/>
        <w:wordWrap/>
        <w:overflowPunct/>
        <w:topLinePunct w:val="0"/>
        <w:autoSpaceDE/>
        <w:autoSpaceDN/>
        <w:bidi w:val="0"/>
        <w:adjustRightInd w:val="0"/>
        <w:spacing w:line="336" w:lineRule="auto"/>
        <w:ind w:firstLine="3840" w:firstLineChars="16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日期： </w:t>
      </w:r>
    </w:p>
    <w:p>
      <w:pPr>
        <w:rPr>
          <w:rFonts w:hint="eastAsia" w:ascii="宋体" w:hAnsi="宋体" w:eastAsia="宋体" w:cs="宋体"/>
          <w:b/>
          <w:kern w:val="0"/>
          <w:sz w:val="32"/>
          <w:szCs w:val="32"/>
          <w:highlight w:val="none"/>
          <w:lang w:val="zh-CN"/>
        </w:rPr>
      </w:pPr>
      <w:r>
        <w:rPr>
          <w:rFonts w:hint="eastAsia" w:ascii="宋体" w:hAnsi="宋体" w:eastAsia="宋体" w:cs="宋体"/>
          <w:b/>
          <w:kern w:val="0"/>
          <w:sz w:val="32"/>
          <w:szCs w:val="32"/>
          <w:highlight w:val="none"/>
          <w:lang w:val="zh-CN"/>
        </w:rPr>
        <w:br w:type="page"/>
      </w:r>
    </w:p>
    <w:p>
      <w:pPr>
        <w:rPr>
          <w:rFonts w:hint="eastAsia" w:ascii="宋体" w:hAnsi="宋体" w:eastAsia="宋体" w:cs="宋体"/>
          <w:b/>
          <w:kern w:val="0"/>
          <w:sz w:val="32"/>
          <w:szCs w:val="32"/>
          <w:highlight w:val="none"/>
          <w:lang w:val="zh-CN"/>
        </w:rPr>
      </w:pPr>
      <w:r>
        <w:rPr>
          <w:rFonts w:hint="eastAsia" w:ascii="宋体" w:hAnsi="宋体" w:eastAsia="宋体" w:cs="宋体"/>
          <w:b/>
          <w:kern w:val="0"/>
          <w:sz w:val="32"/>
          <w:szCs w:val="32"/>
          <w:highlight w:val="none"/>
          <w:lang w:val="zh-CN"/>
        </w:rPr>
        <w:t>二、授权委托书</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pPr>
        <w:snapToGrid w:val="0"/>
        <w:spacing w:line="360" w:lineRule="auto"/>
        <w:ind w:firstLine="3190" w:firstLineChars="993"/>
        <w:rPr>
          <w:rFonts w:hint="eastAsia" w:ascii="宋体" w:hAnsi="宋体" w:eastAsia="宋体" w:cs="宋体"/>
          <w:highlight w:val="none"/>
        </w:rPr>
      </w:pPr>
      <w:r>
        <w:rPr>
          <w:rFonts w:hint="eastAsia" w:ascii="宋体" w:hAnsi="宋体" w:eastAsia="宋体" w:cs="宋体"/>
          <w:b/>
          <w:kern w:val="0"/>
          <w:sz w:val="32"/>
          <w:szCs w:val="32"/>
          <w:highlight w:val="none"/>
          <w:lang w:val="zh-CN"/>
        </w:rPr>
        <w:t>授权委托书</w:t>
      </w:r>
      <w:r>
        <w:rPr>
          <w:rFonts w:hint="eastAsia" w:ascii="宋体" w:hAnsi="宋体" w:eastAsia="宋体" w:cs="宋体"/>
          <w:highlight w:val="none"/>
        </w:rPr>
        <w:t xml:space="preserve">                              </w:t>
      </w:r>
    </w:p>
    <w:p>
      <w:pPr>
        <w:snapToGrid w:val="0"/>
        <w:spacing w:line="360" w:lineRule="auto"/>
        <w:rPr>
          <w:rFonts w:hint="eastAsia" w:ascii="宋体" w:hAnsi="宋体" w:eastAsia="宋体" w:cs="宋体"/>
          <w:sz w:val="24"/>
          <w:highlight w:val="none"/>
        </w:rPr>
      </w:pPr>
      <w:r>
        <w:rPr>
          <w:rFonts w:hint="eastAsia" w:ascii="宋体" w:hAnsi="宋体" w:cs="宋体"/>
          <w:sz w:val="24"/>
          <w:highlight w:val="none"/>
          <w:lang w:eastAsia="zh-CN"/>
        </w:rPr>
        <w:t>浙江桐庐农村商业银行股份有限公司</w:t>
      </w:r>
      <w:r>
        <w:rPr>
          <w:rFonts w:hint="eastAsia" w:ascii="宋体" w:hAnsi="宋体" w:eastAsia="宋体" w:cs="宋体"/>
          <w:sz w:val="24"/>
          <w:highlight w:val="none"/>
        </w:rPr>
        <w:t>、</w:t>
      </w:r>
      <w:r>
        <w:rPr>
          <w:rFonts w:hint="eastAsia" w:ascii="宋体" w:hAnsi="宋体" w:cs="宋体"/>
          <w:sz w:val="24"/>
          <w:highlight w:val="none"/>
          <w:lang w:eastAsia="zh-CN"/>
        </w:rPr>
        <w:t>浙江承天建设工程管理有限公司</w:t>
      </w:r>
      <w:r>
        <w:rPr>
          <w:rFonts w:hint="eastAsia" w:ascii="宋体" w:hAnsi="宋体" w:eastAsia="宋体" w:cs="宋体"/>
          <w:sz w:val="24"/>
          <w:highlight w:val="none"/>
          <w:lang w:val="zh-CN"/>
        </w:rPr>
        <w:t>：</w:t>
      </w:r>
    </w:p>
    <w:p>
      <w:pPr>
        <w:snapToGrid w:val="0"/>
        <w:spacing w:line="360" w:lineRule="auto"/>
        <w:ind w:firstLine="576"/>
        <w:rPr>
          <w:rFonts w:hint="eastAsia" w:ascii="宋体" w:hAnsi="宋体" w:eastAsia="宋体" w:cs="宋体"/>
          <w:kern w:val="0"/>
          <w:sz w:val="24"/>
          <w:highlight w:val="none"/>
        </w:rPr>
      </w:pPr>
      <w:r>
        <w:rPr>
          <w:rFonts w:hint="eastAsia" w:ascii="宋体" w:hAnsi="宋体" w:eastAsia="宋体" w:cs="宋体"/>
          <w:kern w:val="0"/>
          <w:sz w:val="24"/>
          <w:highlight w:val="none"/>
        </w:rPr>
        <w:t>现</w:t>
      </w:r>
      <w:r>
        <w:rPr>
          <w:rFonts w:hint="eastAsia" w:ascii="宋体" w:hAnsi="宋体" w:eastAsia="宋体" w:cs="宋体"/>
          <w:kern w:val="0"/>
          <w:sz w:val="24"/>
          <w:highlight w:val="none"/>
          <w:lang w:val="zh-CN"/>
        </w:rPr>
        <w:t>委托</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（姓名）为我方代理人（身份证号码：</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，手机：</w:t>
      </w:r>
      <w:r>
        <w:rPr>
          <w:rFonts w:hint="eastAsia" w:ascii="宋体" w:hAnsi="宋体" w:eastAsia="宋体" w:cs="宋体"/>
          <w:kern w:val="0"/>
          <w:sz w:val="24"/>
          <w:highlight w:val="none"/>
          <w:u w:val="single"/>
          <w:lang w:val="zh-CN"/>
        </w:rPr>
        <w:t xml:space="preserve">          </w:t>
      </w:r>
      <w:r>
        <w:rPr>
          <w:rFonts w:hint="eastAsia" w:ascii="宋体" w:hAnsi="宋体" w:eastAsia="宋体" w:cs="宋体"/>
          <w:kern w:val="0"/>
          <w:sz w:val="24"/>
          <w:highlight w:val="none"/>
          <w:lang w:val="zh-CN"/>
        </w:rPr>
        <w:t>），以我方名义处理</w:t>
      </w:r>
      <w:r>
        <w:rPr>
          <w:rFonts w:hint="eastAsia" w:ascii="宋体" w:hAnsi="宋体" w:eastAsia="宋体" w:cs="宋体"/>
          <w:kern w:val="0"/>
          <w:sz w:val="24"/>
          <w:highlight w:val="none"/>
          <w:lang w:val="zh-CN" w:eastAsia="zh-CN"/>
        </w:rPr>
        <w:t>桐庐农商银行守押寄库服务采购项目</w:t>
      </w:r>
      <w:r>
        <w:rPr>
          <w:rFonts w:hint="eastAsia" w:ascii="宋体" w:hAnsi="宋体" w:eastAsia="宋体" w:cs="宋体"/>
          <w:kern w:val="0"/>
          <w:sz w:val="24"/>
          <w:highlight w:val="none"/>
          <w:lang w:val="zh-CN"/>
        </w:rPr>
        <w:t>【招标编号：</w:t>
      </w:r>
      <w:r>
        <w:rPr>
          <w:rFonts w:hint="eastAsia" w:ascii="宋体" w:hAnsi="宋体" w:eastAsia="宋体" w:cs="宋体"/>
          <w:kern w:val="0"/>
          <w:sz w:val="24"/>
          <w:highlight w:val="none"/>
          <w:lang w:val="zh-CN" w:eastAsia="zh-CN"/>
        </w:rPr>
        <w:t>CTJSCG-2024-001-1-1</w:t>
      </w:r>
      <w:r>
        <w:rPr>
          <w:rFonts w:hint="eastAsia" w:ascii="宋体" w:hAnsi="宋体" w:eastAsia="宋体" w:cs="宋体"/>
          <w:kern w:val="0"/>
          <w:sz w:val="24"/>
          <w:highlight w:val="none"/>
          <w:lang w:val="zh-CN"/>
        </w:rPr>
        <w:t>】采购投标的一切事项，其法律后果由我方承担。</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委托期限</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自</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日起至</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日止。</w:t>
      </w:r>
    </w:p>
    <w:p>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特此告知。</w:t>
      </w:r>
    </w:p>
    <w:p>
      <w:pPr>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lang w:val="zh-CN"/>
        </w:rPr>
        <w:t xml:space="preserve">                                               </w:t>
      </w:r>
    </w:p>
    <w:p>
      <w:pPr>
        <w:snapToGrid w:val="0"/>
        <w:spacing w:line="360"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法人身份证</w:t>
      </w:r>
    </w:p>
    <w:tbl>
      <w:tblPr>
        <w:tblStyle w:val="2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207" w:type="dxa"/>
          </w:tcPr>
          <w:p>
            <w:pPr>
              <w:pStyle w:val="47"/>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pPr>
              <w:pStyle w:val="47"/>
              <w:adjustRightInd w:val="0"/>
              <w:spacing w:line="360" w:lineRule="auto"/>
              <w:rPr>
                <w:rFonts w:hint="eastAsia" w:ascii="宋体" w:hAnsi="宋体" w:eastAsia="宋体" w:cs="宋体"/>
                <w:bCs/>
                <w:sz w:val="24"/>
              </w:rPr>
            </w:pP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firstLine="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代理人身份证</w:t>
      </w:r>
    </w:p>
    <w:tbl>
      <w:tblPr>
        <w:tblStyle w:val="2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207" w:type="dxa"/>
          </w:tcPr>
          <w:p>
            <w:pPr>
              <w:pStyle w:val="47"/>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pPr>
              <w:pStyle w:val="47"/>
              <w:adjustRightInd w:val="0"/>
              <w:spacing w:line="360" w:lineRule="auto"/>
              <w:rPr>
                <w:rFonts w:hint="eastAsia" w:ascii="宋体" w:hAnsi="宋体" w:eastAsia="宋体" w:cs="宋体"/>
                <w:bCs/>
                <w:sz w:val="24"/>
              </w:rPr>
            </w:pPr>
          </w:p>
        </w:tc>
      </w:tr>
    </w:tbl>
    <w:p>
      <w:pPr>
        <w:snapToGrid w:val="0"/>
        <w:spacing w:line="360" w:lineRule="auto"/>
        <w:ind w:firstLine="576"/>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p>
    <w:p>
      <w:pPr>
        <w:spacing w:line="360" w:lineRule="auto"/>
        <w:ind w:firstLine="3840" w:firstLineChars="1600"/>
        <w:jc w:val="both"/>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盖章</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pPr>
        <w:spacing w:line="360" w:lineRule="auto"/>
        <w:ind w:firstLine="3840" w:firstLineChars="1600"/>
        <w:jc w:val="both"/>
        <w:rPr>
          <w:rFonts w:hint="eastAsia" w:ascii="宋体" w:hAnsi="宋体" w:eastAsia="宋体" w:cs="宋体"/>
          <w:sz w:val="24"/>
          <w:highlight w:val="none"/>
        </w:rPr>
      </w:pPr>
      <w:r>
        <w:rPr>
          <w:rFonts w:hint="eastAsia" w:ascii="宋体" w:hAnsi="宋体" w:eastAsia="宋体" w:cs="宋体"/>
          <w:sz w:val="24"/>
          <w:highlight w:val="none"/>
        </w:rPr>
        <w:t xml:space="preserve">日期： </w:t>
      </w:r>
    </w:p>
    <w:p>
      <w:pPr>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lang w:val="zh-CN"/>
        </w:rPr>
        <w:t xml:space="preserve">  </w:t>
      </w:r>
    </w:p>
    <w:p>
      <w:pPr>
        <w:snapToGrid w:val="0"/>
        <w:spacing w:line="360" w:lineRule="auto"/>
        <w:rPr>
          <w:rFonts w:hint="eastAsia" w:ascii="宋体" w:hAnsi="宋体" w:eastAsia="宋体" w:cs="宋体"/>
          <w:sz w:val="24"/>
          <w:highlight w:val="none"/>
        </w:rPr>
      </w:pPr>
    </w:p>
    <w:p>
      <w:pPr>
        <w:rPr>
          <w:rFonts w:hint="eastAsia" w:ascii="宋体" w:hAnsi="宋体" w:eastAsia="宋体" w:cs="宋体"/>
          <w:highlight w:val="none"/>
          <w:lang w:val="zh-CN"/>
        </w:rPr>
      </w:pPr>
    </w:p>
    <w:p>
      <w:pPr>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三、符合性审查资料</w:t>
      </w:r>
    </w:p>
    <w:p>
      <w:pPr>
        <w:jc w:val="center"/>
        <w:rPr>
          <w:rFonts w:hint="eastAsia" w:ascii="宋体" w:hAnsi="宋体" w:eastAsia="宋体" w:cs="宋体"/>
          <w:b/>
          <w:kern w:val="0"/>
          <w:sz w:val="32"/>
          <w:szCs w:val="32"/>
          <w:highlight w:val="none"/>
        </w:rPr>
      </w:pPr>
    </w:p>
    <w:tbl>
      <w:tblPr>
        <w:tblStyle w:val="2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800"/>
        <w:gridCol w:w="37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3800" w:type="dxa"/>
            <w:vAlign w:val="center"/>
          </w:tcPr>
          <w:p>
            <w:pPr>
              <w:snapToGrid w:val="0"/>
              <w:spacing w:line="24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实质性要求</w:t>
            </w:r>
          </w:p>
        </w:tc>
        <w:tc>
          <w:tcPr>
            <w:tcW w:w="3742" w:type="dxa"/>
            <w:vAlign w:val="center"/>
          </w:tcPr>
          <w:p>
            <w:pPr>
              <w:snapToGrid w:val="0"/>
              <w:spacing w:line="24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需要提供的符合性审查资料</w:t>
            </w:r>
          </w:p>
        </w:tc>
        <w:tc>
          <w:tcPr>
            <w:tcW w:w="1418" w:type="dxa"/>
            <w:vAlign w:val="center"/>
          </w:tcPr>
          <w:p>
            <w:pPr>
              <w:snapToGrid w:val="0"/>
              <w:spacing w:line="24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磋商响应文件中的</w:t>
            </w:r>
          </w:p>
          <w:p>
            <w:pPr>
              <w:snapToGrid w:val="0"/>
              <w:spacing w:line="240" w:lineRule="atLeast"/>
              <w:jc w:val="center"/>
              <w:rPr>
                <w:rFonts w:hint="eastAsia" w:ascii="宋体" w:hAnsi="宋体" w:eastAsia="宋体" w:cs="宋体"/>
                <w:b/>
                <w:sz w:val="24"/>
                <w:highlight w:val="none"/>
              </w:rPr>
            </w:pPr>
            <w:r>
              <w:rPr>
                <w:rFonts w:hint="eastAsia" w:ascii="宋体" w:hAnsi="宋体" w:eastAsia="宋体" w:cs="宋体"/>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800"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磋商响应文件按照竞争性磋商文件要求签署、盖章。</w:t>
            </w:r>
          </w:p>
        </w:tc>
        <w:tc>
          <w:tcPr>
            <w:tcW w:w="3742"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需要使用签字盖章的磋商响应文件的组成部分</w:t>
            </w:r>
          </w:p>
        </w:tc>
        <w:tc>
          <w:tcPr>
            <w:tcW w:w="1418"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见磋商响应文件第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800"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磋商响应文件中承诺的投标有效期不少于竞争性磋商文件中载明的投标有效期。</w:t>
            </w:r>
          </w:p>
        </w:tc>
        <w:tc>
          <w:tcPr>
            <w:tcW w:w="3742"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磋商承诺函</w:t>
            </w:r>
          </w:p>
        </w:tc>
        <w:tc>
          <w:tcPr>
            <w:tcW w:w="1418"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见磋商响应文件第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800"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磋商响应文件满足竞争性磋商文件的其它实质性要求。</w:t>
            </w:r>
          </w:p>
        </w:tc>
        <w:tc>
          <w:tcPr>
            <w:tcW w:w="3742" w:type="dxa"/>
            <w:vAlign w:val="center"/>
          </w:tcPr>
          <w:p>
            <w:pPr>
              <w:jc w:val="center"/>
              <w:rPr>
                <w:rFonts w:hint="eastAsia" w:ascii="宋体" w:hAnsi="宋体" w:eastAsia="宋体" w:cs="宋体"/>
                <w:sz w:val="24"/>
                <w:highlight w:val="none"/>
              </w:rPr>
            </w:pPr>
            <w:r>
              <w:rPr>
                <w:rFonts w:hint="eastAsia" w:ascii="宋体" w:hAnsi="宋体" w:eastAsia="宋体" w:cs="宋体"/>
                <w:kern w:val="0"/>
                <w:sz w:val="24"/>
                <w:highlight w:val="none"/>
              </w:rPr>
              <w:t>竞争性磋商文件其它实质性要求相应的材料（“▲” 系指实质性要求条款，竞争性磋商文件无其它实质性要求的，无需提供）</w:t>
            </w:r>
          </w:p>
        </w:tc>
        <w:tc>
          <w:tcPr>
            <w:tcW w:w="1418"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见磋商响应文件第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页</w:t>
            </w:r>
          </w:p>
        </w:tc>
      </w:tr>
    </w:tbl>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 xml:space="preserve">            </w:t>
      </w: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pPr>
        <w:jc w:val="center"/>
        <w:rPr>
          <w:rFonts w:hint="eastAsia" w:ascii="宋体" w:hAnsi="宋体" w:eastAsia="宋体" w:cs="宋体"/>
          <w:highlight w:val="none"/>
        </w:rPr>
      </w:pPr>
      <w:r>
        <w:rPr>
          <w:rFonts w:hint="eastAsia" w:ascii="宋体" w:hAnsi="宋体" w:eastAsia="宋体" w:cs="宋体"/>
          <w:b/>
          <w:kern w:val="0"/>
          <w:sz w:val="32"/>
          <w:szCs w:val="32"/>
          <w:highlight w:val="none"/>
        </w:rPr>
        <w:t>四、评标标准相应的商务技术资料</w:t>
      </w:r>
    </w:p>
    <w:p>
      <w:pPr>
        <w:snapToGrid w:val="0"/>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（按竞争性磋商文件第四部分评标办法前附表中“磋商响应文件中评标标准相应的商务技术资料目录”提供资料）</w:t>
      </w:r>
    </w:p>
    <w:p>
      <w:pPr>
        <w:jc w:val="center"/>
        <w:rPr>
          <w:rFonts w:hint="eastAsia" w:ascii="宋体" w:hAnsi="宋体" w:eastAsia="宋体" w:cs="宋体"/>
          <w:b/>
          <w:kern w:val="0"/>
          <w:sz w:val="32"/>
          <w:szCs w:val="32"/>
          <w:highlight w:val="none"/>
        </w:rPr>
      </w:pPr>
    </w:p>
    <w:p>
      <w:pPr>
        <w:spacing w:line="440" w:lineRule="exact"/>
        <w:rPr>
          <w:rFonts w:hint="eastAsia" w:ascii="宋体" w:hAnsi="宋体" w:eastAsia="宋体" w:cs="宋体"/>
          <w:sz w:val="24"/>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pStyle w:val="2"/>
        <w:numPr>
          <w:ilvl w:val="1"/>
          <w:numId w:val="0"/>
        </w:num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napToGrid w:val="0"/>
        <w:spacing w:before="50" w:after="5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五、评分对应表</w:t>
      </w:r>
    </w:p>
    <w:p>
      <w:pPr>
        <w:snapToGrid w:val="0"/>
        <w:spacing w:before="50"/>
        <w:jc w:val="center"/>
        <w:rPr>
          <w:rFonts w:hint="eastAsia" w:ascii="宋体" w:hAnsi="宋体" w:eastAsia="宋体" w:cs="宋体"/>
          <w:b/>
          <w:sz w:val="24"/>
          <w:highlight w:val="none"/>
        </w:rPr>
      </w:pPr>
    </w:p>
    <w:p>
      <w:pPr>
        <w:pStyle w:val="16"/>
        <w:keepNext w:val="0"/>
        <w:keepLines w:val="0"/>
        <w:pageBreakBefore w:val="0"/>
        <w:widowControl w:val="0"/>
        <w:kinsoku/>
        <w:wordWrap/>
        <w:overflowPunct/>
        <w:topLinePunct w:val="0"/>
        <w:autoSpaceDE/>
        <w:autoSpaceDN/>
        <w:bidi w:val="0"/>
        <w:adjustRightInd w:val="0"/>
        <w:snapToGrid w:val="0"/>
        <w:spacing w:after="157" w:afterLines="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供应商全称（公章）：             </w:t>
      </w:r>
    </w:p>
    <w:tbl>
      <w:tblPr>
        <w:tblStyle w:val="29"/>
        <w:tblW w:w="87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响应文件对应资料</w:t>
            </w:r>
          </w:p>
        </w:tc>
        <w:tc>
          <w:tcPr>
            <w:tcW w:w="181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响应文件页码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对应竞争性磋商文件中评分细则中的评分标准（报价除外）</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24"/>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24"/>
                <w:highlight w:val="none"/>
              </w:rPr>
            </w:pPr>
            <w:r>
              <w:rPr>
                <w:rFonts w:hint="eastAsia" w:ascii="宋体" w:hAnsi="宋体" w:eastAsia="宋体" w:cs="宋体"/>
                <w:sz w:val="24"/>
                <w:highlight w:val="none"/>
              </w:rPr>
              <w:t>……</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24"/>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30"/>
                <w:szCs w:val="30"/>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hint="eastAsia" w:ascii="宋体" w:hAnsi="宋体" w:eastAsia="宋体" w:cs="宋体"/>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30"/>
                <w:szCs w:val="30"/>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hint="eastAsia" w:ascii="宋体" w:hAnsi="宋体" w:eastAsia="宋体" w:cs="宋体"/>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30"/>
                <w:szCs w:val="30"/>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30"/>
                <w:szCs w:val="30"/>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30"/>
                <w:szCs w:val="30"/>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30"/>
                <w:szCs w:val="30"/>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eastAsia="宋体" w:cs="宋体"/>
                <w:sz w:val="30"/>
                <w:szCs w:val="30"/>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c>
          <w:tcPr>
            <w:tcW w:w="1814" w:type="dxa"/>
            <w:tcBorders>
              <w:top w:val="single" w:color="auto" w:sz="4" w:space="0"/>
              <w:left w:val="single" w:color="auto" w:sz="4" w:space="0"/>
              <w:bottom w:val="single" w:color="auto" w:sz="4" w:space="0"/>
              <w:right w:val="single" w:color="auto" w:sz="4" w:space="0"/>
            </w:tcBorders>
          </w:tcPr>
          <w:p>
            <w:pPr>
              <w:snapToGrid w:val="0"/>
              <w:spacing w:before="120" w:beforeLines="50"/>
              <w:rPr>
                <w:rFonts w:hint="eastAsia" w:ascii="宋体" w:hAnsi="宋体" w:eastAsia="宋体" w:cs="宋体"/>
                <w:sz w:val="30"/>
                <w:szCs w:val="30"/>
                <w:highlight w:val="none"/>
              </w:rPr>
            </w:pPr>
          </w:p>
        </w:tc>
      </w:tr>
    </w:tbl>
    <w:p>
      <w:pPr>
        <w:spacing w:line="440" w:lineRule="exact"/>
        <w:jc w:val="center"/>
        <w:rPr>
          <w:rFonts w:hint="eastAsia" w:ascii="宋体" w:hAnsi="宋体" w:eastAsia="宋体" w:cs="宋体"/>
          <w:b/>
          <w:sz w:val="28"/>
          <w:szCs w:val="28"/>
          <w:highlight w:val="none"/>
        </w:rPr>
      </w:pPr>
    </w:p>
    <w:p>
      <w:pPr>
        <w:spacing w:line="440" w:lineRule="exact"/>
        <w:jc w:val="center"/>
        <w:rPr>
          <w:rFonts w:hint="eastAsia" w:ascii="宋体" w:hAnsi="宋体" w:eastAsia="宋体" w:cs="宋体"/>
          <w:b/>
          <w:sz w:val="28"/>
          <w:szCs w:val="28"/>
          <w:highlight w:val="none"/>
        </w:rPr>
      </w:pPr>
    </w:p>
    <w:p>
      <w:pPr>
        <w:spacing w:line="440" w:lineRule="exact"/>
        <w:jc w:val="center"/>
        <w:rPr>
          <w:rFonts w:hint="eastAsia" w:ascii="宋体" w:hAnsi="宋体" w:eastAsia="宋体" w:cs="宋体"/>
          <w:b/>
          <w:sz w:val="28"/>
          <w:szCs w:val="28"/>
          <w:highlight w:val="none"/>
        </w:rPr>
      </w:pPr>
    </w:p>
    <w:p>
      <w:pPr>
        <w:spacing w:line="440" w:lineRule="exact"/>
        <w:jc w:val="center"/>
        <w:rPr>
          <w:rFonts w:hint="eastAsia" w:ascii="宋体" w:hAnsi="宋体" w:eastAsia="宋体" w:cs="宋体"/>
          <w:b/>
          <w:sz w:val="28"/>
          <w:szCs w:val="28"/>
          <w:highlight w:val="none"/>
        </w:rPr>
      </w:pPr>
    </w:p>
    <w:p>
      <w:pPr>
        <w:spacing w:line="440" w:lineRule="exact"/>
        <w:jc w:val="center"/>
        <w:rPr>
          <w:rFonts w:hint="eastAsia" w:ascii="宋体" w:hAnsi="宋体" w:eastAsia="宋体" w:cs="宋体"/>
          <w:b/>
          <w:sz w:val="28"/>
          <w:szCs w:val="28"/>
          <w:highlight w:val="none"/>
        </w:rPr>
      </w:pPr>
    </w:p>
    <w:p>
      <w:pPr>
        <w:spacing w:line="440" w:lineRule="exact"/>
        <w:jc w:val="center"/>
        <w:rPr>
          <w:rFonts w:hint="eastAsia" w:ascii="宋体" w:hAnsi="宋体" w:eastAsia="宋体" w:cs="宋体"/>
          <w:b/>
          <w:sz w:val="28"/>
          <w:szCs w:val="28"/>
          <w:highlight w:val="none"/>
        </w:rPr>
      </w:pPr>
    </w:p>
    <w:p>
      <w:pPr>
        <w:spacing w:line="440" w:lineRule="exact"/>
        <w:jc w:val="center"/>
        <w:rPr>
          <w:rFonts w:hint="eastAsia" w:ascii="宋体" w:hAnsi="宋体" w:eastAsia="宋体" w:cs="宋体"/>
          <w:b/>
          <w:sz w:val="28"/>
          <w:szCs w:val="28"/>
          <w:highlight w:val="none"/>
        </w:rPr>
      </w:pPr>
    </w:p>
    <w:p>
      <w:pPr>
        <w:spacing w:line="440" w:lineRule="exact"/>
        <w:rPr>
          <w:rFonts w:hint="eastAsia" w:ascii="宋体" w:hAnsi="宋体" w:eastAsia="宋体" w:cs="宋体"/>
          <w:b/>
          <w:sz w:val="28"/>
          <w:szCs w:val="28"/>
          <w:highlight w:val="none"/>
        </w:rPr>
      </w:pPr>
    </w:p>
    <w:p>
      <w:pPr>
        <w:pStyle w:val="2"/>
        <w:numPr>
          <w:ilvl w:val="1"/>
          <w:numId w:val="0"/>
        </w:numPr>
        <w:rPr>
          <w:rFonts w:hint="eastAsia" w:ascii="宋体" w:hAnsi="宋体" w:eastAsia="宋体" w:cs="宋体"/>
          <w:highlight w:val="none"/>
        </w:rPr>
      </w:pPr>
    </w:p>
    <w:p>
      <w:pPr>
        <w:pStyle w:val="17"/>
        <w:rPr>
          <w:rFonts w:hint="eastAsia" w:ascii="宋体" w:hAnsi="宋体" w:eastAsia="宋体" w:cs="宋体"/>
          <w:highlight w:val="none"/>
        </w:rPr>
      </w:pPr>
    </w:p>
    <w:p>
      <w:pPr>
        <w:spacing w:line="440" w:lineRule="exact"/>
        <w:jc w:val="left"/>
        <w:rPr>
          <w:rFonts w:hint="eastAsia" w:ascii="宋体" w:hAnsi="宋体" w:eastAsia="宋体" w:cs="宋体"/>
          <w:sz w:val="24"/>
          <w:highlight w:val="none"/>
        </w:rPr>
      </w:pPr>
    </w:p>
    <w:p>
      <w:pPr>
        <w:pStyle w:val="17"/>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val="0"/>
        <w:snapToGrid/>
        <w:spacing w:after="157" w:afterLines="50"/>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六、商务技术偏离表</w:t>
      </w:r>
    </w:p>
    <w:tbl>
      <w:tblPr>
        <w:tblStyle w:val="3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3683"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竞争性磋商文件章节及具体内容</w:t>
            </w:r>
          </w:p>
        </w:tc>
        <w:tc>
          <w:tcPr>
            <w:tcW w:w="3546"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磋商响应文件章节及具体内容</w:t>
            </w:r>
          </w:p>
        </w:tc>
        <w:tc>
          <w:tcPr>
            <w:tcW w:w="1276"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3683" w:type="dxa"/>
            <w:vAlign w:val="top"/>
          </w:tcPr>
          <w:p>
            <w:pPr>
              <w:jc w:val="center"/>
              <w:rPr>
                <w:rFonts w:hint="eastAsia" w:ascii="宋体" w:hAnsi="宋体" w:eastAsia="宋体" w:cs="宋体"/>
                <w:b/>
                <w:kern w:val="0"/>
                <w:sz w:val="32"/>
                <w:szCs w:val="32"/>
                <w:highlight w:val="none"/>
              </w:rPr>
            </w:pPr>
          </w:p>
        </w:tc>
        <w:tc>
          <w:tcPr>
            <w:tcW w:w="3546" w:type="dxa"/>
          </w:tcPr>
          <w:p>
            <w:pPr>
              <w:jc w:val="center"/>
              <w:rPr>
                <w:rFonts w:hint="eastAsia" w:ascii="宋体" w:hAnsi="宋体" w:eastAsia="宋体" w:cs="宋体"/>
                <w:b/>
                <w:kern w:val="0"/>
                <w:sz w:val="32"/>
                <w:szCs w:val="32"/>
                <w:highlight w:val="none"/>
              </w:rPr>
            </w:pPr>
          </w:p>
        </w:tc>
        <w:tc>
          <w:tcPr>
            <w:tcW w:w="1276" w:type="dxa"/>
          </w:tcPr>
          <w:p>
            <w:pPr>
              <w:jc w:val="center"/>
              <w:rPr>
                <w:rFonts w:hint="eastAsia" w:ascii="宋体" w:hAnsi="宋体" w:eastAsia="宋体" w:cs="宋体"/>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3683" w:type="dxa"/>
            <w:vAlign w:val="top"/>
          </w:tcPr>
          <w:p>
            <w:pPr>
              <w:jc w:val="center"/>
              <w:rPr>
                <w:rFonts w:hint="eastAsia" w:ascii="宋体" w:hAnsi="宋体" w:eastAsia="宋体" w:cs="宋体"/>
                <w:b/>
                <w:kern w:val="0"/>
                <w:sz w:val="32"/>
                <w:szCs w:val="32"/>
                <w:highlight w:val="none"/>
              </w:rPr>
            </w:pPr>
          </w:p>
        </w:tc>
        <w:tc>
          <w:tcPr>
            <w:tcW w:w="3546" w:type="dxa"/>
          </w:tcPr>
          <w:p>
            <w:pPr>
              <w:jc w:val="center"/>
              <w:rPr>
                <w:rFonts w:hint="eastAsia" w:ascii="宋体" w:hAnsi="宋体" w:eastAsia="宋体" w:cs="宋体"/>
                <w:b/>
                <w:kern w:val="0"/>
                <w:sz w:val="32"/>
                <w:szCs w:val="32"/>
                <w:highlight w:val="none"/>
              </w:rPr>
            </w:pPr>
          </w:p>
        </w:tc>
        <w:tc>
          <w:tcPr>
            <w:tcW w:w="1276" w:type="dxa"/>
          </w:tcPr>
          <w:p>
            <w:pPr>
              <w:jc w:val="center"/>
              <w:rPr>
                <w:rFonts w:hint="eastAsia" w:ascii="宋体" w:hAnsi="宋体" w:eastAsia="宋体" w:cs="宋体"/>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3683" w:type="dxa"/>
            <w:vAlign w:val="top"/>
          </w:tcPr>
          <w:p>
            <w:pPr>
              <w:jc w:val="center"/>
              <w:rPr>
                <w:rFonts w:hint="eastAsia" w:ascii="宋体" w:hAnsi="宋体" w:eastAsia="宋体" w:cs="宋体"/>
                <w:b/>
                <w:kern w:val="0"/>
                <w:sz w:val="32"/>
                <w:szCs w:val="32"/>
                <w:highlight w:val="none"/>
              </w:rPr>
            </w:pPr>
          </w:p>
        </w:tc>
        <w:tc>
          <w:tcPr>
            <w:tcW w:w="3546" w:type="dxa"/>
          </w:tcPr>
          <w:p>
            <w:pPr>
              <w:jc w:val="center"/>
              <w:rPr>
                <w:rFonts w:hint="eastAsia" w:ascii="宋体" w:hAnsi="宋体" w:eastAsia="宋体" w:cs="宋体"/>
                <w:b/>
                <w:kern w:val="0"/>
                <w:sz w:val="32"/>
                <w:szCs w:val="32"/>
                <w:highlight w:val="none"/>
              </w:rPr>
            </w:pPr>
          </w:p>
        </w:tc>
        <w:tc>
          <w:tcPr>
            <w:tcW w:w="1276" w:type="dxa"/>
          </w:tcPr>
          <w:p>
            <w:pPr>
              <w:jc w:val="center"/>
              <w:rPr>
                <w:rFonts w:hint="eastAsia" w:ascii="宋体" w:hAnsi="宋体" w:eastAsia="宋体" w:cs="宋体"/>
                <w:b/>
                <w:kern w:val="0"/>
                <w:sz w:val="32"/>
                <w:szCs w:val="32"/>
                <w:highlight w:val="none"/>
              </w:rPr>
            </w:pPr>
          </w:p>
        </w:tc>
      </w:tr>
    </w:tbl>
    <w:p>
      <w:pPr>
        <w:keepNext w:val="0"/>
        <w:keepLines w:val="0"/>
        <w:pageBreakBefore w:val="0"/>
        <w:widowControl w:val="0"/>
        <w:kinsoku/>
        <w:wordWrap/>
        <w:overflowPunct/>
        <w:topLinePunct w:val="0"/>
        <w:autoSpaceDE/>
        <w:autoSpaceDN/>
        <w:bidi w:val="0"/>
        <w:adjustRightInd w:val="0"/>
        <w:snapToGrid/>
        <w:spacing w:before="157" w:beforeLines="50"/>
        <w:jc w:val="left"/>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供应商保证：除商务技术偏离表列出的偏离外，供应商响应竞争性磋商文件的全部要求</w:t>
      </w:r>
      <w:r>
        <w:rPr>
          <w:rFonts w:hint="eastAsia" w:ascii="宋体" w:hAnsi="宋体" w:cs="宋体"/>
          <w:kern w:val="0"/>
          <w:sz w:val="24"/>
          <w:highlight w:val="none"/>
          <w:lang w:eastAsia="zh-CN"/>
        </w:rPr>
        <w:t>。</w:t>
      </w: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jc w:val="center"/>
        <w:rPr>
          <w:rFonts w:hint="eastAsia" w:ascii="宋体" w:hAnsi="宋体" w:eastAsia="宋体" w:cs="宋体"/>
          <w:b/>
          <w:kern w:val="0"/>
          <w:sz w:val="32"/>
          <w:szCs w:val="32"/>
          <w:highlight w:val="none"/>
        </w:rPr>
      </w:pPr>
    </w:p>
    <w:p>
      <w:pPr>
        <w:ind w:firstLine="2891" w:firstLineChars="900"/>
        <w:rPr>
          <w:rFonts w:hint="eastAsia" w:ascii="宋体" w:hAnsi="宋体" w:eastAsia="宋体" w:cs="宋体"/>
          <w:b/>
          <w:bCs/>
          <w:sz w:val="32"/>
          <w:szCs w:val="32"/>
          <w:highlight w:val="none"/>
        </w:rPr>
      </w:pPr>
    </w:p>
    <w:p>
      <w:pPr>
        <w:ind w:firstLine="2891" w:firstLineChars="900"/>
        <w:rPr>
          <w:rFonts w:hint="eastAsia" w:ascii="宋体" w:hAnsi="宋体" w:eastAsia="宋体" w:cs="宋体"/>
          <w:b/>
          <w:bCs/>
          <w:sz w:val="32"/>
          <w:szCs w:val="32"/>
          <w:highlight w:val="none"/>
        </w:rPr>
      </w:pPr>
    </w:p>
    <w:p>
      <w:pPr>
        <w:ind w:firstLine="2891" w:firstLineChars="900"/>
        <w:rPr>
          <w:rFonts w:hint="eastAsia" w:ascii="宋体" w:hAnsi="宋体" w:eastAsia="宋体" w:cs="宋体"/>
          <w:b/>
          <w:bCs/>
          <w:sz w:val="32"/>
          <w:szCs w:val="32"/>
          <w:highlight w:val="none"/>
        </w:rPr>
      </w:pPr>
    </w:p>
    <w:p>
      <w:pPr>
        <w:ind w:firstLine="2891" w:firstLineChars="900"/>
        <w:rPr>
          <w:rFonts w:hint="eastAsia" w:ascii="宋体" w:hAnsi="宋体" w:eastAsia="宋体" w:cs="宋体"/>
          <w:b/>
          <w:bCs/>
          <w:sz w:val="32"/>
          <w:szCs w:val="32"/>
          <w:highlight w:val="none"/>
        </w:rPr>
      </w:pPr>
    </w:p>
    <w:p>
      <w:pPr>
        <w:ind w:firstLine="2891" w:firstLineChars="900"/>
        <w:rPr>
          <w:rFonts w:hint="eastAsia" w:ascii="宋体" w:hAnsi="宋体" w:eastAsia="宋体" w:cs="宋体"/>
          <w:b/>
          <w:bCs/>
          <w:sz w:val="32"/>
          <w:szCs w:val="32"/>
          <w:highlight w:val="none"/>
        </w:rPr>
      </w:pPr>
    </w:p>
    <w:p>
      <w:pPr>
        <w:ind w:firstLine="2891" w:firstLineChars="900"/>
        <w:rPr>
          <w:rFonts w:hint="eastAsia" w:ascii="宋体" w:hAnsi="宋体" w:eastAsia="宋体" w:cs="宋体"/>
          <w:b/>
          <w:bCs/>
          <w:sz w:val="32"/>
          <w:szCs w:val="32"/>
          <w:highlight w:val="none"/>
        </w:rPr>
      </w:pPr>
    </w:p>
    <w:p>
      <w:pPr>
        <w:ind w:firstLine="2891" w:firstLineChars="900"/>
        <w:rPr>
          <w:rFonts w:hint="eastAsia" w:ascii="宋体" w:hAnsi="宋体" w:eastAsia="宋体" w:cs="宋体"/>
          <w:b/>
          <w:kern w:val="0"/>
          <w:sz w:val="32"/>
          <w:szCs w:val="32"/>
          <w:highlight w:val="none"/>
        </w:rPr>
      </w:pPr>
    </w:p>
    <w:p>
      <w:pPr>
        <w:ind w:firstLine="2891" w:firstLineChars="900"/>
        <w:rPr>
          <w:rFonts w:hint="eastAsia" w:ascii="宋体" w:hAnsi="宋体" w:eastAsia="宋体" w:cs="宋体"/>
          <w:b/>
          <w:kern w:val="0"/>
          <w:sz w:val="32"/>
          <w:szCs w:val="32"/>
          <w:highlight w:val="none"/>
        </w:rPr>
      </w:pPr>
    </w:p>
    <w:p>
      <w:pPr>
        <w:ind w:firstLine="2891" w:firstLineChars="900"/>
        <w:rPr>
          <w:rFonts w:hint="eastAsia" w:ascii="宋体" w:hAnsi="宋体" w:eastAsia="宋体" w:cs="宋体"/>
          <w:b/>
          <w:kern w:val="0"/>
          <w:sz w:val="32"/>
          <w:szCs w:val="32"/>
          <w:highlight w:val="none"/>
        </w:rPr>
      </w:pPr>
    </w:p>
    <w:p>
      <w:pPr>
        <w:rPr>
          <w:rFonts w:hint="eastAsia" w:ascii="宋体" w:hAnsi="宋体" w:eastAsia="宋体" w:cs="宋体"/>
          <w:highlight w:val="none"/>
        </w:rPr>
      </w:pPr>
    </w:p>
    <w:p>
      <w:pPr>
        <w:rPr>
          <w:rFonts w:hint="eastAsia" w:ascii="宋体" w:hAnsi="宋体" w:eastAsia="宋体" w:cs="宋体"/>
          <w:b/>
          <w:kern w:val="0"/>
          <w:sz w:val="32"/>
          <w:szCs w:val="32"/>
          <w:highlight w:val="none"/>
        </w:rPr>
      </w:pPr>
    </w:p>
    <w:p>
      <w:pPr>
        <w:ind w:firstLine="1911" w:firstLineChars="595"/>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七、</w:t>
      </w:r>
      <w:r>
        <w:rPr>
          <w:rFonts w:hint="eastAsia" w:ascii="宋体" w:hAnsi="宋体" w:eastAsia="宋体" w:cs="宋体"/>
          <w:b/>
          <w:kern w:val="0"/>
          <w:sz w:val="32"/>
          <w:szCs w:val="32"/>
          <w:highlight w:val="none"/>
          <w:lang w:val="zh-CN"/>
        </w:rPr>
        <w:t>采购供应商廉洁自律承诺书</w:t>
      </w:r>
    </w:p>
    <w:p>
      <w:pPr>
        <w:snapToGrid w:val="0"/>
        <w:spacing w:line="360" w:lineRule="auto"/>
        <w:rPr>
          <w:rFonts w:hint="eastAsia" w:ascii="宋体" w:hAnsi="宋体" w:eastAsia="宋体" w:cs="宋体"/>
          <w:sz w:val="24"/>
          <w:highlight w:val="none"/>
        </w:rPr>
      </w:pPr>
    </w:p>
    <w:p>
      <w:pPr>
        <w:snapToGrid w:val="0"/>
        <w:spacing w:line="360" w:lineRule="auto"/>
        <w:rPr>
          <w:rFonts w:hint="eastAsia" w:ascii="宋体" w:hAnsi="宋体" w:eastAsia="宋体" w:cs="宋体"/>
          <w:sz w:val="24"/>
          <w:highlight w:val="none"/>
        </w:rPr>
      </w:pPr>
      <w:r>
        <w:rPr>
          <w:rFonts w:hint="eastAsia" w:ascii="宋体" w:hAnsi="宋体" w:cs="宋体"/>
          <w:sz w:val="24"/>
          <w:highlight w:val="none"/>
          <w:lang w:eastAsia="zh-CN"/>
        </w:rPr>
        <w:t>浙江桐庐农村商业银行股份有限公司</w:t>
      </w:r>
      <w:r>
        <w:rPr>
          <w:rFonts w:hint="eastAsia" w:ascii="宋体" w:hAnsi="宋体" w:eastAsia="宋体" w:cs="宋体"/>
          <w:sz w:val="24"/>
          <w:highlight w:val="none"/>
        </w:rPr>
        <w:t>、</w:t>
      </w:r>
      <w:r>
        <w:rPr>
          <w:rFonts w:hint="eastAsia" w:ascii="宋体" w:hAnsi="宋体" w:cs="宋体"/>
          <w:sz w:val="24"/>
          <w:highlight w:val="none"/>
          <w:lang w:eastAsia="zh-CN"/>
        </w:rPr>
        <w:t>浙江承天建设工程管理有限公司</w:t>
      </w:r>
      <w:r>
        <w:rPr>
          <w:rFonts w:hint="eastAsia" w:ascii="宋体" w:hAnsi="宋体" w:eastAsia="宋体" w:cs="宋体"/>
          <w:sz w:val="24"/>
          <w:highlight w:val="none"/>
          <w:lang w:val="zh-CN"/>
        </w:rPr>
        <w:t>：</w:t>
      </w:r>
    </w:p>
    <w:p>
      <w:pPr>
        <w:autoSpaceDE w:val="0"/>
        <w:autoSpaceDN w:val="0"/>
        <w:spacing w:line="360" w:lineRule="auto"/>
        <w:ind w:left="2" w:leftChars="1"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我单位响应你</w:t>
      </w:r>
      <w:r>
        <w:rPr>
          <w:rFonts w:hint="eastAsia" w:ascii="宋体" w:hAnsi="宋体" w:eastAsia="宋体" w:cs="宋体"/>
          <w:sz w:val="24"/>
          <w:highlight w:val="none"/>
        </w:rPr>
        <w:t>单位</w:t>
      </w:r>
      <w:r>
        <w:rPr>
          <w:rFonts w:hint="eastAsia" w:ascii="宋体" w:hAnsi="宋体" w:eastAsia="宋体" w:cs="宋体"/>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好处；</w:t>
      </w:r>
    </w:p>
    <w:p>
      <w:pPr>
        <w:autoSpaceDE w:val="0"/>
        <w:autoSpaceDN w:val="0"/>
        <w:spacing w:line="360" w:lineRule="auto"/>
        <w:ind w:left="481" w:leftChars="229"/>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六、严格遵守《</w:t>
      </w:r>
      <w:r>
        <w:rPr>
          <w:rFonts w:hint="eastAsia" w:ascii="宋体" w:hAnsi="宋体" w:eastAsia="宋体" w:cs="宋体"/>
          <w:sz w:val="24"/>
          <w:highlight w:val="none"/>
          <w:lang w:val="zh-CN"/>
        </w:rPr>
        <w:t>中华人民共和国</w:t>
      </w:r>
      <w:r>
        <w:rPr>
          <w:rFonts w:hint="eastAsia" w:ascii="宋体" w:hAnsi="宋体" w:eastAsia="宋体" w:cs="宋体"/>
          <w:kern w:val="0"/>
          <w:sz w:val="24"/>
          <w:highlight w:val="none"/>
          <w:lang w:val="zh-CN"/>
        </w:rPr>
        <w:t>政府采购法》《</w:t>
      </w:r>
      <w:r>
        <w:rPr>
          <w:rFonts w:hint="eastAsia" w:ascii="宋体" w:hAnsi="宋体" w:eastAsia="宋体" w:cs="宋体"/>
          <w:sz w:val="24"/>
          <w:highlight w:val="none"/>
          <w:lang w:val="zh-CN"/>
        </w:rPr>
        <w:t>中华人民共和国</w:t>
      </w:r>
      <w:r>
        <w:rPr>
          <w:rFonts w:hint="eastAsia" w:ascii="宋体" w:hAnsi="宋体" w:eastAsia="宋体" w:cs="宋体"/>
          <w:kern w:val="0"/>
          <w:sz w:val="24"/>
          <w:highlight w:val="none"/>
          <w:lang w:val="zh-CN"/>
        </w:rPr>
        <w:t>招标投标</w:t>
      </w:r>
    </w:p>
    <w:p>
      <w:pPr>
        <w:autoSpaceDE w:val="0"/>
        <w:autoSpaceDN w:val="0"/>
        <w:spacing w:line="360" w:lineRule="auto"/>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法》</w:t>
      </w:r>
      <w:r>
        <w:rPr>
          <w:rFonts w:hint="eastAsia" w:ascii="宋体" w:hAnsi="宋体" w:eastAsia="宋体" w:cs="宋体"/>
          <w:sz w:val="24"/>
          <w:highlight w:val="none"/>
          <w:lang w:val="zh-CN"/>
        </w:rPr>
        <w:t>《中华人民共和国民法典》</w:t>
      </w:r>
      <w:r>
        <w:rPr>
          <w:rFonts w:hint="eastAsia" w:ascii="宋体" w:hAnsi="宋体" w:eastAsia="宋体" w:cs="宋体"/>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如违反上述承诺，你</w:t>
      </w:r>
      <w:r>
        <w:rPr>
          <w:rFonts w:hint="eastAsia" w:ascii="宋体" w:hAnsi="宋体" w:eastAsia="宋体" w:cs="宋体"/>
          <w:sz w:val="24"/>
          <w:highlight w:val="none"/>
        </w:rPr>
        <w:t>单位</w:t>
      </w:r>
      <w:r>
        <w:rPr>
          <w:rFonts w:hint="eastAsia" w:ascii="宋体" w:hAnsi="宋体" w:eastAsia="宋体" w:cs="宋体"/>
          <w:kern w:val="0"/>
          <w:sz w:val="24"/>
          <w:highlight w:val="none"/>
          <w:lang w:val="zh-CN"/>
        </w:rPr>
        <w:t>有权立即取消我单位中标资格，由此引起的相应损失均由我单位承担。</w:t>
      </w:r>
    </w:p>
    <w:p>
      <w:pPr>
        <w:autoSpaceDE w:val="0"/>
        <w:autoSpaceDN w:val="0"/>
        <w:spacing w:line="360" w:lineRule="auto"/>
        <w:ind w:left="2"/>
        <w:jc w:val="left"/>
        <w:rPr>
          <w:rFonts w:hint="eastAsia" w:ascii="宋体" w:hAnsi="宋体" w:eastAsia="宋体" w:cs="宋体"/>
          <w:kern w:val="0"/>
          <w:sz w:val="24"/>
          <w:highlight w:val="none"/>
          <w:lang w:val="zh-CN"/>
        </w:rPr>
      </w:pPr>
    </w:p>
    <w:p>
      <w:pPr>
        <w:autoSpaceDE w:val="0"/>
        <w:autoSpaceDN w:val="0"/>
        <w:spacing w:line="360" w:lineRule="auto"/>
        <w:ind w:left="2"/>
        <w:jc w:val="left"/>
        <w:rPr>
          <w:rFonts w:hint="eastAsia" w:ascii="宋体" w:hAnsi="宋体" w:eastAsia="宋体" w:cs="宋体"/>
          <w:kern w:val="0"/>
          <w:sz w:val="24"/>
          <w:highlight w:val="none"/>
          <w:lang w:val="zh-CN"/>
        </w:rPr>
      </w:pPr>
    </w:p>
    <w:p>
      <w:pPr>
        <w:autoSpaceDE w:val="0"/>
        <w:autoSpaceDN w:val="0"/>
        <w:spacing w:line="360" w:lineRule="auto"/>
        <w:ind w:left="2"/>
        <w:jc w:val="left"/>
        <w:rPr>
          <w:rFonts w:hint="eastAsia" w:ascii="宋体" w:hAnsi="宋体" w:eastAsia="宋体" w:cs="宋体"/>
          <w:kern w:val="0"/>
          <w:sz w:val="24"/>
          <w:highlight w:val="none"/>
          <w:lang w:val="zh-CN"/>
        </w:rPr>
      </w:pPr>
    </w:p>
    <w:p>
      <w:pPr>
        <w:spacing w:line="360" w:lineRule="auto"/>
        <w:ind w:firstLine="4800" w:firstLineChars="2000"/>
        <w:jc w:val="both"/>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盖章</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pPr>
        <w:spacing w:line="360" w:lineRule="auto"/>
        <w:ind w:left="4620" w:leftChars="2200" w:firstLine="240" w:firstLineChars="100"/>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kern w:val="0"/>
          <w:sz w:val="24"/>
          <w:highlight w:val="none"/>
          <w:lang w:val="zh-CN"/>
        </w:rPr>
        <w:t xml:space="preserve">   </w:t>
      </w:r>
    </w:p>
    <w:p>
      <w:pPr>
        <w:spacing w:line="360" w:lineRule="auto"/>
        <w:jc w:val="center"/>
        <w:rPr>
          <w:rFonts w:hint="eastAsia" w:ascii="宋体" w:hAnsi="宋体" w:eastAsia="宋体" w:cs="宋体"/>
          <w:b/>
          <w:bCs/>
          <w:sz w:val="24"/>
          <w:highlight w:val="none"/>
        </w:rPr>
      </w:pPr>
    </w:p>
    <w:p>
      <w:pPr>
        <w:spacing w:line="360" w:lineRule="auto"/>
        <w:jc w:val="center"/>
        <w:rPr>
          <w:rFonts w:hint="eastAsia" w:ascii="宋体" w:hAnsi="宋体" w:eastAsia="宋体" w:cs="宋体"/>
          <w:b/>
          <w:bCs/>
          <w:sz w:val="24"/>
          <w:highlight w:val="none"/>
        </w:rPr>
        <w:sectPr>
          <w:headerReference r:id="rId4" w:type="first"/>
          <w:footerReference r:id="rId6" w:type="first"/>
          <w:footerReference r:id="rId5" w:type="default"/>
          <w:pgSz w:w="11906" w:h="16838"/>
          <w:pgMar w:top="1417" w:right="1474" w:bottom="1417" w:left="1474" w:header="851" w:footer="992" w:gutter="0"/>
          <w:pgNumType w:fmt="decimal"/>
          <w:cols w:space="720" w:num="1"/>
          <w:titlePg/>
          <w:docGrid w:linePitch="312" w:charSpace="0"/>
        </w:sectPr>
      </w:pPr>
    </w:p>
    <w:p>
      <w:pPr>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报价文件部分</w:t>
      </w:r>
    </w:p>
    <w:p>
      <w:pPr>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目录</w:t>
      </w:r>
    </w:p>
    <w:p>
      <w:pPr>
        <w:spacing w:line="360" w:lineRule="auto"/>
        <w:jc w:val="center"/>
        <w:rPr>
          <w:rFonts w:hint="eastAsia" w:ascii="宋体" w:hAnsi="宋体" w:eastAsia="宋体" w:cs="宋体"/>
          <w:b/>
          <w:kern w:val="0"/>
          <w:sz w:val="36"/>
          <w:szCs w:val="36"/>
          <w:highlight w:val="none"/>
        </w:rPr>
      </w:pPr>
    </w:p>
    <w:p>
      <w:pPr>
        <w:snapToGrid w:val="0"/>
        <w:spacing w:line="360" w:lineRule="auto"/>
        <w:outlineLvl w:val="0"/>
        <w:rPr>
          <w:rFonts w:hint="eastAsia" w:ascii="宋体" w:hAnsi="宋体" w:eastAsia="宋体" w:cs="宋体"/>
          <w:sz w:val="24"/>
          <w:highlight w:val="none"/>
        </w:rPr>
      </w:pPr>
      <w:r>
        <w:rPr>
          <w:rFonts w:hint="eastAsia" w:ascii="宋体" w:hAnsi="宋体" w:eastAsia="宋体" w:cs="宋体"/>
          <w:sz w:val="24"/>
          <w:highlight w:val="none"/>
        </w:rPr>
        <w:t>（1）开标一览表（报价表）………………………………………………………（页码）</w:t>
      </w:r>
    </w:p>
    <w:p>
      <w:pPr>
        <w:snapToGrid w:val="0"/>
        <w:spacing w:line="360" w:lineRule="auto"/>
        <w:outlineLvl w:val="0"/>
        <w:rPr>
          <w:rFonts w:hint="eastAsia" w:ascii="宋体" w:hAnsi="宋体" w:eastAsia="宋体" w:cs="宋体"/>
          <w:sz w:val="24"/>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snapToGrid w:val="0"/>
        <w:spacing w:line="360" w:lineRule="auto"/>
        <w:ind w:right="480"/>
        <w:jc w:val="center"/>
        <w:rPr>
          <w:rFonts w:hint="eastAsia" w:ascii="宋体" w:hAnsi="宋体" w:eastAsia="宋体" w:cs="宋体"/>
          <w:b/>
          <w:kern w:val="0"/>
          <w:sz w:val="32"/>
          <w:szCs w:val="32"/>
          <w:highlight w:val="none"/>
        </w:rPr>
      </w:pPr>
    </w:p>
    <w:p>
      <w:pPr>
        <w:pStyle w:val="49"/>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sectPr>
          <w:headerReference r:id="rId8" w:type="first"/>
          <w:footerReference r:id="rId10" w:type="first"/>
          <w:headerReference r:id="rId7" w:type="default"/>
          <w:footerReference r:id="rId9" w:type="default"/>
          <w:pgSz w:w="11906" w:h="16838"/>
          <w:pgMar w:top="1276" w:right="1474" w:bottom="1417" w:left="1474" w:header="851" w:footer="992" w:gutter="0"/>
          <w:pgNumType w:fmt="decimal"/>
          <w:cols w:space="720" w:num="1"/>
          <w:docGrid w:linePitch="312" w:charSpace="0"/>
        </w:sectPr>
      </w:pPr>
    </w:p>
    <w:p>
      <w:pPr>
        <w:pStyle w:val="49"/>
        <w:keepNext w:val="0"/>
        <w:pageBreakBefore w:val="0"/>
        <w:tabs>
          <w:tab w:val="clear" w:pos="720"/>
        </w:tabs>
        <w:snapToGrid w:val="0"/>
        <w:spacing w:before="120" w:after="120"/>
        <w:ind w:firstLine="643"/>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w:t>
      </w:r>
      <w:r>
        <w:rPr>
          <w:rFonts w:hint="eastAsia" w:ascii="宋体" w:hAnsi="宋体" w:eastAsia="宋体" w:cs="宋体"/>
          <w:kern w:val="2"/>
          <w:sz w:val="32"/>
          <w:szCs w:val="32"/>
          <w:highlight w:val="none"/>
          <w:lang w:eastAsia="zh-CN"/>
        </w:rPr>
        <w:t>初次</w:t>
      </w:r>
      <w:r>
        <w:rPr>
          <w:rFonts w:hint="eastAsia" w:ascii="宋体" w:hAnsi="宋体" w:eastAsia="宋体" w:cs="宋体"/>
          <w:kern w:val="2"/>
          <w:sz w:val="32"/>
          <w:szCs w:val="32"/>
          <w:highlight w:val="none"/>
        </w:rPr>
        <w:t>报价表）</w:t>
      </w:r>
    </w:p>
    <w:p>
      <w:pPr>
        <w:snapToGrid w:val="0"/>
        <w:spacing w:line="360" w:lineRule="auto"/>
        <w:rPr>
          <w:rFonts w:hint="eastAsia" w:ascii="宋体" w:hAnsi="宋体" w:eastAsia="宋体" w:cs="宋体"/>
          <w:sz w:val="24"/>
          <w:highlight w:val="none"/>
        </w:rPr>
      </w:pPr>
      <w:r>
        <w:rPr>
          <w:rFonts w:hint="eastAsia" w:ascii="宋体" w:hAnsi="宋体" w:cs="宋体"/>
          <w:sz w:val="24"/>
          <w:highlight w:val="none"/>
          <w:lang w:eastAsia="zh-CN"/>
        </w:rPr>
        <w:t>浙江桐庐农村商业银行股份有限公司</w:t>
      </w:r>
      <w:r>
        <w:rPr>
          <w:rFonts w:hint="eastAsia" w:ascii="宋体" w:hAnsi="宋体" w:eastAsia="宋体" w:cs="宋体"/>
          <w:sz w:val="24"/>
          <w:highlight w:val="none"/>
        </w:rPr>
        <w:t>、</w:t>
      </w:r>
      <w:r>
        <w:rPr>
          <w:rFonts w:hint="eastAsia" w:ascii="宋体" w:hAnsi="宋体" w:cs="宋体"/>
          <w:sz w:val="24"/>
          <w:highlight w:val="none"/>
          <w:lang w:eastAsia="zh-CN"/>
        </w:rPr>
        <w:t>浙江承天建设工程管理有限公司</w:t>
      </w:r>
      <w:r>
        <w:rPr>
          <w:rFonts w:hint="eastAsia" w:ascii="宋体" w:hAnsi="宋体" w:eastAsia="宋体" w:cs="宋体"/>
          <w:sz w:val="24"/>
          <w:highlight w:val="none"/>
          <w:lang w:val="zh-CN"/>
        </w:rPr>
        <w:t>：</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按你方竞争性磋商文件要求，我们，本磋商响应文件签字方，谨此向你方发出要约如下：如你方接受本投标，我方承诺按照如下开标一览表</w:t>
      </w:r>
      <w:r>
        <w:rPr>
          <w:rFonts w:hint="eastAsia" w:ascii="宋体" w:hAnsi="宋体" w:eastAsia="宋体" w:cs="宋体"/>
          <w:sz w:val="24"/>
          <w:highlight w:val="none"/>
          <w:lang w:val="zh-CN" w:eastAsia="zh-CN"/>
        </w:rPr>
        <w:t>（</w:t>
      </w:r>
      <w:r>
        <w:rPr>
          <w:rFonts w:hint="eastAsia" w:ascii="宋体" w:hAnsi="宋体" w:eastAsia="宋体" w:cs="宋体"/>
          <w:kern w:val="0"/>
          <w:sz w:val="24"/>
          <w:highlight w:val="none"/>
          <w:lang w:val="zh-CN" w:eastAsia="zh-CN"/>
        </w:rPr>
        <w:t>报价表）的价格完成</w:t>
      </w:r>
      <w:r>
        <w:rPr>
          <w:rFonts w:hint="eastAsia" w:ascii="宋体" w:hAnsi="宋体" w:cs="宋体"/>
          <w:kern w:val="0"/>
          <w:sz w:val="24"/>
          <w:highlight w:val="none"/>
          <w:lang w:val="zh-CN" w:eastAsia="zh-CN"/>
        </w:rPr>
        <w:t>桐庐农商银行守押寄库服务采购项目</w:t>
      </w:r>
      <w:r>
        <w:rPr>
          <w:rFonts w:hint="eastAsia" w:ascii="宋体" w:hAnsi="宋体" w:eastAsia="宋体" w:cs="宋体"/>
          <w:kern w:val="0"/>
          <w:sz w:val="24"/>
          <w:highlight w:val="none"/>
          <w:lang w:val="zh-CN"/>
        </w:rPr>
        <w:t>【招标编号：</w:t>
      </w:r>
      <w:r>
        <w:rPr>
          <w:rFonts w:hint="eastAsia" w:ascii="宋体" w:hAnsi="宋体" w:cs="宋体"/>
          <w:kern w:val="0"/>
          <w:sz w:val="24"/>
          <w:highlight w:val="none"/>
          <w:lang w:val="zh-CN"/>
        </w:rPr>
        <w:t>CTJSCG-2024-001-1-1</w:t>
      </w:r>
      <w:r>
        <w:rPr>
          <w:rFonts w:hint="eastAsia" w:ascii="宋体" w:hAnsi="宋体" w:eastAsia="宋体" w:cs="宋体"/>
          <w:kern w:val="0"/>
          <w:sz w:val="24"/>
          <w:highlight w:val="none"/>
          <w:lang w:val="zh-CN"/>
        </w:rPr>
        <w:t>】的实施。</w:t>
      </w:r>
    </w:p>
    <w:p>
      <w:pPr>
        <w:pStyle w:val="2"/>
        <w:numPr>
          <w:ilvl w:val="1"/>
          <w:numId w:val="0"/>
        </w:numPr>
        <w:ind w:leftChars="0"/>
        <w:jc w:val="center"/>
        <w:rPr>
          <w:rFonts w:hint="eastAsia"/>
          <w:lang w:val="zh-CN"/>
        </w:rPr>
      </w:pPr>
      <w:r>
        <w:rPr>
          <w:rFonts w:hint="eastAsia" w:ascii="宋体" w:hAnsi="宋体" w:eastAsia="宋体" w:cs="宋体"/>
          <w:kern w:val="0"/>
          <w:sz w:val="24"/>
          <w:highlight w:val="none"/>
          <w:lang w:val="zh-CN"/>
        </w:rPr>
        <w:t>开标一览表</w:t>
      </w:r>
      <w:r>
        <w:rPr>
          <w:rFonts w:hint="eastAsia" w:ascii="宋体" w:hAnsi="宋体" w:eastAsia="宋体" w:cs="宋体"/>
          <w:sz w:val="24"/>
          <w:highlight w:val="none"/>
          <w:lang w:val="zh-CN" w:eastAsia="zh-CN"/>
        </w:rPr>
        <w:t>（</w:t>
      </w:r>
      <w:r>
        <w:rPr>
          <w:rFonts w:hint="eastAsia" w:ascii="宋体" w:hAnsi="宋体" w:eastAsia="宋体" w:cs="宋体"/>
          <w:kern w:val="0"/>
          <w:sz w:val="24"/>
          <w:highlight w:val="none"/>
          <w:lang w:val="zh-CN" w:eastAsia="zh-CN"/>
        </w:rPr>
        <w:t>报价表）</w:t>
      </w:r>
    </w:p>
    <w:tbl>
      <w:tblPr>
        <w:tblStyle w:val="29"/>
        <w:tblW w:w="9790" w:type="dxa"/>
        <w:tblInd w:w="-34" w:type="dxa"/>
        <w:tblLayout w:type="fixed"/>
        <w:tblCellMar>
          <w:top w:w="0" w:type="dxa"/>
          <w:left w:w="108" w:type="dxa"/>
          <w:bottom w:w="0" w:type="dxa"/>
          <w:right w:w="108" w:type="dxa"/>
        </w:tblCellMar>
      </w:tblPr>
      <w:tblGrid>
        <w:gridCol w:w="3056"/>
        <w:gridCol w:w="1050"/>
        <w:gridCol w:w="1317"/>
        <w:gridCol w:w="4367"/>
      </w:tblGrid>
      <w:tr>
        <w:tblPrEx>
          <w:tblCellMar>
            <w:top w:w="0" w:type="dxa"/>
            <w:left w:w="108" w:type="dxa"/>
            <w:bottom w:w="0" w:type="dxa"/>
            <w:right w:w="108" w:type="dxa"/>
          </w:tblCellMar>
        </w:tblPrEx>
        <w:trPr>
          <w:trHeight w:val="510" w:hRule="atLeast"/>
        </w:trPr>
        <w:tc>
          <w:tcPr>
            <w:tcW w:w="3056"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项  目</w:t>
            </w:r>
          </w:p>
        </w:tc>
        <w:tc>
          <w:tcPr>
            <w:tcW w:w="105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单价（元）</w:t>
            </w:r>
          </w:p>
        </w:tc>
        <w:tc>
          <w:tcPr>
            <w:tcW w:w="1317"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年总费用（元）</w:t>
            </w:r>
          </w:p>
        </w:tc>
        <w:tc>
          <w:tcPr>
            <w:tcW w:w="4367"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备   注</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1.固定押运线路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7</w:t>
            </w:r>
            <w:r>
              <w:rPr>
                <w:rFonts w:hint="eastAsia" w:ascii="宋体" w:hAnsi="宋体" w:eastAsia="宋体" w:cs="宋体"/>
                <w:kern w:val="0"/>
                <w:sz w:val="24"/>
                <w:szCs w:val="24"/>
                <w14:ligatures w14:val="none"/>
              </w:rPr>
              <w:t>条</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Times New Roman"/>
                <w:sz w:val="24"/>
                <w:szCs w:val="24"/>
                <w14:ligatures w14:val="none"/>
              </w:rPr>
              <w:t>2. ATM机运维固定线路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ascii="宋体" w:hAnsi="宋体" w:eastAsia="宋体" w:cs="宋体"/>
                <w:sz w:val="24"/>
                <w:szCs w:val="24"/>
                <w14:ligatures w14:val="none"/>
              </w:rPr>
            </w:pPr>
            <w:r>
              <w:rPr>
                <w:rFonts w:hint="eastAsia" w:ascii="宋体" w:hAnsi="宋体" w:eastAsia="宋体" w:cs="宋体"/>
                <w:sz w:val="24"/>
                <w:szCs w:val="24"/>
                <w14:ligatures w14:val="none"/>
              </w:rPr>
              <w:t>3辆押运车、每车配驾驶员1名。每辆押运车另外4人由本行配备，如不足由供应商提供，费用另算。</w:t>
            </w:r>
          </w:p>
          <w:p>
            <w:pPr>
              <w:spacing w:line="300" w:lineRule="exact"/>
              <w:jc w:val="left"/>
              <w:rPr>
                <w:rFonts w:ascii="宋体" w:hAnsi="宋体" w:eastAsia="宋体" w:cs="宋体"/>
                <w:kern w:val="0"/>
                <w:sz w:val="24"/>
                <w:szCs w:val="24"/>
                <w14:ligatures w14:val="none"/>
              </w:rPr>
            </w:pPr>
            <w:r>
              <w:rPr>
                <w:rFonts w:hint="eastAsia" w:ascii="宋体" w:hAnsi="宋体" w:eastAsia="宋体" w:cs="宋体"/>
                <w:sz w:val="24"/>
                <w:szCs w:val="24"/>
                <w14:ligatures w14:val="none"/>
              </w:rPr>
              <w:t>主要用于</w:t>
            </w:r>
            <w:r>
              <w:rPr>
                <w:rFonts w:hint="eastAsia" w:ascii="宋体" w:hAnsi="宋体" w:eastAsia="宋体" w:cs="宋体"/>
                <w:kern w:val="0"/>
                <w:sz w:val="24"/>
                <w:szCs w:val="24"/>
                <w14:ligatures w14:val="none"/>
              </w:rPr>
              <w:t>ATM机清机加钞运维（</w:t>
            </w:r>
            <w:r>
              <w:rPr>
                <w:rFonts w:hint="eastAsia" w:ascii="宋体" w:hAnsi="宋体" w:eastAsia="宋体" w:cs="宋体"/>
                <w:sz w:val="24"/>
                <w:szCs w:val="24"/>
                <w14:ligatures w14:val="none"/>
              </w:rPr>
              <w:t>现为3条线路）,根据交易发起人指令执行运维任务。</w:t>
            </w:r>
          </w:p>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报价包含：</w:t>
            </w:r>
            <w:r>
              <w:rPr>
                <w:rFonts w:hint="eastAsia" w:ascii="宋体" w:hAnsi="宋体" w:eastAsia="宋体" w:cs="宋体"/>
                <w:sz w:val="24"/>
                <w:szCs w:val="24"/>
                <w14:ligatures w14:val="none"/>
              </w:rPr>
              <w:t>ATM机清机加钞运维，车辆、人员、</w:t>
            </w:r>
            <w:r>
              <w:rPr>
                <w:rFonts w:hint="eastAsia" w:ascii="宋体" w:hAnsi="宋体" w:eastAsia="宋体" w:cs="宋体"/>
                <w:kern w:val="0"/>
                <w:sz w:val="24"/>
                <w:szCs w:val="24"/>
                <w14:ligatures w14:val="none"/>
              </w:rPr>
              <w:t>保险、油费、过境费、保养维修等所有费用。</w:t>
            </w:r>
          </w:p>
        </w:tc>
      </w:tr>
      <w:tr>
        <w:tblPrEx>
          <w:tblCellMar>
            <w:top w:w="0" w:type="dxa"/>
            <w:left w:w="108" w:type="dxa"/>
            <w:bottom w:w="0" w:type="dxa"/>
            <w:right w:w="108" w:type="dxa"/>
          </w:tblCellMar>
        </w:tblPrEx>
        <w:trPr>
          <w:trHeight w:val="411"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3.银箱寄存</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51</w:t>
            </w:r>
            <w:r>
              <w:rPr>
                <w:rFonts w:hint="eastAsia" w:ascii="宋体" w:hAnsi="宋体" w:eastAsia="宋体" w:cs="宋体"/>
                <w:kern w:val="0"/>
                <w:sz w:val="24"/>
                <w:szCs w:val="24"/>
                <w14:ligatures w14:val="none"/>
              </w:rPr>
              <w:t>个网点</w:t>
            </w:r>
          </w:p>
        </w:tc>
      </w:tr>
      <w:tr>
        <w:tblPrEx>
          <w:tblCellMar>
            <w:top w:w="0" w:type="dxa"/>
            <w:left w:w="108" w:type="dxa"/>
            <w:bottom w:w="0" w:type="dxa"/>
            <w:right w:w="108" w:type="dxa"/>
          </w:tblCellMar>
        </w:tblPrEx>
        <w:trPr>
          <w:trHeight w:val="402"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4.全辖网点交接系统维护费及</w:t>
            </w:r>
            <w:r>
              <w:rPr>
                <w:rFonts w:hint="eastAsia" w:ascii="宋体" w:hAnsi="宋体" w:eastAsia="宋体" w:cs="宋体-18030"/>
                <w:kern w:val="0"/>
                <w:sz w:val="24"/>
                <w:szCs w:val="24"/>
                <w14:ligatures w14:val="none"/>
              </w:rPr>
              <w:t>线路年租金</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p>
        </w:tc>
      </w:tr>
      <w:tr>
        <w:tblPrEx>
          <w:tblCellMar>
            <w:top w:w="0" w:type="dxa"/>
            <w:left w:w="108" w:type="dxa"/>
            <w:bottom w:w="0" w:type="dxa"/>
            <w:right w:w="108" w:type="dxa"/>
          </w:tblCellMar>
        </w:tblPrEx>
        <w:trPr>
          <w:trHeight w:val="423"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18030"/>
                <w:kern w:val="0"/>
                <w:sz w:val="24"/>
                <w:szCs w:val="24"/>
                <w14:ligatures w14:val="none"/>
              </w:rPr>
              <w:t>5.金库值守</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 新合坑口ATM运维</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新合坑口ATM清机加钞运维（1辆押运车、5人）。报价包含</w:t>
            </w:r>
            <w:r>
              <w:rPr>
                <w:rFonts w:hint="eastAsia" w:ascii="宋体" w:hAnsi="宋体" w:eastAsia="宋体" w:cs="宋体"/>
                <w:sz w:val="24"/>
                <w:szCs w:val="24"/>
                <w14:ligatures w14:val="none"/>
              </w:rPr>
              <w:t>ATM机清机加钞运维，</w:t>
            </w:r>
            <w:r>
              <w:rPr>
                <w:rFonts w:hint="eastAsia" w:ascii="宋体" w:hAnsi="宋体" w:eastAsia="宋体" w:cs="宋体"/>
                <w:kern w:val="0"/>
                <w:sz w:val="24"/>
                <w:szCs w:val="24"/>
                <w14:ligatures w14:val="none"/>
              </w:rPr>
              <w:t>车辆、人员、保险、油费、过境费、保养维修等所有费用。运维周期为10天内。</w:t>
            </w:r>
          </w:p>
        </w:tc>
      </w:tr>
      <w:tr>
        <w:tblPrEx>
          <w:tblCellMar>
            <w:top w:w="0" w:type="dxa"/>
            <w:left w:w="108" w:type="dxa"/>
            <w:bottom w:w="0" w:type="dxa"/>
            <w:right w:w="108" w:type="dxa"/>
          </w:tblCellMar>
        </w:tblPrEx>
        <w:trPr>
          <w:trHeight w:val="495"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7.凭证及封包传递服务费</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全辖（含放款中心）</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8.安保人员外包</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1名ATM运维护卫人员。与交易发起人加钞组作息时间相同。</w:t>
            </w:r>
          </w:p>
        </w:tc>
      </w:tr>
      <w:tr>
        <w:tblPrEx>
          <w:tblCellMar>
            <w:top w:w="0" w:type="dxa"/>
            <w:left w:w="108" w:type="dxa"/>
            <w:bottom w:w="0" w:type="dxa"/>
            <w:right w:w="108" w:type="dxa"/>
          </w:tblCellMar>
        </w:tblPrEx>
        <w:trPr>
          <w:trHeight w:val="567" w:hRule="atLeast"/>
        </w:trPr>
        <w:tc>
          <w:tcPr>
            <w:tcW w:w="9790" w:type="dxa"/>
            <w:gridSpan w:val="4"/>
            <w:tcBorders>
              <w:top w:val="single" w:color="auto" w:sz="4" w:space="0"/>
              <w:left w:val="single" w:color="auto" w:sz="12"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b/>
                <w:sz w:val="24"/>
                <w:szCs w:val="24"/>
                <w14:ligatures w14:val="none"/>
              </w:rPr>
              <w:t>上述1-8</w:t>
            </w:r>
            <w:bookmarkStart w:id="407" w:name="_Hlk162516027"/>
            <w:r>
              <w:rPr>
                <w:rFonts w:hint="eastAsia" w:ascii="宋体" w:hAnsi="宋体" w:eastAsia="宋体" w:cs="宋体"/>
                <w:b/>
                <w:sz w:val="24"/>
                <w:szCs w:val="24"/>
                <w14:ligatures w14:val="none"/>
              </w:rPr>
              <w:t>固定包年费用报价</w:t>
            </w:r>
            <w:bookmarkEnd w:id="407"/>
            <w:r>
              <w:rPr>
                <w:rFonts w:hint="eastAsia" w:ascii="宋体" w:hAnsi="宋体" w:eastAsia="宋体" w:cs="宋体"/>
                <w:b/>
                <w:sz w:val="24"/>
                <w:szCs w:val="24"/>
                <w14:ligatures w14:val="none"/>
              </w:rPr>
              <w:t>总价</w:t>
            </w:r>
            <w:r>
              <w:rPr>
                <w:rFonts w:hint="eastAsia" w:ascii="宋体" w:hAnsi="宋体" w:eastAsia="宋体" w:cs="Times New Roman"/>
                <w:b/>
                <w:sz w:val="24"/>
                <w:szCs w:val="24"/>
                <w14:ligatures w14:val="none"/>
              </w:rPr>
              <w:t>：（大写）                   （小写：            ）</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9.优惠服务：临时任务费用（次）</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sz w:val="24"/>
                <w:szCs w:val="24"/>
                <w14:ligatures w14:val="none"/>
              </w:rPr>
            </w:pPr>
            <w:r>
              <w:rPr>
                <w:rFonts w:hint="eastAsia" w:ascii="宋体" w:hAnsi="宋体" w:eastAsia="宋体" w:cs="宋体"/>
                <w:sz w:val="24"/>
                <w:szCs w:val="24"/>
                <w14:ligatures w14:val="none"/>
              </w:rPr>
              <w:t>人行领缴款（3人/车）、</w:t>
            </w:r>
            <w:r>
              <w:rPr>
                <w:rFonts w:hint="eastAsia" w:ascii="宋体" w:hAnsi="宋体" w:eastAsia="宋体" w:cs="宋体"/>
                <w:kern w:val="0"/>
                <w:sz w:val="24"/>
                <w:szCs w:val="24"/>
                <w14:ligatures w14:val="none"/>
              </w:rPr>
              <w:t>网点日间领交款</w:t>
            </w:r>
            <w:r>
              <w:rPr>
                <w:rFonts w:hint="eastAsia" w:ascii="宋体" w:hAnsi="宋体" w:eastAsia="宋体" w:cs="宋体"/>
                <w:sz w:val="24"/>
                <w:szCs w:val="24"/>
                <w14:ligatures w14:val="none"/>
              </w:rPr>
              <w:t>（5人/车）</w:t>
            </w:r>
            <w:r>
              <w:rPr>
                <w:rFonts w:hint="eastAsia" w:ascii="宋体" w:hAnsi="宋体" w:eastAsia="宋体" w:cs="宋体"/>
                <w:kern w:val="0"/>
                <w:sz w:val="24"/>
                <w:szCs w:val="24"/>
                <w14:ligatures w14:val="none"/>
              </w:rPr>
              <w:t>、上门收款运送以及其他临时性业务运送等，填报单次价格即可。</w:t>
            </w:r>
          </w:p>
        </w:tc>
      </w:tr>
    </w:tbl>
    <w:p>
      <w:pPr>
        <w:rPr>
          <w:rFonts w:hint="eastAsia"/>
          <w:lang w:val="zh-CN"/>
        </w:rPr>
      </w:pP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▲注：1、报价一经涂改，应在涂改处加盖单位公章或者由法定代表人或授权委托人签字或盖章，否则作无效报价处理。</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2、报价应包括提供服务所需的一切人员工资、设备（车辆）费、交通费、安全和管理费用、保险费用、税费、利润等与本项目相关的一切费用。</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3、投标文件只允许有一个报价，有选择的报价将不予接受。</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4、不提供此表格的将视为没有实质性响应招标文件。</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5、上述报价总价应与明细报价表中的总价相一致。</w:t>
      </w:r>
    </w:p>
    <w:p>
      <w:pPr>
        <w:autoSpaceDE w:val="0"/>
        <w:autoSpaceDN w:val="0"/>
        <w:spacing w:line="360" w:lineRule="auto"/>
        <w:jc w:val="left"/>
        <w:rPr>
          <w:rFonts w:hint="eastAsia" w:ascii="宋体" w:hAnsi="宋体" w:eastAsia="宋体" w:cs="宋体"/>
          <w:kern w:val="0"/>
          <w:sz w:val="24"/>
          <w:highlight w:val="none"/>
          <w:lang w:val="zh-CN"/>
        </w:rPr>
      </w:pPr>
    </w:p>
    <w:p>
      <w:pPr>
        <w:autoSpaceDE w:val="0"/>
        <w:autoSpaceDN w:val="0"/>
        <w:spacing w:line="360" w:lineRule="auto"/>
        <w:ind w:right="1120"/>
        <w:jc w:val="center"/>
        <w:rPr>
          <w:rFonts w:hint="eastAsia" w:ascii="宋体" w:hAnsi="宋体" w:eastAsia="宋体" w:cs="宋体"/>
          <w:kern w:val="0"/>
          <w:sz w:val="24"/>
          <w:highlight w:val="none"/>
          <w:lang w:val="zh-CN"/>
        </w:rPr>
      </w:pP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lang w:val="zh-CN"/>
        </w:rPr>
        <w:t>供应商名称</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盖章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 xml:space="preserve">：                                                                                                                                                                                                               </w:t>
      </w:r>
    </w:p>
    <w:p>
      <w:pPr>
        <w:spacing w:line="360" w:lineRule="auto"/>
        <w:jc w:val="center"/>
        <w:rPr>
          <w:rFonts w:hint="eastAsia" w:ascii="宋体" w:hAnsi="宋体" w:eastAsia="宋体" w:cs="宋体"/>
          <w:kern w:val="2"/>
          <w:sz w:val="32"/>
          <w:szCs w:val="32"/>
          <w:highlight w:val="none"/>
        </w:rPr>
        <w:sectPr>
          <w:footerReference r:id="rId12" w:type="first"/>
          <w:footerReference r:id="rId11" w:type="default"/>
          <w:pgSz w:w="11906" w:h="16838"/>
          <w:pgMar w:top="1417" w:right="1474" w:bottom="1417" w:left="1474" w:header="851" w:footer="992" w:gutter="0"/>
          <w:pgNumType w:fmt="decimal"/>
          <w:cols w:space="720" w:num="1"/>
          <w:titlePg/>
          <w:docGrid w:linePitch="312" w:charSpace="0"/>
        </w:sect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 xml:space="preserve">    </w:t>
      </w:r>
    </w:p>
    <w:p>
      <w:pPr>
        <w:jc w:val="center"/>
        <w:rPr>
          <w:rFonts w:hint="eastAsia" w:ascii="宋体" w:hAnsi="宋体" w:eastAsia="宋体" w:cs="宋体"/>
          <w:kern w:val="2"/>
          <w:sz w:val="32"/>
          <w:szCs w:val="32"/>
          <w:highlight w:val="none"/>
        </w:rPr>
      </w:pPr>
      <w:r>
        <w:rPr>
          <w:rFonts w:hint="eastAsia" w:ascii="宋体" w:hAnsi="宋体" w:eastAsia="宋体" w:cs="宋体"/>
          <w:b/>
          <w:sz w:val="36"/>
          <w:szCs w:val="20"/>
          <w:highlight w:val="none"/>
        </w:rPr>
        <w:t>第七部分  最后报价格式</w:t>
      </w:r>
    </w:p>
    <w:p>
      <w:pPr>
        <w:pStyle w:val="49"/>
        <w:keepNext w:val="0"/>
        <w:pageBreakBefore w:val="0"/>
        <w:tabs>
          <w:tab w:val="clear" w:pos="720"/>
        </w:tabs>
        <w:ind w:firstLine="3540" w:firstLineChars="1102"/>
        <w:jc w:val="both"/>
        <w:outlineLvl w:val="9"/>
        <w:rPr>
          <w:rFonts w:hint="eastAsia" w:ascii="宋体" w:hAnsi="宋体" w:eastAsia="宋体" w:cs="宋体"/>
          <w:kern w:val="2"/>
          <w:sz w:val="32"/>
          <w:szCs w:val="32"/>
          <w:highlight w:val="none"/>
        </w:rPr>
      </w:pPr>
    </w:p>
    <w:p>
      <w:pPr>
        <w:pStyle w:val="49"/>
        <w:keepNext w:val="0"/>
        <w:pageBreakBefore w:val="0"/>
        <w:tabs>
          <w:tab w:val="clear" w:pos="720"/>
        </w:tabs>
        <w:ind w:firstLine="3540" w:firstLineChars="1102"/>
        <w:jc w:val="both"/>
        <w:outlineLvl w:val="9"/>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二次报价一览表</w:t>
      </w:r>
    </w:p>
    <w:p>
      <w:pPr>
        <w:snapToGrid w:val="0"/>
        <w:spacing w:line="360" w:lineRule="auto"/>
        <w:rPr>
          <w:rFonts w:hint="eastAsia" w:ascii="宋体" w:hAnsi="宋体" w:eastAsia="宋体" w:cs="宋体"/>
          <w:sz w:val="24"/>
          <w:highlight w:val="none"/>
        </w:rPr>
      </w:pPr>
      <w:r>
        <w:rPr>
          <w:rFonts w:hint="eastAsia" w:ascii="宋体" w:hAnsi="宋体" w:cs="宋体"/>
          <w:sz w:val="24"/>
          <w:highlight w:val="none"/>
          <w:lang w:eastAsia="zh-CN"/>
        </w:rPr>
        <w:t>浙江桐庐农村商业银行股份有限公司</w:t>
      </w:r>
      <w:r>
        <w:rPr>
          <w:rFonts w:hint="eastAsia" w:ascii="宋体" w:hAnsi="宋体" w:eastAsia="宋体" w:cs="宋体"/>
          <w:sz w:val="24"/>
          <w:highlight w:val="none"/>
        </w:rPr>
        <w:t>、</w:t>
      </w:r>
      <w:r>
        <w:rPr>
          <w:rFonts w:hint="eastAsia" w:ascii="宋体" w:hAnsi="宋体" w:cs="宋体"/>
          <w:sz w:val="24"/>
          <w:highlight w:val="none"/>
          <w:lang w:eastAsia="zh-CN"/>
        </w:rPr>
        <w:t>浙江承天建设工程管理有限公司</w:t>
      </w:r>
      <w:r>
        <w:rPr>
          <w:rFonts w:hint="eastAsia" w:ascii="宋体" w:hAnsi="宋体" w:eastAsia="宋体" w:cs="宋体"/>
          <w:sz w:val="24"/>
          <w:highlight w:val="none"/>
          <w:lang w:val="zh-CN"/>
        </w:rPr>
        <w:t>：</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按你方竞争性磋商文件要求，我们，本磋商响应文件签字方，谨此向你方发出要约如下：如你方接受本投标，我方承诺按照如下开标一览表</w:t>
      </w:r>
      <w:r>
        <w:rPr>
          <w:rFonts w:hint="eastAsia" w:ascii="宋体" w:hAnsi="宋体" w:eastAsia="宋体" w:cs="宋体"/>
          <w:sz w:val="24"/>
          <w:highlight w:val="none"/>
          <w:lang w:val="zh-CN" w:eastAsia="zh-CN"/>
        </w:rPr>
        <w:t>（</w:t>
      </w:r>
      <w:r>
        <w:rPr>
          <w:rFonts w:hint="eastAsia" w:ascii="宋体" w:hAnsi="宋体" w:eastAsia="宋体" w:cs="宋体"/>
          <w:kern w:val="0"/>
          <w:sz w:val="24"/>
          <w:highlight w:val="none"/>
          <w:lang w:val="zh-CN" w:eastAsia="zh-CN"/>
        </w:rPr>
        <w:t>报价表）的价格完成</w:t>
      </w:r>
      <w:r>
        <w:rPr>
          <w:rFonts w:hint="eastAsia" w:ascii="宋体" w:hAnsi="宋体" w:cs="宋体"/>
          <w:kern w:val="0"/>
          <w:sz w:val="24"/>
          <w:highlight w:val="none"/>
          <w:lang w:val="zh-CN" w:eastAsia="zh-CN"/>
        </w:rPr>
        <w:t>桐庐农商银行守押寄库服务采购项目</w:t>
      </w:r>
      <w:r>
        <w:rPr>
          <w:rFonts w:hint="eastAsia" w:ascii="宋体" w:hAnsi="宋体" w:eastAsia="宋体" w:cs="宋体"/>
          <w:kern w:val="0"/>
          <w:sz w:val="24"/>
          <w:highlight w:val="none"/>
          <w:lang w:val="zh-CN"/>
        </w:rPr>
        <w:t>【招标编号：</w:t>
      </w:r>
      <w:r>
        <w:rPr>
          <w:rFonts w:hint="eastAsia" w:ascii="宋体" w:hAnsi="宋体" w:cs="宋体"/>
          <w:kern w:val="0"/>
          <w:sz w:val="24"/>
          <w:highlight w:val="none"/>
          <w:lang w:val="zh-CN"/>
        </w:rPr>
        <w:t>CTJSCG-2024-001-1-1</w:t>
      </w:r>
      <w:r>
        <w:rPr>
          <w:rFonts w:hint="eastAsia" w:ascii="宋体" w:hAnsi="宋体" w:eastAsia="宋体" w:cs="宋体"/>
          <w:kern w:val="0"/>
          <w:sz w:val="24"/>
          <w:highlight w:val="none"/>
          <w:lang w:val="zh-CN"/>
        </w:rPr>
        <w:t>】的实施。</w:t>
      </w:r>
    </w:p>
    <w:p>
      <w:pPr>
        <w:pStyle w:val="2"/>
        <w:numPr>
          <w:ilvl w:val="1"/>
          <w:numId w:val="0"/>
        </w:numPr>
        <w:ind w:leftChars="0"/>
        <w:jc w:val="center"/>
        <w:rPr>
          <w:rFonts w:hint="eastAsia"/>
          <w:lang w:val="zh-CN"/>
        </w:rPr>
      </w:pPr>
      <w:r>
        <w:rPr>
          <w:rFonts w:hint="eastAsia" w:ascii="宋体" w:hAnsi="宋体" w:eastAsia="宋体" w:cs="宋体"/>
          <w:kern w:val="0"/>
          <w:sz w:val="24"/>
          <w:highlight w:val="none"/>
          <w:lang w:val="zh-CN"/>
        </w:rPr>
        <w:t>开标一览表</w:t>
      </w:r>
      <w:r>
        <w:rPr>
          <w:rFonts w:hint="eastAsia" w:ascii="宋体" w:hAnsi="宋体" w:eastAsia="宋体" w:cs="宋体"/>
          <w:sz w:val="24"/>
          <w:highlight w:val="none"/>
          <w:lang w:val="zh-CN" w:eastAsia="zh-CN"/>
        </w:rPr>
        <w:t>（</w:t>
      </w:r>
      <w:r>
        <w:rPr>
          <w:rFonts w:hint="eastAsia" w:ascii="宋体" w:hAnsi="宋体" w:eastAsia="宋体" w:cs="宋体"/>
          <w:kern w:val="0"/>
          <w:sz w:val="24"/>
          <w:highlight w:val="none"/>
          <w:lang w:val="zh-CN" w:eastAsia="zh-CN"/>
        </w:rPr>
        <w:t>报价表）</w:t>
      </w:r>
    </w:p>
    <w:tbl>
      <w:tblPr>
        <w:tblStyle w:val="29"/>
        <w:tblW w:w="9790" w:type="dxa"/>
        <w:tblInd w:w="-34" w:type="dxa"/>
        <w:tblLayout w:type="fixed"/>
        <w:tblCellMar>
          <w:top w:w="0" w:type="dxa"/>
          <w:left w:w="108" w:type="dxa"/>
          <w:bottom w:w="0" w:type="dxa"/>
          <w:right w:w="108" w:type="dxa"/>
        </w:tblCellMar>
      </w:tblPr>
      <w:tblGrid>
        <w:gridCol w:w="3056"/>
        <w:gridCol w:w="1050"/>
        <w:gridCol w:w="1317"/>
        <w:gridCol w:w="4367"/>
      </w:tblGrid>
      <w:tr>
        <w:tblPrEx>
          <w:tblCellMar>
            <w:top w:w="0" w:type="dxa"/>
            <w:left w:w="108" w:type="dxa"/>
            <w:bottom w:w="0" w:type="dxa"/>
            <w:right w:w="108" w:type="dxa"/>
          </w:tblCellMar>
        </w:tblPrEx>
        <w:trPr>
          <w:trHeight w:val="510" w:hRule="atLeast"/>
        </w:trPr>
        <w:tc>
          <w:tcPr>
            <w:tcW w:w="3056"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项  目</w:t>
            </w:r>
          </w:p>
        </w:tc>
        <w:tc>
          <w:tcPr>
            <w:tcW w:w="105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单价（元）</w:t>
            </w:r>
          </w:p>
        </w:tc>
        <w:tc>
          <w:tcPr>
            <w:tcW w:w="1317"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年总费用（元）</w:t>
            </w:r>
          </w:p>
        </w:tc>
        <w:tc>
          <w:tcPr>
            <w:tcW w:w="4367"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宋体" w:hAnsi="宋体" w:eastAsia="宋体" w:cs="宋体"/>
                <w:b/>
                <w:kern w:val="0"/>
                <w:sz w:val="24"/>
                <w:szCs w:val="24"/>
                <w14:ligatures w14:val="none"/>
              </w:rPr>
            </w:pPr>
            <w:r>
              <w:rPr>
                <w:rFonts w:hint="eastAsia" w:ascii="宋体" w:hAnsi="宋体" w:eastAsia="宋体" w:cs="宋体"/>
                <w:b/>
                <w:kern w:val="0"/>
                <w:sz w:val="24"/>
                <w:szCs w:val="24"/>
                <w14:ligatures w14:val="none"/>
              </w:rPr>
              <w:t>备   注</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1.固定押运线路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7</w:t>
            </w:r>
            <w:r>
              <w:rPr>
                <w:rFonts w:hint="eastAsia" w:ascii="宋体" w:hAnsi="宋体" w:eastAsia="宋体" w:cs="宋体"/>
                <w:kern w:val="0"/>
                <w:sz w:val="24"/>
                <w:szCs w:val="24"/>
                <w14:ligatures w14:val="none"/>
              </w:rPr>
              <w:t>条</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Times New Roman"/>
                <w:sz w:val="24"/>
                <w:szCs w:val="24"/>
                <w14:ligatures w14:val="none"/>
              </w:rPr>
              <w:t>2. ATM机运维固定线路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ascii="宋体" w:hAnsi="宋体" w:eastAsia="宋体" w:cs="宋体"/>
                <w:sz w:val="24"/>
                <w:szCs w:val="24"/>
                <w14:ligatures w14:val="none"/>
              </w:rPr>
            </w:pPr>
            <w:r>
              <w:rPr>
                <w:rFonts w:hint="eastAsia" w:ascii="宋体" w:hAnsi="宋体" w:eastAsia="宋体" w:cs="宋体"/>
                <w:sz w:val="24"/>
                <w:szCs w:val="24"/>
                <w14:ligatures w14:val="none"/>
              </w:rPr>
              <w:t>3辆押运车、每车配驾驶员1名。每辆押运车另外4人由本行配备，如不足由供应商提供，费用另算。</w:t>
            </w:r>
          </w:p>
          <w:p>
            <w:pPr>
              <w:spacing w:line="300" w:lineRule="exact"/>
              <w:jc w:val="left"/>
              <w:rPr>
                <w:rFonts w:ascii="宋体" w:hAnsi="宋体" w:eastAsia="宋体" w:cs="宋体"/>
                <w:kern w:val="0"/>
                <w:sz w:val="24"/>
                <w:szCs w:val="24"/>
                <w14:ligatures w14:val="none"/>
              </w:rPr>
            </w:pPr>
            <w:r>
              <w:rPr>
                <w:rFonts w:hint="eastAsia" w:ascii="宋体" w:hAnsi="宋体" w:eastAsia="宋体" w:cs="宋体"/>
                <w:sz w:val="24"/>
                <w:szCs w:val="24"/>
                <w14:ligatures w14:val="none"/>
              </w:rPr>
              <w:t>主要用于</w:t>
            </w:r>
            <w:r>
              <w:rPr>
                <w:rFonts w:hint="eastAsia" w:ascii="宋体" w:hAnsi="宋体" w:eastAsia="宋体" w:cs="宋体"/>
                <w:kern w:val="0"/>
                <w:sz w:val="24"/>
                <w:szCs w:val="24"/>
                <w14:ligatures w14:val="none"/>
              </w:rPr>
              <w:t>ATM机清机加钞运维（</w:t>
            </w:r>
            <w:r>
              <w:rPr>
                <w:rFonts w:hint="eastAsia" w:ascii="宋体" w:hAnsi="宋体" w:eastAsia="宋体" w:cs="宋体"/>
                <w:sz w:val="24"/>
                <w:szCs w:val="24"/>
                <w14:ligatures w14:val="none"/>
              </w:rPr>
              <w:t>现为3条线路）,根据交易发起人指令执行运维任务。</w:t>
            </w:r>
          </w:p>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报价包含：</w:t>
            </w:r>
            <w:r>
              <w:rPr>
                <w:rFonts w:hint="eastAsia" w:ascii="宋体" w:hAnsi="宋体" w:eastAsia="宋体" w:cs="宋体"/>
                <w:sz w:val="24"/>
                <w:szCs w:val="24"/>
                <w14:ligatures w14:val="none"/>
              </w:rPr>
              <w:t>ATM机清机加钞运维，车辆、人员、</w:t>
            </w:r>
            <w:r>
              <w:rPr>
                <w:rFonts w:hint="eastAsia" w:ascii="宋体" w:hAnsi="宋体" w:eastAsia="宋体" w:cs="宋体"/>
                <w:kern w:val="0"/>
                <w:sz w:val="24"/>
                <w:szCs w:val="24"/>
                <w14:ligatures w14:val="none"/>
              </w:rPr>
              <w:t>保险、油费、过境费、保养维修等所有费用。</w:t>
            </w:r>
          </w:p>
        </w:tc>
      </w:tr>
      <w:tr>
        <w:tblPrEx>
          <w:tblCellMar>
            <w:top w:w="0" w:type="dxa"/>
            <w:left w:w="108" w:type="dxa"/>
            <w:bottom w:w="0" w:type="dxa"/>
            <w:right w:w="108" w:type="dxa"/>
          </w:tblCellMar>
        </w:tblPrEx>
        <w:trPr>
          <w:trHeight w:val="411"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3.银箱寄存</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51</w:t>
            </w:r>
            <w:r>
              <w:rPr>
                <w:rFonts w:hint="eastAsia" w:ascii="宋体" w:hAnsi="宋体" w:eastAsia="宋体" w:cs="宋体"/>
                <w:kern w:val="0"/>
                <w:sz w:val="24"/>
                <w:szCs w:val="24"/>
                <w14:ligatures w14:val="none"/>
              </w:rPr>
              <w:t>个网点</w:t>
            </w:r>
          </w:p>
        </w:tc>
      </w:tr>
      <w:tr>
        <w:tblPrEx>
          <w:tblCellMar>
            <w:top w:w="0" w:type="dxa"/>
            <w:left w:w="108" w:type="dxa"/>
            <w:bottom w:w="0" w:type="dxa"/>
            <w:right w:w="108" w:type="dxa"/>
          </w:tblCellMar>
        </w:tblPrEx>
        <w:trPr>
          <w:trHeight w:val="402"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4.全辖网点交接系统维护费及</w:t>
            </w:r>
            <w:r>
              <w:rPr>
                <w:rFonts w:hint="eastAsia" w:ascii="宋体" w:hAnsi="宋体" w:eastAsia="宋体" w:cs="宋体-18030"/>
                <w:kern w:val="0"/>
                <w:sz w:val="24"/>
                <w:szCs w:val="24"/>
                <w14:ligatures w14:val="none"/>
              </w:rPr>
              <w:t>线路年租金</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p>
        </w:tc>
      </w:tr>
      <w:tr>
        <w:tblPrEx>
          <w:tblCellMar>
            <w:top w:w="0" w:type="dxa"/>
            <w:left w:w="108" w:type="dxa"/>
            <w:bottom w:w="0" w:type="dxa"/>
            <w:right w:w="108" w:type="dxa"/>
          </w:tblCellMar>
        </w:tblPrEx>
        <w:trPr>
          <w:trHeight w:val="423"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18030"/>
                <w:kern w:val="0"/>
                <w:sz w:val="24"/>
                <w:szCs w:val="24"/>
                <w14:ligatures w14:val="none"/>
              </w:rPr>
              <w:t>5.金库值守</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 新合坑口ATM运维</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新合坑口ATM清机加钞运维（1辆押运车、5人）。报价包含</w:t>
            </w:r>
            <w:r>
              <w:rPr>
                <w:rFonts w:hint="eastAsia" w:ascii="宋体" w:hAnsi="宋体" w:eastAsia="宋体" w:cs="宋体"/>
                <w:sz w:val="24"/>
                <w:szCs w:val="24"/>
                <w14:ligatures w14:val="none"/>
              </w:rPr>
              <w:t>ATM机清机加钞运维，</w:t>
            </w:r>
            <w:r>
              <w:rPr>
                <w:rFonts w:hint="eastAsia" w:ascii="宋体" w:hAnsi="宋体" w:eastAsia="宋体" w:cs="宋体"/>
                <w:kern w:val="0"/>
                <w:sz w:val="24"/>
                <w:szCs w:val="24"/>
                <w14:ligatures w14:val="none"/>
              </w:rPr>
              <w:t>车辆、人员、保险、油费、过境费、保养维修等所有费用。运维周期为10天内。</w:t>
            </w:r>
          </w:p>
        </w:tc>
      </w:tr>
      <w:tr>
        <w:tblPrEx>
          <w:tblCellMar>
            <w:top w:w="0" w:type="dxa"/>
            <w:left w:w="108" w:type="dxa"/>
            <w:bottom w:w="0" w:type="dxa"/>
            <w:right w:w="108" w:type="dxa"/>
          </w:tblCellMar>
        </w:tblPrEx>
        <w:trPr>
          <w:trHeight w:val="495"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7.凭证及封包传递服务费</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全辖（含放款中心）</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8.安保人员外包</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1名ATM运维护卫人员。与交易发起人加钞组作息时间相同。</w:t>
            </w:r>
          </w:p>
        </w:tc>
      </w:tr>
      <w:tr>
        <w:tblPrEx>
          <w:tblCellMar>
            <w:top w:w="0" w:type="dxa"/>
            <w:left w:w="108" w:type="dxa"/>
            <w:bottom w:w="0" w:type="dxa"/>
            <w:right w:w="108" w:type="dxa"/>
          </w:tblCellMar>
        </w:tblPrEx>
        <w:trPr>
          <w:trHeight w:val="567" w:hRule="atLeast"/>
        </w:trPr>
        <w:tc>
          <w:tcPr>
            <w:tcW w:w="9790" w:type="dxa"/>
            <w:gridSpan w:val="4"/>
            <w:tcBorders>
              <w:top w:val="single" w:color="auto" w:sz="4" w:space="0"/>
              <w:left w:val="single" w:color="auto" w:sz="12" w:space="0"/>
              <w:bottom w:val="single" w:color="auto" w:sz="4" w:space="0"/>
              <w:right w:val="single" w:color="auto" w:sz="12"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b/>
                <w:sz w:val="24"/>
                <w:szCs w:val="24"/>
                <w14:ligatures w14:val="none"/>
              </w:rPr>
              <w:t>上述1-8固定包年费用报价总价</w:t>
            </w:r>
            <w:r>
              <w:rPr>
                <w:rFonts w:hint="eastAsia" w:ascii="宋体" w:hAnsi="宋体" w:eastAsia="宋体" w:cs="Times New Roman"/>
                <w:b/>
                <w:sz w:val="24"/>
                <w:szCs w:val="24"/>
                <w14:ligatures w14:val="none"/>
              </w:rPr>
              <w:t>：（大写）                   （小写：            ）</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9.优惠服务：临时任务费用（次）</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sz w:val="24"/>
                <w:szCs w:val="24"/>
                <w14:ligatures w14:val="none"/>
              </w:rPr>
            </w:pPr>
            <w:r>
              <w:rPr>
                <w:rFonts w:hint="eastAsia" w:ascii="宋体" w:hAnsi="宋体" w:eastAsia="宋体" w:cs="宋体"/>
                <w:sz w:val="24"/>
                <w:szCs w:val="24"/>
                <w14:ligatures w14:val="none"/>
              </w:rPr>
              <w:t>人行领缴款（3人/车）、</w:t>
            </w:r>
            <w:r>
              <w:rPr>
                <w:rFonts w:hint="eastAsia" w:ascii="宋体" w:hAnsi="宋体" w:eastAsia="宋体" w:cs="宋体"/>
                <w:kern w:val="0"/>
                <w:sz w:val="24"/>
                <w:szCs w:val="24"/>
                <w14:ligatures w14:val="none"/>
              </w:rPr>
              <w:t>网点日间领交款</w:t>
            </w:r>
            <w:r>
              <w:rPr>
                <w:rFonts w:hint="eastAsia" w:ascii="宋体" w:hAnsi="宋体" w:eastAsia="宋体" w:cs="宋体"/>
                <w:sz w:val="24"/>
                <w:szCs w:val="24"/>
                <w14:ligatures w14:val="none"/>
              </w:rPr>
              <w:t>（5人/车）</w:t>
            </w:r>
            <w:r>
              <w:rPr>
                <w:rFonts w:hint="eastAsia" w:ascii="宋体" w:hAnsi="宋体" w:eastAsia="宋体" w:cs="宋体"/>
                <w:kern w:val="0"/>
                <w:sz w:val="24"/>
                <w:szCs w:val="24"/>
                <w14:ligatures w14:val="none"/>
              </w:rPr>
              <w:t>、上门收款运送以及其他临时性业务运送等，填报单次价格即可。</w:t>
            </w:r>
          </w:p>
        </w:tc>
      </w:tr>
    </w:tbl>
    <w:p>
      <w:pPr>
        <w:rPr>
          <w:rFonts w:hint="eastAsia"/>
          <w:lang w:val="zh-CN"/>
        </w:rPr>
      </w:pP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▲注：1、报价一经涂改，应在涂改处加盖单位公章或者由法定代表人或授权委托人签字或盖章，否则作无效报价处理。</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2、报价应包括提供服务所需的一切人员工资、设备（车辆）费、交通费、安全和管理费用、保险费用、税费、利润等与本项目相关的一切费用。</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3、投标文件只允许有一个报价，有选择的报价将不予接受。</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4、不提供此表格的将视为没有实质性响应招标文件。</w:t>
      </w:r>
    </w:p>
    <w:p>
      <w:pPr>
        <w:snapToGrid w:val="0"/>
        <w:spacing w:line="360" w:lineRule="auto"/>
        <w:ind w:firstLine="482"/>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5、上述报价总价应与明细报价表中的总价相一致。</w:t>
      </w:r>
    </w:p>
    <w:p>
      <w:pPr>
        <w:autoSpaceDE w:val="0"/>
        <w:autoSpaceDN w:val="0"/>
        <w:spacing w:line="360" w:lineRule="auto"/>
        <w:jc w:val="left"/>
        <w:rPr>
          <w:rFonts w:hint="eastAsia" w:ascii="宋体" w:hAnsi="宋体" w:eastAsia="宋体" w:cs="宋体"/>
          <w:kern w:val="0"/>
          <w:sz w:val="24"/>
          <w:highlight w:val="none"/>
          <w:lang w:val="zh-CN"/>
        </w:rPr>
      </w:pPr>
    </w:p>
    <w:p>
      <w:pPr>
        <w:autoSpaceDE w:val="0"/>
        <w:autoSpaceDN w:val="0"/>
        <w:spacing w:line="360" w:lineRule="auto"/>
        <w:ind w:right="1120"/>
        <w:jc w:val="center"/>
        <w:rPr>
          <w:rFonts w:hint="eastAsia" w:ascii="宋体" w:hAnsi="宋体" w:eastAsia="宋体" w:cs="宋体"/>
          <w:kern w:val="0"/>
          <w:sz w:val="24"/>
          <w:highlight w:val="none"/>
          <w:lang w:val="zh-CN"/>
        </w:rPr>
      </w:pP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lang w:val="zh-CN"/>
        </w:rPr>
        <w:t>供应商名称</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盖章</w:t>
      </w:r>
      <w:r>
        <w:rPr>
          <w:rFonts w:hint="eastAsia" w:ascii="宋体" w:hAnsi="宋体" w:cs="宋体"/>
          <w:kern w:val="0"/>
          <w:sz w:val="24"/>
          <w:highlight w:val="none"/>
          <w:lang w:val="zh-CN"/>
        </w:rPr>
        <w:t>）</w:t>
      </w:r>
      <w:r>
        <w:rPr>
          <w:rFonts w:hint="eastAsia" w:ascii="宋体" w:hAnsi="宋体" w:eastAsia="宋体" w:cs="宋体"/>
          <w:kern w:val="0"/>
          <w:sz w:val="24"/>
          <w:highlight w:val="none"/>
          <w:lang w:val="zh-CN"/>
        </w:rPr>
        <w:t xml:space="preserve">：                                                                                                                                                                                                               </w:t>
      </w:r>
    </w:p>
    <w:p>
      <w:pPr>
        <w:spacing w:line="360" w:lineRule="auto"/>
        <w:jc w:val="center"/>
        <w:rPr>
          <w:rFonts w:hint="eastAsia" w:ascii="宋体" w:hAnsi="宋体" w:eastAsia="宋体" w:cs="宋体"/>
          <w:kern w:val="2"/>
          <w:sz w:val="32"/>
          <w:szCs w:val="32"/>
          <w:highlight w:val="none"/>
        </w:rPr>
        <w:sectPr>
          <w:footerReference r:id="rId14" w:type="first"/>
          <w:footerReference r:id="rId13" w:type="default"/>
          <w:pgSz w:w="11906" w:h="16838"/>
          <w:pgMar w:top="1417" w:right="1474" w:bottom="1417" w:left="1474" w:header="851" w:footer="992" w:gutter="0"/>
          <w:pgNumType w:fmt="decimal"/>
          <w:cols w:space="720" w:num="1"/>
          <w:titlePg/>
          <w:docGrid w:linePitch="312" w:charSpace="0"/>
        </w:sect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 xml:space="preserve">    </w:t>
      </w:r>
    </w:p>
    <w:p>
      <w:pPr>
        <w:spacing w:line="360" w:lineRule="auto"/>
        <w:jc w:val="left"/>
        <w:outlineLvl w:val="0"/>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附件</w:t>
      </w:r>
      <w:r>
        <w:rPr>
          <w:rFonts w:hint="eastAsia" w:ascii="宋体" w:hAnsi="宋体" w:cs="宋体"/>
          <w:b/>
          <w:spacing w:val="6"/>
          <w:sz w:val="32"/>
          <w:szCs w:val="32"/>
          <w:highlight w:val="none"/>
          <w:lang w:val="en-US" w:eastAsia="zh-CN"/>
        </w:rPr>
        <w:t>1</w:t>
      </w:r>
      <w:r>
        <w:rPr>
          <w:rFonts w:hint="eastAsia" w:ascii="宋体" w:hAnsi="宋体" w:eastAsia="宋体" w:cs="宋体"/>
          <w:b/>
          <w:spacing w:val="6"/>
          <w:sz w:val="32"/>
          <w:szCs w:val="32"/>
          <w:highlight w:val="none"/>
        </w:rPr>
        <w:t>：质疑函范本及制作说明</w:t>
      </w:r>
    </w:p>
    <w:p>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质疑函范本</w:t>
      </w:r>
    </w:p>
    <w:p>
      <w:pPr>
        <w:snapToGrid w:val="0"/>
        <w:spacing w:before="312" w:beforeLines="100" w:line="360" w:lineRule="auto"/>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质疑供应商：</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质疑项目的名称：</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采购文件获取日期：</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质疑事项1：</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p>
    <w:p>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pPr>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签字(签章)：                   公章：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日期：    </w:t>
      </w:r>
    </w:p>
    <w:p>
      <w:pPr>
        <w:spacing w:line="360" w:lineRule="auto"/>
        <w:jc w:val="center"/>
        <w:rPr>
          <w:rFonts w:hint="eastAsia" w:ascii="宋体" w:hAnsi="宋体" w:eastAsia="宋体" w:cs="宋体"/>
          <w:b/>
          <w:bCs/>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质疑函制作说明：</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宋体" w:hAnsi="宋体" w:eastAsia="宋体" w:cs="宋体"/>
          <w:sz w:val="30"/>
          <w:szCs w:val="30"/>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center"/>
        <w:rPr>
          <w:rFonts w:hint="eastAsia" w:ascii="宋体" w:hAnsi="宋体" w:eastAsia="宋体" w:cs="宋体"/>
          <w:b/>
          <w:spacing w:val="6"/>
          <w:sz w:val="32"/>
          <w:szCs w:val="32"/>
          <w:highlight w:val="none"/>
        </w:rPr>
      </w:pPr>
    </w:p>
    <w:p>
      <w:pPr>
        <w:spacing w:line="360" w:lineRule="auto"/>
        <w:jc w:val="left"/>
        <w:rPr>
          <w:rFonts w:hint="eastAsia" w:ascii="宋体" w:hAnsi="宋体" w:eastAsia="宋体" w:cs="宋体"/>
          <w:b/>
          <w:spacing w:val="6"/>
          <w:sz w:val="32"/>
          <w:szCs w:val="32"/>
          <w:highlight w:val="none"/>
        </w:rPr>
      </w:pPr>
    </w:p>
    <w:p>
      <w:pPr>
        <w:pStyle w:val="22"/>
        <w:rPr>
          <w:rFonts w:hint="eastAsia" w:ascii="宋体" w:hAnsi="宋体" w:eastAsia="宋体" w:cs="宋体"/>
          <w:highlight w:val="none"/>
        </w:rPr>
      </w:pPr>
    </w:p>
    <w:p>
      <w:pPr>
        <w:spacing w:line="360" w:lineRule="auto"/>
        <w:jc w:val="left"/>
        <w:outlineLvl w:val="0"/>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附件</w:t>
      </w:r>
      <w:r>
        <w:rPr>
          <w:rFonts w:hint="eastAsia" w:ascii="宋体" w:hAnsi="宋体" w:cs="宋体"/>
          <w:b/>
          <w:spacing w:val="6"/>
          <w:sz w:val="32"/>
          <w:szCs w:val="32"/>
          <w:highlight w:val="none"/>
          <w:lang w:val="en-US" w:eastAsia="zh-CN"/>
        </w:rPr>
        <w:t>2</w:t>
      </w:r>
      <w:r>
        <w:rPr>
          <w:rFonts w:hint="eastAsia" w:ascii="宋体" w:hAnsi="宋体" w:eastAsia="宋体" w:cs="宋体"/>
          <w:b/>
          <w:spacing w:val="6"/>
          <w:sz w:val="32"/>
          <w:szCs w:val="32"/>
          <w:highlight w:val="none"/>
        </w:rPr>
        <w:t>：投诉书范本及制作说明</w:t>
      </w:r>
    </w:p>
    <w:p>
      <w:pPr>
        <w:spacing w:line="360" w:lineRule="auto"/>
        <w:jc w:val="center"/>
        <w:rPr>
          <w:rFonts w:hint="eastAsia" w:ascii="宋体" w:hAnsi="宋体" w:eastAsia="宋体" w:cs="宋体"/>
          <w:b/>
          <w:sz w:val="24"/>
          <w:highlight w:val="none"/>
        </w:rPr>
      </w:pPr>
    </w:p>
    <w:p>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投诉书范本</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一、投诉相关主体基本情况</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投诉人：</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tabs>
          <w:tab w:val="left" w:pos="651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法定代表人/主要负责人：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tabs>
          <w:tab w:val="left" w:pos="6510"/>
        </w:tabs>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被投诉人1：</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被投诉人2</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相关供应商：</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二、投诉项目基本情况</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w:t>
      </w:r>
      <w:r>
        <w:rPr>
          <w:rFonts w:hint="eastAsia" w:ascii="宋体" w:hAnsi="宋体" w:eastAsia="宋体" w:cs="宋体"/>
          <w:sz w:val="24"/>
          <w:highlight w:val="none"/>
          <w:lang w:eastAsia="zh-CN"/>
        </w:rPr>
        <w:t>购</w:t>
      </w:r>
      <w:r>
        <w:rPr>
          <w:rFonts w:hint="eastAsia" w:ascii="宋体" w:hAnsi="宋体" w:cs="宋体"/>
          <w:sz w:val="24"/>
          <w:highlight w:val="none"/>
          <w:lang w:eastAsia="zh-CN"/>
        </w:rPr>
        <w:t>项目</w:t>
      </w:r>
      <w:r>
        <w:rPr>
          <w:rFonts w:hint="eastAsia" w:ascii="宋体" w:hAnsi="宋体" w:eastAsia="宋体" w:cs="宋体"/>
          <w:sz w:val="24"/>
          <w:highlight w:val="none"/>
        </w:rPr>
        <w:t>：</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采购项目编号：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r>
        <w:rPr>
          <w:rFonts w:hint="eastAsia" w:ascii="宋体" w:hAnsi="宋体" w:eastAsia="宋体" w:cs="宋体"/>
          <w:sz w:val="24"/>
          <w:highlight w:val="none"/>
          <w:u w:val="singl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代理机构名称：</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采购文件公告: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三、质疑基本情况</w:t>
      </w:r>
    </w:p>
    <w:p>
      <w:pPr>
        <w:spacing w:line="360" w:lineRule="auto"/>
        <w:ind w:firstLine="480" w:firstLineChars="200"/>
        <w:rPr>
          <w:rFonts w:hint="eastAsia" w:ascii="宋体" w:hAnsi="宋体" w:eastAsia="宋体" w:cs="宋体"/>
          <w:sz w:val="24"/>
          <w:highlight w:val="none"/>
          <w:u w:val="dotted"/>
        </w:rPr>
      </w:pPr>
      <w:r>
        <w:rPr>
          <w:rFonts w:hint="eastAsia" w:ascii="宋体" w:hAnsi="宋体" w:eastAsia="宋体" w:cs="宋体"/>
          <w:sz w:val="24"/>
          <w:highlight w:val="none"/>
        </w:rPr>
        <w:t>投诉人于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日,向</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提出质疑，质疑事项为：</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u w:val="dotted"/>
        </w:rPr>
        <w:t>采购人/代理机构</w:t>
      </w:r>
      <w:r>
        <w:rPr>
          <w:rFonts w:hint="eastAsia" w:ascii="宋体" w:hAnsi="宋体" w:eastAsia="宋体" w:cs="宋体"/>
          <w:sz w:val="24"/>
          <w:highlight w:val="none"/>
        </w:rPr>
        <w:t>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日,就质疑事项作出了答复/没有在法定期限内作出答复。</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四、投诉事项具体内容</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投诉事项 1：</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投诉事项2</w:t>
      </w:r>
    </w:p>
    <w:p>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五、与投诉事项相关的投诉请求</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签字(签章)：                   公章：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日期：    </w:t>
      </w: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投诉书制作说明：</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6.投诉书的投诉请求应与投诉事项相关。</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360" w:lineRule="auto"/>
        <w:jc w:val="left"/>
        <w:outlineLvl w:val="0"/>
        <w:rPr>
          <w:rFonts w:hint="default" w:ascii="宋体" w:hAnsi="宋体" w:eastAsia="宋体" w:cs="宋体"/>
          <w:b/>
          <w:spacing w:val="6"/>
          <w:sz w:val="32"/>
          <w:szCs w:val="32"/>
          <w:highlight w:val="none"/>
          <w:lang w:val="en-US" w:eastAsia="zh-CN"/>
        </w:rPr>
      </w:pPr>
      <w:r>
        <w:rPr>
          <w:rFonts w:hint="eastAsia" w:ascii="宋体" w:hAnsi="宋体" w:eastAsia="宋体" w:cs="宋体"/>
          <w:b/>
          <w:spacing w:val="6"/>
          <w:sz w:val="32"/>
          <w:szCs w:val="32"/>
          <w:highlight w:val="none"/>
          <w:lang w:val="en-US" w:eastAsia="zh-CN"/>
        </w:rPr>
        <w:t>附件3：浙江桐庐农村商业银行股份有限公司机构分布表</w:t>
      </w:r>
    </w:p>
    <w:p>
      <w:pPr>
        <w:jc w:val="center"/>
        <w:rPr>
          <w:rFonts w:hint="eastAsia" w:ascii="宋体" w:hAnsi="宋体" w:eastAsia="宋体" w:cs="宋体"/>
        </w:rPr>
      </w:pPr>
      <w:r>
        <w:rPr>
          <w:rFonts w:hint="eastAsia" w:ascii="宋体" w:hAnsi="宋体" w:eastAsia="宋体" w:cs="宋体"/>
          <w:sz w:val="32"/>
          <w:szCs w:val="32"/>
          <w:lang w:val="en-US" w:eastAsia="zh-CN"/>
        </w:rPr>
        <w:t>浙江桐庐农村商业银行股份有限公司机构分布表</w:t>
      </w:r>
    </w:p>
    <w:tbl>
      <w:tblPr>
        <w:tblStyle w:val="29"/>
        <w:tblW w:w="8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758"/>
        <w:gridCol w:w="4088"/>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号</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网点名称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地址</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是否全日制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营业部</w:t>
            </w:r>
          </w:p>
        </w:tc>
        <w:tc>
          <w:tcPr>
            <w:tcW w:w="4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桐庐县城南街道迎春南路278号</w:t>
            </w:r>
          </w:p>
        </w:tc>
        <w:tc>
          <w:tcPr>
            <w:tcW w:w="12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城南支行</w:t>
            </w:r>
          </w:p>
        </w:tc>
        <w:tc>
          <w:tcPr>
            <w:tcW w:w="4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桐庐县城南街道白云源路1590-9号</w:t>
            </w:r>
          </w:p>
        </w:tc>
        <w:tc>
          <w:tcPr>
            <w:tcW w:w="12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城南支行石马分理处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桐庐县城南街道春江东路170-176号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城南支行青山分理处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桐庐县城南街道乔林路1010-1012号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城南支行金龙分理处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桐庐县城南街道瑶琳路799号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城南支行上杭分理处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桐庐县城南街道春江路1043号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城南支行东兴分理处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桐庐县城南街道广丰路31号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开源支</w:t>
            </w:r>
            <w:r>
              <w:rPr>
                <w:rFonts w:hint="eastAsia" w:ascii="宋体" w:hAnsi="宋体" w:eastAsia="宋体" w:cs="宋体"/>
                <w:i w:val="0"/>
                <w:iCs w:val="0"/>
                <w:color w:val="000000"/>
                <w:kern w:val="0"/>
                <w:sz w:val="24"/>
                <w:szCs w:val="24"/>
                <w:u w:val="none"/>
                <w:lang w:val="en-US" w:eastAsia="zh-CN" w:bidi="ar"/>
              </w:rPr>
              <w:t>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4"/>
                <w:szCs w:val="24"/>
                <w:u w:val="none"/>
                <w:lang w:val="en-US" w:eastAsia="zh-CN" w:bidi="ar-SA"/>
                <w14:ligatures w14:val="standardContextual"/>
              </w:rPr>
            </w:pPr>
            <w:r>
              <w:rPr>
                <w:rFonts w:hint="eastAsia" w:ascii="宋体" w:hAnsi="宋体" w:eastAsia="宋体" w:cs="宋体"/>
                <w:i w:val="0"/>
                <w:iCs w:val="0"/>
                <w:color w:val="000000"/>
                <w:kern w:val="0"/>
                <w:sz w:val="24"/>
                <w:szCs w:val="24"/>
                <w:u w:val="none"/>
                <w:lang w:val="en-US" w:eastAsia="zh-CN" w:bidi="ar"/>
              </w:rPr>
              <w:t>桐庐县城南街道春江路667号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桐君支行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桐庐县桐君街道邮电路121号-139号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桐君支行迎春分理处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桐庐县桐君街道迎春路31号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桐君支行城北分理处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桐庐县桐君街道富春路305号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信城支行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桐庐县城南街道大奇山路687号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科技城支行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桐庐县城南街道滨江路555号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桐庐县分水镇玉华东路78号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分水支行西关分理处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桐庐县分水镇新淳路725号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分水支行中心分理处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桐庐县分水镇广电路311号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分水支行玉华分理处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桐庐县分水镇玉华路255号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分水支行东溪分理处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桐庐县分水镇新淳东路</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分水支行保安分理处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桐庐县分水镇保安村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分水支行武盛分理处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桐庐县分水镇市达路219号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凤川支行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桐庐县凤川街道春江东路1</w:t>
            </w:r>
            <w:r>
              <w:rPr>
                <w:rStyle w:val="52"/>
                <w:rFonts w:hint="eastAsia" w:ascii="宋体" w:hAnsi="宋体" w:eastAsia="宋体" w:cs="宋体"/>
                <w:sz w:val="24"/>
                <w:szCs w:val="24"/>
                <w:lang w:val="en-US" w:eastAsia="zh-CN" w:bidi="ar"/>
              </w:rPr>
              <w:t>178号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凤川支行新合分理处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桐庐县新合乡外松山村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凤川支行柴埠分理处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桐庐县凤川街道春江东路滨江柴埠安置小区11幢2203号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凤川支行翙岗分理处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桐庐县凤川街道翙岗村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凤川支行岩桥分理处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桐庐县凤川街道岩桥村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凤川支行凤栖分理处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桐庐县凤川街道白云源东路69号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富春江支行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桐庐县富春江镇七里泷大街768号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富春江支行俞赵分理处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桐庐县富春江镇俞赵村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富春江支行芝厦分理处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桐庐县富春江镇芝厦村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富春江支行七里泷分理处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桐庐县富春江镇七里泷大街79号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横村支行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桐庐县横村镇西环路333号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横村支行徐家埠分理处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桐庐县横村镇徐家埠村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横村支行胜峰分理处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桐庐县横村镇胜峰村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横村支行方埠分理处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桐庐县横村镇双湖村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横村支行迎春分理处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桐庐县横村镇迎春路33号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桐庐县江南镇江南路916号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江南支行窄溪分理处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桐庐县江南镇集市路251号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江南支行石阜分理处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桐庐县江南镇石阜村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江南支行珠山分理处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桐庐县江南镇珠山村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旧县支行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桐庐县旧县街道港桐路87号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瑶琳支行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桐庐县瑶琳镇东琳村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瑶琳支行高翔分理处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桐庐县瑶琳镇高翔村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瑶琳支行瑶琳分理处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桐庐县瑶琳镇友谊路1号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瑶琳支行浦头分理处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桐庐县瑶琳镇毕浦村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钟山支行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桐庐县钟山乡申通大道</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钟山支行吴宅分理处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桐庐县钟山乡石城路56号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莪山支行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桐庐县莪山乡莪山村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百江支行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桐庐县百江镇百江村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合村支行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桐庐县合村乡合村村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合村支行怡合分理处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桐庐县分水镇怡合村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深澳支行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桐庐县江南镇深澳村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是</w:t>
            </w:r>
          </w:p>
        </w:tc>
      </w:tr>
    </w:tbl>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注：全日制为“是”的网点为全年营业；为“否”的网点为周六、日及法定节假日休息（可能前后会有调整）。</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textAlignment w:val="auto"/>
        <w:rPr>
          <w:rFonts w:hint="eastAsia" w:ascii="仿宋" w:hAnsi="仿宋" w:eastAsia="仿宋" w:cs="仿宋"/>
          <w:i w:val="0"/>
          <w:iCs w:val="0"/>
          <w:caps w:val="0"/>
          <w:color w:val="000000"/>
          <w:spacing w:val="0"/>
          <w:kern w:val="0"/>
          <w:sz w:val="24"/>
          <w:szCs w:val="24"/>
          <w:lang w:val="en-US" w:eastAsia="zh-CN" w:bidi="ar"/>
        </w:rPr>
      </w:pPr>
    </w:p>
    <w:p>
      <w:pPr>
        <w:rPr>
          <w:rFonts w:hint="eastAsia" w:ascii="宋体" w:hAnsi="宋体" w:eastAsia="宋体" w:cs="Times New Roman"/>
          <w:szCs w:val="24"/>
          <w:lang w:val="en-US" w:eastAsia="zh-CN"/>
          <w14:ligatures w14:val="none"/>
        </w:rPr>
      </w:pPr>
      <w:r>
        <w:rPr>
          <w:rFonts w:hint="eastAsia" w:ascii="宋体" w:hAnsi="宋体" w:eastAsia="宋体" w:cs="Times New Roman"/>
          <w:szCs w:val="24"/>
          <w:lang w:val="en-US" w:eastAsia="zh-CN"/>
          <w14:ligatures w14:val="none"/>
        </w:rPr>
        <w:br w:type="page"/>
      </w:r>
    </w:p>
    <w:p>
      <w:pPr>
        <w:rPr>
          <w:rFonts w:ascii="宋体" w:hAnsi="宋体" w:eastAsia="宋体" w:cs="Times New Roman"/>
          <w:szCs w:val="21"/>
          <w14:ligatures w14:val="none"/>
        </w:rPr>
      </w:pPr>
      <w:r>
        <w:rPr>
          <w:rFonts w:hint="eastAsia" w:ascii="宋体" w:hAnsi="宋体" w:eastAsia="宋体" w:cs="宋体"/>
          <w:b/>
          <w:spacing w:val="6"/>
          <w:sz w:val="32"/>
          <w:szCs w:val="32"/>
          <w:highlight w:val="none"/>
          <w:lang w:val="en-US" w:eastAsia="zh-CN"/>
        </w:rPr>
        <w:t>附件4：供应商的情况一览表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宋体"/>
          <w:b/>
          <w:bCs/>
          <w:color w:val="000000"/>
          <w:kern w:val="0"/>
          <w:sz w:val="44"/>
          <w:szCs w:val="44"/>
          <w14:ligatures w14:val="none"/>
        </w:rPr>
        <w:t>供应商</w:t>
      </w:r>
      <w:r>
        <w:rPr>
          <w:rFonts w:hint="eastAsia" w:ascii="宋体" w:hAnsi="宋体" w:eastAsia="宋体" w:cs="Times New Roman"/>
          <w:b/>
          <w:color w:val="000000"/>
          <w:sz w:val="44"/>
          <w:szCs w:val="44"/>
          <w14:ligatures w14:val="none"/>
        </w:rPr>
        <w:t>情况一览表</w:t>
      </w:r>
    </w:p>
    <w:p>
      <w:pPr>
        <w:tabs>
          <w:tab w:val="left" w:pos="4477"/>
        </w:tabs>
        <w:spacing w:line="400" w:lineRule="exact"/>
        <w:rPr>
          <w:rFonts w:hint="eastAsia" w:ascii="宋体" w:hAnsi="宋体" w:eastAsia="宋体" w:cs="Times New Roman"/>
          <w:sz w:val="24"/>
          <w:szCs w:val="22"/>
          <w:lang w:eastAsia="zh-CN"/>
          <w14:ligatures w14:val="none"/>
        </w:rPr>
      </w:pPr>
      <w:r>
        <w:rPr>
          <w:rFonts w:hint="eastAsia" w:ascii="宋体" w:hAnsi="宋体" w:eastAsia="宋体" w:cs="Times New Roman"/>
          <w:sz w:val="24"/>
          <w:szCs w:val="22"/>
          <w14:ligatures w14:val="none"/>
        </w:rPr>
        <w:t>项目名称：</w:t>
      </w:r>
      <w:r>
        <w:rPr>
          <w:rFonts w:hint="eastAsia" w:ascii="宋体" w:hAnsi="宋体" w:eastAsia="宋体" w:cs="Times New Roman"/>
          <w:sz w:val="24"/>
          <w:szCs w:val="24"/>
          <w:lang w:eastAsia="zh-CN"/>
          <w14:ligatures w14:val="none"/>
        </w:rPr>
        <w:t>桐庐农商银行守押寄库服务采购项目</w:t>
      </w:r>
    </w:p>
    <w:p>
      <w:pPr>
        <w:tabs>
          <w:tab w:val="left" w:pos="4477"/>
        </w:tabs>
        <w:spacing w:line="400" w:lineRule="exact"/>
        <w:rPr>
          <w:rFonts w:ascii="宋体" w:hAnsi="宋体" w:eastAsia="宋体" w:cs="Times New Roman"/>
          <w:sz w:val="24"/>
          <w:szCs w:val="22"/>
          <w14:ligatures w14:val="none"/>
        </w:rPr>
      </w:pPr>
      <w:r>
        <w:rPr>
          <w:rFonts w:hint="eastAsia" w:ascii="宋体" w:hAnsi="宋体" w:eastAsia="宋体" w:cs="Times New Roman"/>
          <w:sz w:val="24"/>
          <w:szCs w:val="22"/>
          <w14:ligatures w14:val="none"/>
        </w:rPr>
        <w:t>项目编号：</w:t>
      </w:r>
      <w:r>
        <w:rPr>
          <w:rFonts w:hint="eastAsia" w:ascii="宋体" w:hAnsi="宋体" w:eastAsia="宋体" w:cs="宋体"/>
          <w:color w:val="000000"/>
          <w:kern w:val="0"/>
          <w:sz w:val="24"/>
          <w:szCs w:val="24"/>
          <w:lang w:val="en-US" w:eastAsia="zh-CN"/>
          <w14:ligatures w14:val="none"/>
        </w:rPr>
        <w:t>CTJSCG-2024-001-1-1</w:t>
      </w:r>
      <w:r>
        <w:rPr>
          <w:rFonts w:hint="eastAsia" w:ascii="宋体" w:hAnsi="宋体" w:eastAsia="宋体" w:cs="Times New Roman"/>
          <w:sz w:val="24"/>
          <w:szCs w:val="22"/>
          <w14:ligatures w14: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759"/>
        <w:gridCol w:w="1780"/>
        <w:gridCol w:w="6"/>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1</w:t>
            </w:r>
          </w:p>
        </w:tc>
        <w:tc>
          <w:tcPr>
            <w:tcW w:w="8786" w:type="dxa"/>
            <w:gridSpan w:val="4"/>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2</w:t>
            </w:r>
          </w:p>
        </w:tc>
        <w:tc>
          <w:tcPr>
            <w:tcW w:w="4545" w:type="dxa"/>
            <w:gridSpan w:val="3"/>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地址：</w:t>
            </w:r>
          </w:p>
        </w:tc>
        <w:tc>
          <w:tcPr>
            <w:tcW w:w="4241" w:type="dxa"/>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3</w:t>
            </w:r>
          </w:p>
        </w:tc>
        <w:tc>
          <w:tcPr>
            <w:tcW w:w="4539" w:type="dxa"/>
            <w:gridSpan w:val="2"/>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电  话：</w:t>
            </w:r>
          </w:p>
        </w:tc>
        <w:tc>
          <w:tcPr>
            <w:tcW w:w="4247" w:type="dxa"/>
            <w:gridSpan w:val="2"/>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4</w:t>
            </w:r>
          </w:p>
        </w:tc>
        <w:tc>
          <w:tcPr>
            <w:tcW w:w="4539" w:type="dxa"/>
            <w:gridSpan w:val="2"/>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传  真：</w:t>
            </w:r>
          </w:p>
        </w:tc>
        <w:tc>
          <w:tcPr>
            <w:tcW w:w="4247" w:type="dxa"/>
            <w:gridSpan w:val="2"/>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5</w:t>
            </w:r>
          </w:p>
        </w:tc>
        <w:tc>
          <w:tcPr>
            <w:tcW w:w="4539" w:type="dxa"/>
            <w:gridSpan w:val="2"/>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营业执照注册号：</w:t>
            </w:r>
          </w:p>
        </w:tc>
        <w:tc>
          <w:tcPr>
            <w:tcW w:w="4247" w:type="dxa"/>
            <w:gridSpan w:val="2"/>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6</w:t>
            </w:r>
          </w:p>
        </w:tc>
        <w:tc>
          <w:tcPr>
            <w:tcW w:w="2759" w:type="dxa"/>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资质证书及编号</w:t>
            </w:r>
          </w:p>
        </w:tc>
        <w:tc>
          <w:tcPr>
            <w:tcW w:w="6027" w:type="dxa"/>
            <w:gridSpan w:val="3"/>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7</w:t>
            </w:r>
          </w:p>
        </w:tc>
        <w:tc>
          <w:tcPr>
            <w:tcW w:w="2759" w:type="dxa"/>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主营业务</w:t>
            </w:r>
          </w:p>
        </w:tc>
        <w:tc>
          <w:tcPr>
            <w:tcW w:w="6027" w:type="dxa"/>
            <w:gridSpan w:val="3"/>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8</w:t>
            </w:r>
          </w:p>
        </w:tc>
        <w:tc>
          <w:tcPr>
            <w:tcW w:w="8786" w:type="dxa"/>
            <w:gridSpan w:val="4"/>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公司简介</w:t>
            </w:r>
          </w:p>
        </w:tc>
      </w:tr>
    </w:tbl>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宋体"/>
          <w:bCs/>
          <w:color w:val="000000"/>
          <w:kern w:val="0"/>
          <w:sz w:val="24"/>
          <w:szCs w:val="24"/>
          <w14:ligatures w14:val="none"/>
        </w:rPr>
        <w:t>供应商全称</w:t>
      </w:r>
      <w:r>
        <w:rPr>
          <w:rFonts w:hint="eastAsia" w:ascii="宋体" w:hAnsi="宋体" w:eastAsia="宋体" w:cs="Times New Roman"/>
          <w:color w:val="000000"/>
          <w:sz w:val="24"/>
          <w:szCs w:val="24"/>
          <w14:ligatures w14:val="none"/>
        </w:rPr>
        <w:t>：（公章）</w:t>
      </w:r>
    </w:p>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w:t>
      </w:r>
      <w:r>
        <w:rPr>
          <w:rFonts w:hint="eastAsia" w:ascii="宋体" w:hAnsi="宋体" w:eastAsia="宋体" w:cs="Times New Roman"/>
          <w:color w:val="000000"/>
          <w:sz w:val="24"/>
          <w:szCs w:val="24"/>
          <w14:ligatures w14:val="none"/>
        </w:rPr>
        <w:t>（签字</w:t>
      </w:r>
      <w:r>
        <w:rPr>
          <w:rFonts w:hint="eastAsia" w:ascii="宋体" w:hAnsi="宋体" w:eastAsia="宋体" w:cs="Times New Roman"/>
          <w:color w:val="000000"/>
          <w:sz w:val="24"/>
          <w:szCs w:val="24"/>
          <w:lang w:val="en-US" w:eastAsia="zh-CN"/>
          <w14:ligatures w14:val="none"/>
        </w:rPr>
        <w:t>或盖章</w:t>
      </w:r>
      <w:r>
        <w:rPr>
          <w:rFonts w:hint="eastAsia" w:ascii="宋体" w:hAnsi="宋体" w:eastAsia="宋体" w:cs="Times New Roman"/>
          <w:color w:val="000000"/>
          <w:sz w:val="24"/>
          <w:szCs w:val="24"/>
          <w14:ligatures w14:val="none"/>
        </w:rPr>
        <w:t>）：</w:t>
      </w:r>
    </w:p>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日期：2024年  月  日</w:t>
      </w:r>
    </w:p>
    <w:p>
      <w:pPr>
        <w:spacing w:line="380" w:lineRule="exact"/>
        <w:rPr>
          <w:rFonts w:ascii="宋体" w:hAnsi="宋体" w:eastAsia="宋体" w:cs="Times New Roman"/>
          <w:sz w:val="24"/>
          <w:szCs w:val="32"/>
          <w14:ligatures w14:val="none"/>
        </w:rPr>
      </w:pPr>
    </w:p>
    <w:p>
      <w:pPr>
        <w:spacing w:line="380" w:lineRule="exact"/>
        <w:ind w:firstLine="480" w:firstLineChars="200"/>
        <w:rPr>
          <w:rFonts w:ascii="宋体" w:hAnsi="宋体" w:eastAsia="宋体" w:cs="Times New Roman"/>
          <w:sz w:val="24"/>
          <w:szCs w:val="32"/>
          <w14:ligatures w14:val="none"/>
        </w:rPr>
      </w:pPr>
      <w:r>
        <w:rPr>
          <w:rFonts w:hint="eastAsia" w:ascii="宋体" w:hAnsi="宋体" w:eastAsia="宋体" w:cs="Times New Roman"/>
          <w:sz w:val="24"/>
          <w:szCs w:val="32"/>
          <w14:ligatures w14:val="none"/>
        </w:rPr>
        <w:t>说明：本表格可视情形添加或删减。除表格外，可另附文字、图片等情况加以说明。</w:t>
      </w:r>
    </w:p>
    <w:p>
      <w:pPr>
        <w:rPr>
          <w:rFonts w:hint="eastAsia"/>
          <w:sz w:val="24"/>
          <w:szCs w:val="32"/>
          <w:lang w:val="en-US" w:eastAsia="zh-CN"/>
        </w:rPr>
      </w:pPr>
      <w:r>
        <w:rPr>
          <w:rFonts w:hint="eastAsia"/>
          <w:sz w:val="24"/>
          <w:szCs w:val="32"/>
          <w:lang w:val="en-US" w:eastAsia="zh-CN"/>
        </w:rPr>
        <w:br w:type="page"/>
      </w:r>
    </w:p>
    <w:p>
      <w:pPr>
        <w:rPr>
          <w:rFonts w:ascii="宋体" w:hAnsi="宋体" w:eastAsia="宋体" w:cs="Times New Roman"/>
          <w:szCs w:val="24"/>
          <w14:ligatures w14:val="none"/>
        </w:rPr>
      </w:pPr>
      <w:r>
        <w:rPr>
          <w:rFonts w:hint="eastAsia" w:ascii="宋体" w:hAnsi="宋体" w:eastAsia="宋体" w:cs="宋体"/>
          <w:b/>
          <w:spacing w:val="6"/>
          <w:sz w:val="32"/>
          <w:szCs w:val="32"/>
          <w:highlight w:val="none"/>
          <w:lang w:val="en-US" w:eastAsia="zh-CN"/>
        </w:rPr>
        <w:t>附件5：供应商项目业绩实施情况一览表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项目业绩实施情况一览表</w:t>
      </w:r>
    </w:p>
    <w:p>
      <w:pPr>
        <w:tabs>
          <w:tab w:val="left" w:pos="4477"/>
        </w:tabs>
        <w:spacing w:line="400" w:lineRule="exact"/>
        <w:rPr>
          <w:rFonts w:hint="eastAsia" w:ascii="宋体" w:hAnsi="宋体" w:eastAsia="宋体" w:cs="Times New Roman"/>
          <w:sz w:val="24"/>
          <w:szCs w:val="24"/>
          <w:lang w:eastAsia="zh-CN"/>
          <w14:ligatures w14:val="none"/>
        </w:rPr>
      </w:pPr>
      <w:r>
        <w:rPr>
          <w:rFonts w:hint="eastAsia" w:ascii="宋体" w:hAnsi="宋体" w:eastAsia="宋体" w:cs="Times New Roman"/>
          <w:sz w:val="24"/>
          <w:szCs w:val="24"/>
          <w14:ligatures w14:val="none"/>
        </w:rPr>
        <w:t>项目名称：</w:t>
      </w:r>
      <w:r>
        <w:rPr>
          <w:rFonts w:hint="eastAsia" w:ascii="宋体" w:hAnsi="宋体" w:eastAsia="宋体" w:cs="Times New Roman"/>
          <w:sz w:val="24"/>
          <w:szCs w:val="24"/>
          <w:lang w:eastAsia="zh-CN"/>
          <w14:ligatures w14:val="none"/>
        </w:rPr>
        <w:t>桐庐农商银行守押寄库服务采购项目</w:t>
      </w:r>
    </w:p>
    <w:p>
      <w:pPr>
        <w:tabs>
          <w:tab w:val="left" w:pos="4477"/>
        </w:tabs>
        <w:spacing w:line="40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项目编号：</w:t>
      </w:r>
      <w:r>
        <w:rPr>
          <w:rFonts w:hint="eastAsia" w:ascii="宋体" w:hAnsi="宋体" w:eastAsia="宋体" w:cs="宋体"/>
          <w:color w:val="000000"/>
          <w:kern w:val="0"/>
          <w:sz w:val="24"/>
          <w:szCs w:val="24"/>
          <w:lang w:val="en-US" w:eastAsia="zh-CN"/>
          <w14:ligatures w14:val="none"/>
        </w:rPr>
        <w:t>CTJSCG-2024-001-1-1</w:t>
      </w:r>
      <w:r>
        <w:rPr>
          <w:rFonts w:hint="eastAsia" w:ascii="宋体" w:hAnsi="宋体" w:eastAsia="宋体" w:cs="Times New Roman"/>
          <w:sz w:val="24"/>
          <w:szCs w:val="24"/>
          <w14:ligatures w14:val="none"/>
        </w:rPr>
        <w:t xml:space="preserve"> </w:t>
      </w:r>
    </w:p>
    <w:tbl>
      <w:tblPr>
        <w:tblStyle w:val="2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39"/>
        <w:gridCol w:w="1867"/>
        <w:gridCol w:w="1266"/>
        <w:gridCol w:w="2034"/>
        <w:gridCol w:w="116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序号</w:t>
            </w: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交易发起人</w:t>
            </w: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项目内容</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Times New Roman"/>
                <w:bCs/>
                <w:sz w:val="24"/>
                <w:szCs w:val="24"/>
                <w14:ligatures w14:val="none"/>
              </w:rPr>
            </w:pPr>
            <w:r>
              <w:rPr>
                <w:rFonts w:hint="eastAsia" w:ascii="宋体" w:hAnsi="宋体" w:eastAsia="宋体" w:cs="Times New Roman"/>
                <w:bCs/>
                <w:sz w:val="24"/>
                <w:szCs w:val="24"/>
                <w14:ligatures w14:val="none"/>
              </w:rPr>
              <w:t>合同日期</w:t>
            </w: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Times New Roman"/>
                <w:bCs/>
                <w:sz w:val="24"/>
                <w:szCs w:val="24"/>
                <w14:ligatures w14:val="none"/>
              </w:rPr>
            </w:pPr>
            <w:r>
              <w:rPr>
                <w:rFonts w:hint="eastAsia" w:ascii="宋体" w:hAnsi="宋体" w:eastAsia="宋体" w:cs="Times New Roman"/>
                <w:bCs/>
                <w:sz w:val="24"/>
                <w:szCs w:val="24"/>
                <w14:ligatures w14:val="none"/>
              </w:rPr>
              <w:t>交易发起人联系人</w:t>
            </w: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联系方式</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r>
              <w:rPr>
                <w:rFonts w:hint="eastAsia" w:ascii="宋体" w:hAnsi="宋体" w:eastAsia="宋体" w:cs="Times New Roman"/>
                <w:bCs/>
                <w:sz w:val="24"/>
                <w:szCs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5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8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20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1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 w:val="24"/>
                <w:szCs w:val="24"/>
                <w14:ligatures w14:val="none"/>
              </w:rPr>
            </w:pPr>
          </w:p>
        </w:tc>
      </w:tr>
    </w:tbl>
    <w:p>
      <w:pPr>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供应商（盖章）：</w:t>
      </w:r>
    </w:p>
    <w:p>
      <w:pPr>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授权代表（签字</w:t>
      </w:r>
      <w:r>
        <w:rPr>
          <w:rFonts w:hint="eastAsia" w:ascii="宋体" w:hAnsi="宋体" w:eastAsia="宋体" w:cs="Times New Roman"/>
          <w:sz w:val="24"/>
          <w:szCs w:val="24"/>
          <w:lang w:val="en-US" w:eastAsia="zh-CN"/>
          <w14:ligatures w14:val="none"/>
        </w:rPr>
        <w:t>或盖章</w:t>
      </w:r>
      <w:r>
        <w:rPr>
          <w:rFonts w:hint="eastAsia" w:ascii="宋体" w:hAnsi="宋体" w:eastAsia="宋体" w:cs="Times New Roman"/>
          <w:sz w:val="24"/>
          <w:szCs w:val="24"/>
          <w14:ligatures w14:val="none"/>
        </w:rPr>
        <w:t>）：</w:t>
      </w:r>
    </w:p>
    <w:p>
      <w:pPr>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日期：</w:t>
      </w:r>
    </w:p>
    <w:p>
      <w:pPr>
        <w:spacing w:line="440" w:lineRule="exact"/>
        <w:rPr>
          <w:rFonts w:ascii="宋体" w:hAnsi="宋体" w:eastAsia="宋体" w:cs="Times New Roman"/>
          <w:sz w:val="24"/>
          <w:szCs w:val="24"/>
          <w14:ligatures w14:val="none"/>
        </w:rPr>
      </w:pPr>
    </w:p>
    <w:p>
      <w:pPr>
        <w:autoSpaceDE w:val="0"/>
        <w:autoSpaceDN w:val="0"/>
        <w:snapToGrid w:val="0"/>
        <w:spacing w:line="380" w:lineRule="exact"/>
        <w:ind w:firstLine="480" w:firstLineChars="200"/>
        <w:textAlignment w:val="bottom"/>
        <w:rPr>
          <w:rFonts w:ascii="宋体" w:hAnsi="宋体" w:eastAsia="宋体" w:cs="Times New Roman"/>
          <w:sz w:val="24"/>
          <w:szCs w:val="24"/>
          <w14:ligatures w14:val="none"/>
        </w:rPr>
      </w:pPr>
    </w:p>
    <w:p>
      <w:pPr>
        <w:autoSpaceDE w:val="0"/>
        <w:autoSpaceDN w:val="0"/>
        <w:snapToGrid w:val="0"/>
        <w:spacing w:line="380" w:lineRule="exact"/>
        <w:ind w:firstLine="480" w:firstLineChars="200"/>
        <w:textAlignment w:val="bottom"/>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注：供应商从2021年1月1日（合同签订日为准），按招标文件提供相关资料。与事实不符或与其无关的不得分。</w:t>
      </w:r>
    </w:p>
    <w:p>
      <w:pPr>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br w:type="page"/>
      </w:r>
    </w:p>
    <w:p>
      <w:pPr>
        <w:rPr>
          <w:rFonts w:ascii="宋体" w:hAnsi="宋体" w:eastAsia="宋体" w:cs="Times New Roman"/>
          <w:b/>
          <w:color w:val="000000"/>
          <w:sz w:val="44"/>
          <w:szCs w:val="44"/>
          <w14:ligatures w14:val="none"/>
        </w:rPr>
      </w:pPr>
      <w:r>
        <w:rPr>
          <w:rFonts w:hint="eastAsia" w:ascii="宋体" w:hAnsi="宋体" w:eastAsia="宋体" w:cs="宋体"/>
          <w:b/>
          <w:spacing w:val="6"/>
          <w:sz w:val="32"/>
          <w:szCs w:val="32"/>
          <w:highlight w:val="none"/>
          <w:lang w:val="en-US" w:eastAsia="zh-CN"/>
        </w:rPr>
        <w:t>附件6：服务网点情况一览表</w:t>
      </w:r>
    </w:p>
    <w:p>
      <w:pPr>
        <w:adjustRightInd w:val="0"/>
        <w:snapToGrid w:val="0"/>
        <w:jc w:val="center"/>
        <w:rPr>
          <w:rFonts w:hint="eastAsia" w:ascii="宋体" w:hAnsi="宋体" w:eastAsia="宋体" w:cs="Times New Roman"/>
          <w:b/>
          <w:color w:val="000000"/>
          <w:sz w:val="44"/>
          <w:szCs w:val="44"/>
          <w14:ligatures w14:val="none"/>
        </w:rPr>
      </w:pPr>
    </w:p>
    <w:p>
      <w:pPr>
        <w:adjustRightInd w:val="0"/>
        <w:snapToGrid w:val="0"/>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供应商服务网点情况表（金库基地）</w:t>
      </w:r>
    </w:p>
    <w:p>
      <w:pPr>
        <w:tabs>
          <w:tab w:val="left" w:pos="4477"/>
        </w:tabs>
        <w:spacing w:line="400" w:lineRule="exact"/>
        <w:rPr>
          <w:rFonts w:hint="eastAsia" w:ascii="宋体" w:hAnsi="宋体" w:eastAsia="宋体" w:cs="Times New Roman"/>
          <w:sz w:val="24"/>
          <w:szCs w:val="24"/>
          <w:lang w:eastAsia="zh-CN"/>
          <w14:ligatures w14:val="none"/>
        </w:rPr>
      </w:pPr>
      <w:r>
        <w:rPr>
          <w:rFonts w:hint="eastAsia" w:ascii="宋体" w:hAnsi="宋体" w:eastAsia="宋体" w:cs="Times New Roman"/>
          <w:sz w:val="24"/>
          <w:szCs w:val="24"/>
          <w14:ligatures w14:val="none"/>
        </w:rPr>
        <w:t>项目名称：</w:t>
      </w:r>
      <w:r>
        <w:rPr>
          <w:rFonts w:hint="eastAsia" w:ascii="宋体" w:hAnsi="宋体" w:eastAsia="宋体" w:cs="Times New Roman"/>
          <w:sz w:val="24"/>
          <w:szCs w:val="24"/>
          <w:lang w:eastAsia="zh-CN"/>
          <w14:ligatures w14:val="none"/>
        </w:rPr>
        <w:t>桐庐农商银行守押寄库服务采购项目</w:t>
      </w:r>
    </w:p>
    <w:p>
      <w:pPr>
        <w:tabs>
          <w:tab w:val="left" w:pos="4477"/>
        </w:tabs>
        <w:spacing w:line="400" w:lineRule="exact"/>
        <w:rPr>
          <w:rFonts w:ascii="宋体" w:hAnsi="宋体" w:eastAsia="宋体" w:cs="Times New Roman"/>
          <w:b/>
          <w:sz w:val="24"/>
          <w:szCs w:val="24"/>
          <w14:ligatures w14:val="none"/>
        </w:rPr>
      </w:pPr>
      <w:r>
        <w:rPr>
          <w:rFonts w:hint="eastAsia" w:ascii="宋体" w:hAnsi="宋体" w:eastAsia="宋体" w:cs="Times New Roman"/>
          <w:sz w:val="24"/>
          <w:szCs w:val="24"/>
          <w14:ligatures w14:val="none"/>
        </w:rPr>
        <w:t>项目编号：</w:t>
      </w:r>
      <w:r>
        <w:rPr>
          <w:rFonts w:hint="eastAsia" w:ascii="宋体" w:hAnsi="宋体" w:eastAsia="宋体" w:cs="宋体"/>
          <w:color w:val="000000"/>
          <w:kern w:val="0"/>
          <w:sz w:val="24"/>
          <w:szCs w:val="24"/>
          <w:lang w:val="en-US" w:eastAsia="zh-CN"/>
          <w14:ligatures w14:val="none"/>
        </w:rPr>
        <w:t>CTJSCG-2024-001-1-1</w:t>
      </w:r>
      <w:r>
        <w:rPr>
          <w:rFonts w:hint="eastAsia" w:ascii="宋体" w:hAnsi="宋体" w:eastAsia="宋体" w:cs="Times New Roman"/>
          <w:sz w:val="24"/>
          <w:szCs w:val="24"/>
          <w14:ligatures w14: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7"/>
        <w:gridCol w:w="1896"/>
        <w:gridCol w:w="223"/>
        <w:gridCol w:w="1682"/>
        <w:gridCol w:w="1038"/>
        <w:gridCol w:w="27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服务网点名称</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地址</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注册资本金</w:t>
            </w: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c>
          <w:tcPr>
            <w:tcW w:w="29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其中：投标人出资比例</w:t>
            </w:r>
          </w:p>
        </w:tc>
        <w:tc>
          <w:tcPr>
            <w:tcW w:w="2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员工总人数</w:t>
            </w: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c>
          <w:tcPr>
            <w:tcW w:w="29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其中：技术人员数</w:t>
            </w:r>
          </w:p>
        </w:tc>
        <w:tc>
          <w:tcPr>
            <w:tcW w:w="2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经营期限</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服务协议</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服务内容</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工作业绩</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服务承诺</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业务咨询电话</w:t>
            </w:r>
          </w:p>
        </w:tc>
        <w:tc>
          <w:tcPr>
            <w:tcW w:w="2119" w:type="dxa"/>
            <w:gridSpan w:val="2"/>
            <w:tcBorders>
              <w:top w:val="single" w:color="auto" w:sz="4" w:space="0"/>
              <w:left w:val="single" w:color="auto" w:sz="4"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c>
          <w:tcPr>
            <w:tcW w:w="1682" w:type="dxa"/>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ind w:firstLine="240" w:firstLineChars="100"/>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传</w:t>
            </w:r>
            <w:r>
              <w:rPr>
                <w:rFonts w:ascii="宋体" w:hAnsi="宋体" w:eastAsia="宋体" w:cs="Times New Roman"/>
                <w:color w:val="000000"/>
                <w:sz w:val="24"/>
                <w:szCs w:val="24"/>
                <w14:ligatures w14:val="none"/>
              </w:rPr>
              <w:t xml:space="preserve"> 真</w:t>
            </w:r>
          </w:p>
        </w:tc>
        <w:tc>
          <w:tcPr>
            <w:tcW w:w="3830" w:type="dxa"/>
            <w:gridSpan w:val="2"/>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负责人</w:t>
            </w:r>
          </w:p>
        </w:tc>
        <w:tc>
          <w:tcPr>
            <w:tcW w:w="2119" w:type="dxa"/>
            <w:gridSpan w:val="2"/>
            <w:tcBorders>
              <w:top w:val="single" w:color="auto" w:sz="4" w:space="0"/>
              <w:left w:val="single" w:color="auto" w:sz="4"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c>
          <w:tcPr>
            <w:tcW w:w="1682" w:type="dxa"/>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联系电话</w:t>
            </w:r>
          </w:p>
        </w:tc>
        <w:tc>
          <w:tcPr>
            <w:tcW w:w="3830" w:type="dxa"/>
            <w:gridSpan w:val="2"/>
            <w:tcBorders>
              <w:top w:val="single" w:color="auto" w:sz="4" w:space="0"/>
              <w:left w:val="single" w:color="auto" w:sz="2"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备品备件库存</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p>
          <w:p>
            <w:pPr>
              <w:adjustRightInd w:val="0"/>
              <w:snapToGrid w:val="0"/>
              <w:spacing w:line="360" w:lineRule="exac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38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供应商认为需要说明的其他事项：</w:t>
            </w:r>
          </w:p>
          <w:p>
            <w:pPr>
              <w:adjustRightInd w:val="0"/>
              <w:snapToGrid w:val="0"/>
              <w:spacing w:line="360" w:lineRule="exact"/>
              <w:rPr>
                <w:rFonts w:ascii="宋体" w:hAnsi="宋体" w:eastAsia="宋体" w:cs="Times New Roman"/>
                <w:color w:val="000000"/>
                <w:sz w:val="24"/>
                <w:szCs w:val="24"/>
                <w14:ligatures w14:val="none"/>
              </w:rPr>
            </w:pPr>
          </w:p>
          <w:p>
            <w:pPr>
              <w:adjustRightInd w:val="0"/>
              <w:snapToGrid w:val="0"/>
              <w:spacing w:line="360" w:lineRule="exact"/>
              <w:rPr>
                <w:rFonts w:ascii="宋体" w:hAnsi="宋体" w:eastAsia="宋体" w:cs="Times New Roman"/>
                <w:color w:val="000000"/>
                <w:sz w:val="24"/>
                <w:szCs w:val="24"/>
                <w14:ligatures w14:val="none"/>
              </w:rPr>
            </w:pPr>
          </w:p>
          <w:p>
            <w:pPr>
              <w:adjustRightInd w:val="0"/>
              <w:snapToGrid w:val="0"/>
              <w:spacing w:line="360" w:lineRule="exact"/>
              <w:rPr>
                <w:rFonts w:ascii="宋体" w:hAnsi="宋体" w:eastAsia="宋体" w:cs="Times New Roman"/>
                <w:color w:val="000000"/>
                <w:sz w:val="24"/>
                <w:szCs w:val="24"/>
                <w14:ligatures w14:val="none"/>
              </w:rPr>
            </w:pPr>
          </w:p>
        </w:tc>
      </w:tr>
    </w:tbl>
    <w:p>
      <w:pPr>
        <w:adjustRightInd w:val="0"/>
        <w:snapToGrid w:val="0"/>
        <w:rPr>
          <w:rFonts w:ascii="宋体" w:hAnsi="宋体" w:eastAsia="宋体" w:cs="Arial"/>
          <w:color w:val="000000"/>
          <w:sz w:val="24"/>
          <w:szCs w:val="20"/>
          <w14:ligatures w14:val="none"/>
        </w:rPr>
      </w:pP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w:t>
      </w:r>
      <w:r>
        <w:rPr>
          <w:rFonts w:ascii="宋体" w:hAnsi="宋体" w:eastAsia="宋体" w:cs="Times New Roman"/>
          <w:sz w:val="24"/>
          <w:szCs w:val="24"/>
          <w14:ligatures w14:val="none"/>
        </w:rPr>
        <w:t>盖章：</w:t>
      </w: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lang w:val="en-US" w:eastAsia="zh-CN"/>
          <w14:ligatures w14:val="none"/>
        </w:rPr>
        <w:t>签字或盖章</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14:ligatures w14:val="none"/>
        </w:rPr>
        <w:t>：</w:t>
      </w:r>
    </w:p>
    <w:p>
      <w:pPr>
        <w:snapToGrid w:val="0"/>
        <w:spacing w:line="44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日期：2024</w:t>
      </w:r>
      <w:r>
        <w:rPr>
          <w:rFonts w:ascii="宋体" w:hAnsi="宋体" w:eastAsia="宋体" w:cs="Times New Roman"/>
          <w:sz w:val="24"/>
          <w:szCs w:val="24"/>
          <w14:ligatures w14:val="none"/>
        </w:rPr>
        <w:t>年    月　 日</w:t>
      </w:r>
    </w:p>
    <w:p>
      <w:pPr>
        <w:autoSpaceDE w:val="0"/>
        <w:autoSpaceDN w:val="0"/>
        <w:snapToGrid w:val="0"/>
        <w:spacing w:line="420" w:lineRule="exact"/>
        <w:textAlignment w:val="bottom"/>
        <w:rPr>
          <w:rFonts w:ascii="宋体" w:hAnsi="宋体" w:eastAsia="宋体" w:cs="Times New Roman"/>
          <w:sz w:val="24"/>
          <w:szCs w:val="24"/>
          <w14:ligatures w14:val="none"/>
        </w:rPr>
      </w:pPr>
    </w:p>
    <w:p>
      <w:pPr>
        <w:autoSpaceDE w:val="0"/>
        <w:autoSpaceDN w:val="0"/>
        <w:snapToGrid w:val="0"/>
        <w:spacing w:line="420" w:lineRule="exact"/>
        <w:ind w:firstLine="480" w:firstLineChars="200"/>
        <w:textAlignment w:val="bottom"/>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本表格仅提供了样表格式，供应商应根据实际情况自行编制。如有多个服务网点，可提供1个服务网点1张表格。</w:t>
      </w:r>
    </w:p>
    <w:p>
      <w:pPr>
        <w:autoSpaceDE w:val="0"/>
        <w:autoSpaceDN w:val="0"/>
        <w:snapToGrid w:val="0"/>
        <w:spacing w:line="420" w:lineRule="exact"/>
        <w:textAlignment w:val="bottom"/>
        <w:rPr>
          <w:rFonts w:ascii="宋体" w:hAnsi="宋体" w:eastAsia="宋体" w:cs="Times New Roman"/>
          <w:szCs w:val="21"/>
          <w14:ligatures w14:val="none"/>
        </w:rPr>
      </w:pPr>
    </w:p>
    <w:p>
      <w:pPr>
        <w:pStyle w:val="2"/>
        <w:numPr>
          <w:ilvl w:val="1"/>
          <w:numId w:val="0"/>
        </w:numPr>
        <w:ind w:leftChars="0"/>
      </w:pPr>
    </w:p>
    <w:p>
      <w:pPr>
        <w:autoSpaceDE w:val="0"/>
        <w:autoSpaceDN w:val="0"/>
        <w:snapToGrid w:val="0"/>
        <w:spacing w:line="420" w:lineRule="exact"/>
        <w:textAlignment w:val="bottom"/>
        <w:rPr>
          <w:rFonts w:ascii="宋体" w:hAnsi="宋体" w:eastAsia="宋体" w:cs="Times New Roman"/>
          <w:szCs w:val="21"/>
          <w14:ligatures w14:val="none"/>
        </w:rPr>
      </w:pPr>
    </w:p>
    <w:p>
      <w:pPr>
        <w:rPr>
          <w:rFonts w:hint="default"/>
          <w:lang w:val="en-US" w:eastAsia="zh-CN"/>
        </w:rPr>
      </w:pPr>
    </w:p>
    <w:p>
      <w:pPr>
        <w:rPr>
          <w:rFonts w:hint="eastAsia" w:ascii="宋体" w:hAnsi="宋体" w:eastAsia="宋体" w:cs="宋体"/>
          <w:b/>
          <w:spacing w:val="6"/>
          <w:sz w:val="32"/>
          <w:szCs w:val="32"/>
          <w:highlight w:val="none"/>
          <w:lang w:val="en-US" w:eastAsia="zh-CN"/>
        </w:rPr>
      </w:pPr>
      <w:r>
        <w:rPr>
          <w:rFonts w:hint="eastAsia" w:ascii="宋体" w:hAnsi="宋体" w:eastAsia="宋体" w:cs="宋体"/>
          <w:b/>
          <w:spacing w:val="6"/>
          <w:sz w:val="32"/>
          <w:szCs w:val="32"/>
          <w:highlight w:val="none"/>
          <w:lang w:val="en-US" w:eastAsia="zh-CN"/>
        </w:rPr>
        <w:t>附件7：投入本项目实施人员一览表</w:t>
      </w:r>
    </w:p>
    <w:p>
      <w:pPr>
        <w:spacing w:line="360" w:lineRule="auto"/>
        <w:jc w:val="center"/>
        <w:rPr>
          <w:rFonts w:ascii="宋体" w:hAnsi="宋体" w:eastAsia="宋体" w:cs="Times New Roman"/>
          <w:b/>
          <w:sz w:val="28"/>
          <w:szCs w:val="28"/>
          <w14:ligatures w14:val="none"/>
        </w:rPr>
      </w:pPr>
      <w:r>
        <w:rPr>
          <w:rFonts w:hint="eastAsia" w:ascii="宋体" w:hAnsi="宋体" w:eastAsia="宋体" w:cs="Times New Roman"/>
          <w:b/>
          <w:sz w:val="28"/>
          <w:szCs w:val="28"/>
          <w14:ligatures w14:val="none"/>
        </w:rPr>
        <w:t>投入本项目实施人员一览表</w:t>
      </w:r>
    </w:p>
    <w:p>
      <w:pPr>
        <w:spacing w:line="400" w:lineRule="exact"/>
        <w:rPr>
          <w:rFonts w:hint="eastAsia" w:ascii="宋体" w:hAnsi="宋体" w:eastAsia="宋体" w:cs="Times New Roman"/>
          <w:sz w:val="24"/>
          <w:szCs w:val="24"/>
          <w:lang w:eastAsia="zh-CN"/>
          <w14:ligatures w14:val="none"/>
        </w:rPr>
      </w:pPr>
      <w:r>
        <w:rPr>
          <w:rFonts w:hint="eastAsia" w:ascii="宋体" w:hAnsi="宋体" w:eastAsia="宋体" w:cs="Times New Roman"/>
          <w:sz w:val="24"/>
          <w:szCs w:val="24"/>
          <w14:ligatures w14:val="none"/>
        </w:rPr>
        <w:t>项目名称：</w:t>
      </w:r>
      <w:r>
        <w:rPr>
          <w:rFonts w:hint="eastAsia" w:ascii="宋体" w:hAnsi="宋体" w:eastAsia="宋体" w:cs="Times New Roman"/>
          <w:sz w:val="24"/>
          <w:szCs w:val="24"/>
          <w:lang w:eastAsia="zh-CN"/>
          <w14:ligatures w14:val="none"/>
        </w:rPr>
        <w:t>桐庐农商银行守押寄库服务采购项目</w:t>
      </w:r>
    </w:p>
    <w:p>
      <w:pPr>
        <w:spacing w:line="40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项目编号：</w:t>
      </w:r>
      <w:r>
        <w:rPr>
          <w:rFonts w:hint="eastAsia" w:ascii="宋体" w:hAnsi="宋体" w:eastAsia="宋体" w:cs="宋体"/>
          <w:color w:val="000000"/>
          <w:kern w:val="0"/>
          <w:sz w:val="24"/>
          <w:szCs w:val="24"/>
          <w:lang w:val="en-US" w:eastAsia="zh-CN"/>
          <w14:ligatures w14:val="none"/>
        </w:rPr>
        <w:t>CTJSCG-2024-001-1-1</w:t>
      </w:r>
      <w:r>
        <w:rPr>
          <w:rFonts w:ascii="宋体" w:hAnsi="宋体" w:eastAsia="宋体" w:cs="Times New Roman"/>
          <w:sz w:val="24"/>
          <w:szCs w:val="24"/>
          <w14:ligatures w14:val="none"/>
        </w:rPr>
        <w:t xml:space="preserve"> </w:t>
      </w:r>
      <w:r>
        <w:rPr>
          <w:rFonts w:hint="eastAsia" w:ascii="宋体" w:hAnsi="宋体" w:eastAsia="宋体" w:cs="Times New Roman"/>
          <w:sz w:val="24"/>
          <w:szCs w:val="24"/>
          <w14:ligatures w14: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39"/>
        <w:gridCol w:w="595"/>
        <w:gridCol w:w="564"/>
        <w:gridCol w:w="941"/>
        <w:gridCol w:w="1163"/>
        <w:gridCol w:w="131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65"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姓 名</w:t>
            </w:r>
          </w:p>
        </w:tc>
        <w:tc>
          <w:tcPr>
            <w:tcW w:w="2039"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本项目拟任</w:t>
            </w:r>
          </w:p>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岗位</w:t>
            </w:r>
          </w:p>
        </w:tc>
        <w:tc>
          <w:tcPr>
            <w:tcW w:w="595"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年龄</w:t>
            </w:r>
          </w:p>
        </w:tc>
        <w:tc>
          <w:tcPr>
            <w:tcW w:w="564"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性别</w:t>
            </w:r>
          </w:p>
        </w:tc>
        <w:tc>
          <w:tcPr>
            <w:tcW w:w="941"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专 业</w:t>
            </w:r>
          </w:p>
        </w:tc>
        <w:tc>
          <w:tcPr>
            <w:tcW w:w="1163"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职称与</w:t>
            </w:r>
          </w:p>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证书</w:t>
            </w:r>
          </w:p>
        </w:tc>
        <w:tc>
          <w:tcPr>
            <w:tcW w:w="1317"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安排上岗起止时间</w:t>
            </w:r>
          </w:p>
        </w:tc>
        <w:tc>
          <w:tcPr>
            <w:tcW w:w="1715" w:type="dxa"/>
            <w:vAlign w:val="center"/>
          </w:tcPr>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ind w:left="5250" w:leftChars="2500"/>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 w:val="24"/>
                <w:szCs w:val="24"/>
                <w14:ligatures w14:val="none"/>
              </w:rPr>
            </w:pPr>
          </w:p>
        </w:tc>
        <w:tc>
          <w:tcPr>
            <w:tcW w:w="2039" w:type="dxa"/>
            <w:vAlign w:val="center"/>
          </w:tcPr>
          <w:p>
            <w:pPr>
              <w:spacing w:line="360" w:lineRule="auto"/>
              <w:rPr>
                <w:rFonts w:ascii="宋体" w:hAnsi="宋体" w:eastAsia="宋体" w:cs="Times New Roman"/>
                <w:sz w:val="24"/>
                <w:szCs w:val="24"/>
                <w14:ligatures w14:val="none"/>
              </w:rPr>
            </w:pPr>
          </w:p>
        </w:tc>
        <w:tc>
          <w:tcPr>
            <w:tcW w:w="595" w:type="dxa"/>
            <w:vAlign w:val="center"/>
          </w:tcPr>
          <w:p>
            <w:pPr>
              <w:spacing w:line="360" w:lineRule="auto"/>
              <w:rPr>
                <w:rFonts w:ascii="宋体" w:hAnsi="宋体" w:eastAsia="宋体" w:cs="Times New Roman"/>
                <w:sz w:val="24"/>
                <w:szCs w:val="24"/>
                <w14:ligatures w14:val="none"/>
              </w:rPr>
            </w:pPr>
          </w:p>
        </w:tc>
        <w:tc>
          <w:tcPr>
            <w:tcW w:w="564" w:type="dxa"/>
            <w:vAlign w:val="center"/>
          </w:tcPr>
          <w:p>
            <w:pPr>
              <w:spacing w:line="360" w:lineRule="auto"/>
              <w:rPr>
                <w:rFonts w:ascii="宋体" w:hAnsi="宋体" w:eastAsia="宋体" w:cs="Times New Roman"/>
                <w:sz w:val="24"/>
                <w:szCs w:val="24"/>
                <w14:ligatures w14:val="none"/>
              </w:rPr>
            </w:pPr>
          </w:p>
        </w:tc>
        <w:tc>
          <w:tcPr>
            <w:tcW w:w="941" w:type="dxa"/>
            <w:vAlign w:val="center"/>
          </w:tcPr>
          <w:p>
            <w:pPr>
              <w:spacing w:line="360" w:lineRule="auto"/>
              <w:rPr>
                <w:rFonts w:ascii="宋体" w:hAnsi="宋体" w:eastAsia="宋体" w:cs="Times New Roman"/>
                <w:sz w:val="24"/>
                <w:szCs w:val="24"/>
                <w14:ligatures w14:val="none"/>
              </w:rPr>
            </w:pPr>
          </w:p>
        </w:tc>
        <w:tc>
          <w:tcPr>
            <w:tcW w:w="1163" w:type="dxa"/>
            <w:vAlign w:val="center"/>
          </w:tcPr>
          <w:p>
            <w:pPr>
              <w:spacing w:line="360" w:lineRule="auto"/>
              <w:rPr>
                <w:rFonts w:ascii="宋体" w:hAnsi="宋体" w:eastAsia="宋体" w:cs="Times New Roman"/>
                <w:sz w:val="24"/>
                <w:szCs w:val="24"/>
                <w14:ligatures w14:val="none"/>
              </w:rPr>
            </w:pPr>
          </w:p>
        </w:tc>
        <w:tc>
          <w:tcPr>
            <w:tcW w:w="1317" w:type="dxa"/>
            <w:vAlign w:val="center"/>
          </w:tcPr>
          <w:p>
            <w:pPr>
              <w:spacing w:line="360" w:lineRule="auto"/>
              <w:rPr>
                <w:rFonts w:ascii="宋体" w:hAnsi="宋体" w:eastAsia="宋体" w:cs="Times New Roman"/>
                <w:sz w:val="24"/>
                <w:szCs w:val="24"/>
                <w14:ligatures w14:val="none"/>
              </w:rPr>
            </w:pPr>
          </w:p>
        </w:tc>
        <w:tc>
          <w:tcPr>
            <w:tcW w:w="1715" w:type="dxa"/>
            <w:vAlign w:val="center"/>
          </w:tcPr>
          <w:p>
            <w:pPr>
              <w:spacing w:line="360" w:lineRule="auto"/>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9399" w:type="dxa"/>
            <w:gridSpan w:val="8"/>
            <w:vAlign w:val="center"/>
          </w:tcPr>
          <w:p>
            <w:pPr>
              <w:spacing w:line="48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说明：</w:t>
            </w:r>
          </w:p>
        </w:tc>
      </w:tr>
    </w:tbl>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w:t>
      </w:r>
      <w:r>
        <w:rPr>
          <w:rFonts w:ascii="宋体" w:hAnsi="宋体" w:eastAsia="宋体" w:cs="Times New Roman"/>
          <w:sz w:val="24"/>
          <w:szCs w:val="24"/>
          <w14:ligatures w14:val="none"/>
        </w:rPr>
        <w:t>盖章：</w:t>
      </w: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lang w:val="en-US" w:eastAsia="zh-CN"/>
          <w14:ligatures w14:val="none"/>
        </w:rPr>
        <w:t>签字或盖章</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14:ligatures w14:val="none"/>
        </w:rPr>
        <w:t>：</w:t>
      </w:r>
    </w:p>
    <w:p>
      <w:pPr>
        <w:tabs>
          <w:tab w:val="left" w:pos="450"/>
          <w:tab w:val="left" w:pos="8280"/>
        </w:tabs>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日期：2024</w:t>
      </w:r>
      <w:r>
        <w:rPr>
          <w:rFonts w:ascii="宋体" w:hAnsi="宋体" w:eastAsia="宋体" w:cs="Times New Roman"/>
          <w:sz w:val="24"/>
          <w:szCs w:val="24"/>
          <w14:ligatures w14:val="none"/>
        </w:rPr>
        <w:t>年    月　 日</w:t>
      </w:r>
    </w:p>
    <w:p>
      <w:pPr>
        <w:tabs>
          <w:tab w:val="left" w:pos="450"/>
          <w:tab w:val="left" w:pos="8280"/>
        </w:tabs>
        <w:spacing w:line="440" w:lineRule="exact"/>
        <w:rPr>
          <w:rFonts w:ascii="宋体" w:hAnsi="宋体" w:eastAsia="宋体" w:cs="Times New Roman"/>
          <w:sz w:val="24"/>
          <w:szCs w:val="24"/>
          <w14:ligatures w14:val="none"/>
        </w:rPr>
      </w:pPr>
    </w:p>
    <w:p>
      <w:pPr>
        <w:spacing w:line="48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注：1、列入本表人员如要更换，需经采购单位同意。擅自更换或不到位属违约行为。</w:t>
      </w:r>
    </w:p>
    <w:p>
      <w:pPr>
        <w:spacing w:line="480" w:lineRule="exact"/>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2、本表格格式若不符合供应商实际情况，可自行添加或修改。</w:t>
      </w:r>
    </w:p>
    <w:p>
      <w:pPr>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br w:type="page"/>
      </w:r>
    </w:p>
    <w:p>
      <w:pPr>
        <w:rPr>
          <w:rFonts w:ascii="宋体" w:hAnsi="宋体" w:eastAsia="宋体" w:cs="Times New Roman"/>
          <w:szCs w:val="21"/>
          <w14:ligatures w14:val="none"/>
        </w:rPr>
      </w:pPr>
      <w:r>
        <w:rPr>
          <w:rFonts w:hint="eastAsia" w:ascii="宋体" w:hAnsi="宋体" w:eastAsia="宋体" w:cs="宋体"/>
          <w:b/>
          <w:spacing w:val="6"/>
          <w:sz w:val="32"/>
          <w:szCs w:val="32"/>
          <w:highlight w:val="none"/>
          <w:lang w:val="en-US" w:eastAsia="zh-CN"/>
        </w:rPr>
        <w:t>附件8：项目负责人情况表</w:t>
      </w:r>
    </w:p>
    <w:p>
      <w:pPr>
        <w:spacing w:line="360" w:lineRule="auto"/>
        <w:jc w:val="center"/>
        <w:rPr>
          <w:rFonts w:ascii="宋体" w:hAnsi="宋体" w:eastAsia="宋体" w:cs="Times New Roman"/>
          <w:b/>
          <w:sz w:val="28"/>
          <w:szCs w:val="28"/>
          <w14:ligatures w14:val="none"/>
        </w:rPr>
      </w:pPr>
      <w:bookmarkStart w:id="408" w:name="_Toc278123615"/>
      <w:r>
        <w:rPr>
          <w:rFonts w:hint="eastAsia" w:ascii="宋体" w:hAnsi="宋体" w:eastAsia="宋体" w:cs="Times New Roman"/>
          <w:b/>
          <w:sz w:val="28"/>
          <w:szCs w:val="28"/>
          <w14:ligatures w14:val="none"/>
        </w:rPr>
        <w:t>项目负责人情况表</w:t>
      </w:r>
      <w:bookmarkEnd w:id="408"/>
    </w:p>
    <w:p>
      <w:pPr>
        <w:spacing w:line="400" w:lineRule="exact"/>
        <w:rPr>
          <w:rFonts w:hint="eastAsia" w:ascii="宋体" w:hAnsi="宋体" w:eastAsia="宋体" w:cs="Times New Roman"/>
          <w:sz w:val="24"/>
          <w:szCs w:val="24"/>
          <w:lang w:eastAsia="zh-CN"/>
          <w14:ligatures w14:val="none"/>
        </w:rPr>
      </w:pPr>
      <w:r>
        <w:rPr>
          <w:rFonts w:hint="eastAsia" w:ascii="宋体" w:hAnsi="宋体" w:eastAsia="宋体" w:cs="Times New Roman"/>
          <w:sz w:val="24"/>
          <w:szCs w:val="24"/>
          <w14:ligatures w14:val="none"/>
        </w:rPr>
        <w:t>项目名称：</w:t>
      </w:r>
      <w:r>
        <w:rPr>
          <w:rFonts w:hint="eastAsia" w:ascii="宋体" w:hAnsi="宋体" w:eastAsia="宋体" w:cs="Times New Roman"/>
          <w:sz w:val="24"/>
          <w:szCs w:val="24"/>
          <w:lang w:eastAsia="zh-CN"/>
          <w14:ligatures w14:val="none"/>
        </w:rPr>
        <w:t>桐庐农商银行守押寄库服务采购项目</w:t>
      </w:r>
    </w:p>
    <w:p>
      <w:pPr>
        <w:spacing w:line="400" w:lineRule="exact"/>
        <w:rPr>
          <w:rFonts w:hint="default" w:ascii="宋体" w:hAnsi="宋体" w:eastAsia="宋体" w:cs="Times New Roman"/>
          <w:sz w:val="24"/>
          <w:szCs w:val="24"/>
          <w:lang w:val="en-US"/>
          <w14:ligatures w14:val="none"/>
        </w:rPr>
      </w:pPr>
      <w:r>
        <w:rPr>
          <w:rFonts w:hint="eastAsia" w:ascii="宋体" w:hAnsi="宋体" w:eastAsia="宋体" w:cs="Times New Roman"/>
          <w:sz w:val="24"/>
          <w:szCs w:val="24"/>
          <w14:ligatures w14:val="none"/>
        </w:rPr>
        <w:t>项目编号：</w:t>
      </w:r>
      <w:r>
        <w:rPr>
          <w:rFonts w:hint="eastAsia" w:ascii="宋体" w:hAnsi="宋体" w:eastAsia="宋体" w:cs="宋体"/>
          <w:color w:val="000000"/>
          <w:kern w:val="0"/>
          <w:sz w:val="24"/>
          <w:szCs w:val="24"/>
          <w:lang w:val="en-US" w:eastAsia="zh-CN"/>
          <w14:ligatures w14:val="none"/>
        </w:rPr>
        <w:t>CTJSCG-2024-001-1-1</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569"/>
        <w:gridCol w:w="1495"/>
        <w:gridCol w:w="1620"/>
        <w:gridCol w:w="1621"/>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457" w:type="dxa"/>
            <w:vAlign w:val="center"/>
          </w:tcPr>
          <w:p>
            <w:pPr>
              <w:spacing w:line="480" w:lineRule="exact"/>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姓名</w:t>
            </w:r>
          </w:p>
        </w:tc>
        <w:tc>
          <w:tcPr>
            <w:tcW w:w="1569" w:type="dxa"/>
            <w:vAlign w:val="center"/>
          </w:tcPr>
          <w:p>
            <w:pPr>
              <w:spacing w:line="480" w:lineRule="exact"/>
              <w:ind w:firstLine="480" w:firstLineChars="200"/>
              <w:jc w:val="center"/>
              <w:rPr>
                <w:rFonts w:ascii="宋体" w:hAnsi="宋体" w:eastAsia="宋体" w:cs="Times New Roman"/>
                <w:sz w:val="24"/>
                <w:szCs w:val="24"/>
                <w14:ligatures w14:val="none"/>
              </w:rPr>
            </w:pPr>
          </w:p>
        </w:tc>
        <w:tc>
          <w:tcPr>
            <w:tcW w:w="1495" w:type="dxa"/>
            <w:vAlign w:val="center"/>
          </w:tcPr>
          <w:p>
            <w:pPr>
              <w:spacing w:line="480" w:lineRule="exact"/>
              <w:ind w:firstLine="480" w:firstLineChars="200"/>
              <w:jc w:val="both"/>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性别</w:t>
            </w:r>
          </w:p>
        </w:tc>
        <w:tc>
          <w:tcPr>
            <w:tcW w:w="1620" w:type="dxa"/>
            <w:vAlign w:val="center"/>
          </w:tcPr>
          <w:p>
            <w:pPr>
              <w:spacing w:line="480" w:lineRule="exact"/>
              <w:ind w:firstLine="480" w:firstLineChars="200"/>
              <w:jc w:val="center"/>
              <w:rPr>
                <w:rFonts w:ascii="宋体" w:hAnsi="宋体" w:eastAsia="宋体" w:cs="Times New Roman"/>
                <w:sz w:val="24"/>
                <w:szCs w:val="24"/>
                <w14:ligatures w14:val="none"/>
              </w:rPr>
            </w:pPr>
          </w:p>
        </w:tc>
        <w:tc>
          <w:tcPr>
            <w:tcW w:w="1621" w:type="dxa"/>
            <w:vAlign w:val="center"/>
          </w:tcPr>
          <w:p>
            <w:pPr>
              <w:spacing w:line="480" w:lineRule="exact"/>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出生年月</w:t>
            </w:r>
          </w:p>
        </w:tc>
        <w:tc>
          <w:tcPr>
            <w:tcW w:w="1627" w:type="dxa"/>
            <w:vAlign w:val="center"/>
          </w:tcPr>
          <w:p>
            <w:pPr>
              <w:spacing w:line="480" w:lineRule="exact"/>
              <w:ind w:firstLine="480" w:firstLineChars="200"/>
              <w:jc w:val="left"/>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57" w:type="dxa"/>
          </w:tcPr>
          <w:p>
            <w:pPr>
              <w:spacing w:line="480" w:lineRule="exact"/>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文化程度</w:t>
            </w:r>
          </w:p>
        </w:tc>
        <w:tc>
          <w:tcPr>
            <w:tcW w:w="1569" w:type="dxa"/>
            <w:vAlign w:val="center"/>
          </w:tcPr>
          <w:p>
            <w:pPr>
              <w:spacing w:line="480" w:lineRule="exact"/>
              <w:ind w:firstLine="480" w:firstLineChars="200"/>
              <w:jc w:val="center"/>
              <w:rPr>
                <w:rFonts w:ascii="宋体" w:hAnsi="宋体" w:eastAsia="宋体" w:cs="Times New Roman"/>
                <w:sz w:val="24"/>
                <w:szCs w:val="24"/>
                <w14:ligatures w14:val="none"/>
              </w:rPr>
            </w:pPr>
          </w:p>
        </w:tc>
        <w:tc>
          <w:tcPr>
            <w:tcW w:w="1495" w:type="dxa"/>
            <w:vAlign w:val="center"/>
          </w:tcPr>
          <w:p>
            <w:pPr>
              <w:spacing w:line="480" w:lineRule="exact"/>
              <w:ind w:firstLine="480" w:firstLineChars="200"/>
              <w:jc w:val="both"/>
              <w:rPr>
                <w:rFonts w:ascii="宋体" w:hAnsi="宋体" w:eastAsia="宋体" w:cs="Times New Roman"/>
                <w:sz w:val="24"/>
                <w:szCs w:val="24"/>
                <w14:ligatures w14:val="none"/>
              </w:rPr>
            </w:pPr>
            <w:r>
              <w:rPr>
                <w:rFonts w:hint="eastAsia" w:ascii="宋体" w:hAnsi="宋体" w:eastAsia="宋体" w:cs="Times New Roman"/>
                <w:sz w:val="24"/>
                <w:szCs w:val="24"/>
                <w14:ligatures w14:val="none"/>
              </w:rPr>
              <w:t>职称</w:t>
            </w:r>
          </w:p>
        </w:tc>
        <w:tc>
          <w:tcPr>
            <w:tcW w:w="1620" w:type="dxa"/>
            <w:vAlign w:val="center"/>
          </w:tcPr>
          <w:p>
            <w:pPr>
              <w:spacing w:line="480" w:lineRule="exact"/>
              <w:ind w:firstLine="480" w:firstLineChars="200"/>
              <w:jc w:val="center"/>
              <w:rPr>
                <w:rFonts w:ascii="宋体" w:hAnsi="宋体" w:eastAsia="宋体" w:cs="Times New Roman"/>
                <w:sz w:val="24"/>
                <w:szCs w:val="24"/>
                <w14:ligatures w14:val="none"/>
              </w:rPr>
            </w:pPr>
          </w:p>
        </w:tc>
        <w:tc>
          <w:tcPr>
            <w:tcW w:w="1621" w:type="dxa"/>
            <w:vAlign w:val="center"/>
          </w:tcPr>
          <w:p>
            <w:pPr>
              <w:spacing w:line="480" w:lineRule="exact"/>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职务</w:t>
            </w:r>
          </w:p>
        </w:tc>
        <w:tc>
          <w:tcPr>
            <w:tcW w:w="1627" w:type="dxa"/>
            <w:vAlign w:val="center"/>
          </w:tcPr>
          <w:p>
            <w:pPr>
              <w:spacing w:line="480" w:lineRule="exact"/>
              <w:ind w:firstLine="480" w:firstLineChars="200"/>
              <w:jc w:val="left"/>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457" w:type="dxa"/>
            <w:vAlign w:val="center"/>
          </w:tcPr>
          <w:p>
            <w:pPr>
              <w:spacing w:line="480" w:lineRule="exact"/>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专业</w:t>
            </w:r>
          </w:p>
        </w:tc>
        <w:tc>
          <w:tcPr>
            <w:tcW w:w="1569" w:type="dxa"/>
            <w:vAlign w:val="center"/>
          </w:tcPr>
          <w:p>
            <w:pPr>
              <w:spacing w:line="480" w:lineRule="exact"/>
              <w:ind w:firstLine="480" w:firstLineChars="200"/>
              <w:jc w:val="center"/>
              <w:rPr>
                <w:rFonts w:ascii="宋体" w:hAnsi="宋体" w:eastAsia="宋体" w:cs="Times New Roman"/>
                <w:sz w:val="24"/>
                <w:szCs w:val="24"/>
                <w14:ligatures w14:val="none"/>
              </w:rPr>
            </w:pPr>
          </w:p>
        </w:tc>
        <w:tc>
          <w:tcPr>
            <w:tcW w:w="1495" w:type="dxa"/>
            <w:vAlign w:val="center"/>
          </w:tcPr>
          <w:p>
            <w:pPr>
              <w:spacing w:line="480" w:lineRule="exact"/>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专业年限</w:t>
            </w:r>
          </w:p>
        </w:tc>
        <w:tc>
          <w:tcPr>
            <w:tcW w:w="1620" w:type="dxa"/>
            <w:vAlign w:val="center"/>
          </w:tcPr>
          <w:p>
            <w:pPr>
              <w:spacing w:line="480" w:lineRule="exact"/>
              <w:ind w:firstLine="480" w:firstLineChars="200"/>
              <w:jc w:val="center"/>
              <w:rPr>
                <w:rFonts w:ascii="宋体" w:hAnsi="宋体" w:eastAsia="宋体" w:cs="Times New Roman"/>
                <w:sz w:val="24"/>
                <w:szCs w:val="24"/>
                <w14:ligatures w14:val="none"/>
              </w:rPr>
            </w:pPr>
          </w:p>
        </w:tc>
        <w:tc>
          <w:tcPr>
            <w:tcW w:w="1621" w:type="dxa"/>
            <w:vAlign w:val="center"/>
          </w:tcPr>
          <w:p>
            <w:pPr>
              <w:spacing w:line="480" w:lineRule="exact"/>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联系电话</w:t>
            </w:r>
          </w:p>
        </w:tc>
        <w:tc>
          <w:tcPr>
            <w:tcW w:w="1627" w:type="dxa"/>
            <w:vAlign w:val="center"/>
          </w:tcPr>
          <w:p>
            <w:pPr>
              <w:spacing w:line="480" w:lineRule="exact"/>
              <w:ind w:firstLine="480" w:firstLineChars="200"/>
              <w:jc w:val="left"/>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6" w:type="dxa"/>
            <w:gridSpan w:val="2"/>
            <w:vAlign w:val="center"/>
          </w:tcPr>
          <w:p>
            <w:pPr>
              <w:spacing w:line="48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拟在本项目中担任的岗位职务</w:t>
            </w:r>
          </w:p>
        </w:tc>
        <w:tc>
          <w:tcPr>
            <w:tcW w:w="1495" w:type="dxa"/>
            <w:vAlign w:val="center"/>
          </w:tcPr>
          <w:p>
            <w:pPr>
              <w:spacing w:line="480" w:lineRule="exact"/>
              <w:ind w:firstLine="480" w:firstLineChars="200"/>
              <w:jc w:val="left"/>
              <w:rPr>
                <w:rFonts w:ascii="宋体" w:hAnsi="宋体" w:eastAsia="宋体" w:cs="Times New Roman"/>
                <w:sz w:val="24"/>
                <w:szCs w:val="24"/>
                <w14:ligatures w14:val="none"/>
              </w:rPr>
            </w:pPr>
          </w:p>
        </w:tc>
        <w:tc>
          <w:tcPr>
            <w:tcW w:w="1620" w:type="dxa"/>
            <w:vAlign w:val="center"/>
          </w:tcPr>
          <w:p>
            <w:pPr>
              <w:spacing w:line="48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通讯地址</w:t>
            </w:r>
          </w:p>
        </w:tc>
        <w:tc>
          <w:tcPr>
            <w:tcW w:w="3248" w:type="dxa"/>
            <w:gridSpan w:val="2"/>
            <w:vAlign w:val="center"/>
          </w:tcPr>
          <w:p>
            <w:pPr>
              <w:spacing w:line="480" w:lineRule="exact"/>
              <w:ind w:firstLine="480" w:firstLineChars="200"/>
              <w:jc w:val="left"/>
              <w:rPr>
                <w:rFonts w:ascii="宋体" w:hAnsi="宋体" w:eastAsia="宋体" w:cs="Times New Roman"/>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89" w:type="dxa"/>
            <w:gridSpan w:val="6"/>
            <w:vAlign w:val="center"/>
          </w:tcPr>
          <w:p>
            <w:pPr>
              <w:spacing w:line="48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89" w:type="dxa"/>
            <w:gridSpan w:val="6"/>
            <w:vAlign w:val="center"/>
          </w:tcPr>
          <w:p>
            <w:pPr>
              <w:spacing w:line="48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389" w:type="dxa"/>
            <w:gridSpan w:val="6"/>
          </w:tcPr>
          <w:p>
            <w:pPr>
              <w:spacing w:line="48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389" w:type="dxa"/>
            <w:gridSpan w:val="6"/>
          </w:tcPr>
          <w:p>
            <w:pPr>
              <w:spacing w:line="48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389" w:type="dxa"/>
            <w:gridSpan w:val="6"/>
          </w:tcPr>
          <w:p>
            <w:pPr>
              <w:spacing w:line="48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9389" w:type="dxa"/>
            <w:gridSpan w:val="6"/>
          </w:tcPr>
          <w:p>
            <w:pPr>
              <w:spacing w:line="480" w:lineRule="exact"/>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其他情况</w:t>
            </w:r>
          </w:p>
        </w:tc>
      </w:tr>
    </w:tbl>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w:t>
      </w:r>
      <w:r>
        <w:rPr>
          <w:rFonts w:ascii="宋体" w:hAnsi="宋体" w:eastAsia="宋体" w:cs="Times New Roman"/>
          <w:sz w:val="24"/>
          <w:szCs w:val="24"/>
          <w14:ligatures w14:val="none"/>
        </w:rPr>
        <w:t>盖章：</w:t>
      </w: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lang w:val="en-US" w:eastAsia="zh-CN"/>
          <w14:ligatures w14:val="none"/>
        </w:rPr>
        <w:t>签字或盖章</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14:ligatures w14:val="none"/>
        </w:rPr>
        <w:t>：</w:t>
      </w:r>
    </w:p>
    <w:p>
      <w:pPr>
        <w:tabs>
          <w:tab w:val="left" w:pos="450"/>
          <w:tab w:val="left" w:pos="8280"/>
        </w:tabs>
        <w:spacing w:line="440" w:lineRule="exact"/>
        <w:rPr>
          <w:rFonts w:ascii="宋体" w:hAnsi="宋体" w:eastAsia="宋体" w:cs="Times New Roman"/>
          <w:color w:val="000000"/>
          <w:sz w:val="24"/>
          <w:szCs w:val="24"/>
          <w14:ligatures w14:val="none"/>
        </w:rPr>
      </w:pPr>
      <w:r>
        <w:rPr>
          <w:rFonts w:hint="eastAsia" w:ascii="宋体" w:hAnsi="宋体" w:eastAsia="宋体" w:cs="Times New Roman"/>
          <w:sz w:val="24"/>
          <w:szCs w:val="24"/>
          <w14:ligatures w14:val="none"/>
        </w:rPr>
        <w:t>日期：2024</w:t>
      </w:r>
      <w:r>
        <w:rPr>
          <w:rFonts w:ascii="宋体" w:hAnsi="宋体" w:eastAsia="宋体" w:cs="Times New Roman"/>
          <w:sz w:val="24"/>
          <w:szCs w:val="24"/>
          <w14:ligatures w14:val="none"/>
        </w:rPr>
        <w:t>年    月　 日</w:t>
      </w:r>
    </w:p>
    <w:p>
      <w:pPr>
        <w:spacing w:line="480" w:lineRule="exact"/>
        <w:rPr>
          <w:rFonts w:ascii="宋体" w:hAnsi="宋体" w:eastAsia="宋体" w:cs="Times New Roman"/>
          <w:sz w:val="24"/>
          <w:szCs w:val="24"/>
          <w14:ligatures w14:val="none"/>
        </w:rPr>
      </w:pPr>
    </w:p>
    <w:p>
      <w:pPr>
        <w:spacing w:line="48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注：1、应附本人身份证、学历证明、职称证书、已完成业绩的任职证明等证明材料。</w:t>
      </w:r>
    </w:p>
    <w:p>
      <w:pPr>
        <w:spacing w:line="480" w:lineRule="exact"/>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2、表格如不符合本单位情况，可稍作修改，行数不够可自行添加。</w:t>
      </w:r>
    </w:p>
    <w:p>
      <w:pPr>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br w:type="page"/>
      </w:r>
    </w:p>
    <w:p>
      <w:pPr>
        <w:rPr>
          <w:rFonts w:ascii="宋体" w:hAnsi="宋体" w:eastAsia="宋体" w:cs="Times New Roman"/>
          <w:color w:val="000000"/>
          <w:szCs w:val="21"/>
          <w14:ligatures w14:val="none"/>
        </w:rPr>
      </w:pPr>
      <w:r>
        <w:rPr>
          <w:rFonts w:hint="eastAsia" w:ascii="宋体" w:hAnsi="宋体" w:eastAsia="宋体" w:cs="宋体"/>
          <w:b/>
          <w:spacing w:val="6"/>
          <w:sz w:val="32"/>
          <w:szCs w:val="32"/>
          <w:highlight w:val="none"/>
          <w:lang w:val="en-US" w:eastAsia="zh-CN"/>
        </w:rPr>
        <w:t>附件9：相关的荣誉、信誉、奖项情况一览表格式</w:t>
      </w:r>
    </w:p>
    <w:p>
      <w:pPr>
        <w:adjustRightInd w:val="0"/>
        <w:snapToGrid w:val="0"/>
        <w:jc w:val="left"/>
        <w:rPr>
          <w:rFonts w:ascii="宋体" w:hAnsi="宋体" w:eastAsia="宋体" w:cs="Times New Roman"/>
          <w:color w:val="000000"/>
          <w:szCs w:val="21"/>
          <w14:ligatures w14:val="none"/>
        </w:rPr>
      </w:pPr>
    </w:p>
    <w:p>
      <w:pPr>
        <w:spacing w:line="540" w:lineRule="exact"/>
        <w:jc w:val="center"/>
        <w:rPr>
          <w:rFonts w:ascii="宋体" w:hAnsi="宋体" w:eastAsia="宋体" w:cs="Times New Roman"/>
          <w:b/>
          <w:color w:val="000000"/>
          <w:sz w:val="28"/>
          <w:szCs w:val="28"/>
          <w14:ligatures w14:val="none"/>
        </w:rPr>
      </w:pPr>
      <w:r>
        <w:rPr>
          <w:rFonts w:hint="eastAsia" w:ascii="宋体" w:hAnsi="宋体" w:eastAsia="宋体" w:cs="Times New Roman"/>
          <w:b/>
          <w:color w:val="000000"/>
          <w:sz w:val="28"/>
          <w:szCs w:val="28"/>
          <w14:ligatures w14:val="none"/>
        </w:rPr>
        <w:t>荣誉、信誉、奖项证书表（提供复印件并加盖公章）</w:t>
      </w:r>
    </w:p>
    <w:p>
      <w:pPr>
        <w:spacing w:line="540" w:lineRule="exact"/>
        <w:rPr>
          <w:rFonts w:hint="eastAsia" w:ascii="宋体" w:hAnsi="宋体" w:eastAsia="宋体" w:cs="Times New Roman"/>
          <w:sz w:val="24"/>
          <w:szCs w:val="24"/>
          <w:lang w:eastAsia="zh-CN"/>
          <w14:ligatures w14:val="none"/>
        </w:rPr>
      </w:pPr>
      <w:r>
        <w:rPr>
          <w:rFonts w:hint="eastAsia" w:ascii="宋体" w:hAnsi="宋体" w:eastAsia="宋体" w:cs="Times New Roman"/>
          <w:sz w:val="24"/>
          <w:szCs w:val="24"/>
          <w14:ligatures w14:val="none"/>
        </w:rPr>
        <w:t>项目名称：</w:t>
      </w:r>
      <w:r>
        <w:rPr>
          <w:rFonts w:hint="eastAsia" w:ascii="宋体" w:hAnsi="宋体" w:eastAsia="宋体" w:cs="Times New Roman"/>
          <w:sz w:val="24"/>
          <w:szCs w:val="24"/>
          <w:lang w:eastAsia="zh-CN"/>
          <w14:ligatures w14:val="none"/>
        </w:rPr>
        <w:t>桐庐农商银行守押寄库服务采购项目</w:t>
      </w:r>
    </w:p>
    <w:p>
      <w:pPr>
        <w:spacing w:line="40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项目编号：</w:t>
      </w:r>
      <w:r>
        <w:rPr>
          <w:rFonts w:hint="eastAsia" w:ascii="宋体" w:hAnsi="宋体" w:eastAsia="宋体" w:cs="宋体"/>
          <w:color w:val="000000"/>
          <w:kern w:val="0"/>
          <w:sz w:val="24"/>
          <w:szCs w:val="24"/>
          <w:lang w:val="en-US" w:eastAsia="zh-CN"/>
          <w14:ligatures w14:val="none"/>
        </w:rPr>
        <w:t>CTJSCG-2024-001-1-1</w:t>
      </w:r>
      <w:r>
        <w:rPr>
          <w:rFonts w:hint="eastAsia" w:ascii="宋体" w:hAnsi="宋体" w:eastAsia="宋体" w:cs="Times New Roman"/>
          <w:sz w:val="24"/>
          <w:szCs w:val="24"/>
          <w14:ligatures w14:val="non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160"/>
        <w:gridCol w:w="1620"/>
        <w:gridCol w:w="180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vAlign w:val="center"/>
          </w:tcPr>
          <w:p>
            <w:pPr>
              <w:adjustRightInd w:val="0"/>
              <w:snapToGrid w:val="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序号</w:t>
            </w:r>
          </w:p>
        </w:tc>
        <w:tc>
          <w:tcPr>
            <w:tcW w:w="2160" w:type="dxa"/>
            <w:vAlign w:val="center"/>
          </w:tcPr>
          <w:p>
            <w:pPr>
              <w:adjustRightInd w:val="0"/>
              <w:snapToGrid w:val="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证书名称</w:t>
            </w:r>
          </w:p>
        </w:tc>
        <w:tc>
          <w:tcPr>
            <w:tcW w:w="1620" w:type="dxa"/>
            <w:vAlign w:val="center"/>
          </w:tcPr>
          <w:p>
            <w:pPr>
              <w:adjustRightInd w:val="0"/>
              <w:snapToGrid w:val="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颁发机构</w:t>
            </w:r>
          </w:p>
        </w:tc>
        <w:tc>
          <w:tcPr>
            <w:tcW w:w="1800" w:type="dxa"/>
            <w:vAlign w:val="center"/>
          </w:tcPr>
          <w:p>
            <w:pPr>
              <w:adjustRightInd w:val="0"/>
              <w:snapToGrid w:val="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颁发时间</w:t>
            </w:r>
          </w:p>
        </w:tc>
        <w:tc>
          <w:tcPr>
            <w:tcW w:w="2400" w:type="dxa"/>
            <w:vAlign w:val="center"/>
          </w:tcPr>
          <w:p>
            <w:pPr>
              <w:adjustRightInd w:val="0"/>
              <w:snapToGrid w:val="0"/>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6" w:type="dxa"/>
            <w:vAlign w:val="center"/>
          </w:tcPr>
          <w:p>
            <w:pPr>
              <w:adjustRightInd w:val="0"/>
              <w:snapToGrid w:val="0"/>
              <w:jc w:val="left"/>
              <w:rPr>
                <w:rFonts w:ascii="宋体" w:hAnsi="宋体" w:eastAsia="宋体" w:cs="Times New Roman"/>
                <w:color w:val="000000"/>
                <w:sz w:val="24"/>
                <w:szCs w:val="24"/>
                <w14:ligatures w14:val="none"/>
              </w:rPr>
            </w:pPr>
          </w:p>
        </w:tc>
        <w:tc>
          <w:tcPr>
            <w:tcW w:w="2160" w:type="dxa"/>
            <w:vAlign w:val="center"/>
          </w:tcPr>
          <w:p>
            <w:pPr>
              <w:adjustRightInd w:val="0"/>
              <w:snapToGrid w:val="0"/>
              <w:jc w:val="left"/>
              <w:rPr>
                <w:rFonts w:ascii="宋体" w:hAnsi="宋体" w:eastAsia="宋体" w:cs="Times New Roman"/>
                <w:color w:val="000000"/>
                <w:sz w:val="24"/>
                <w:szCs w:val="24"/>
                <w14:ligatures w14:val="none"/>
              </w:rPr>
            </w:pPr>
          </w:p>
        </w:tc>
        <w:tc>
          <w:tcPr>
            <w:tcW w:w="1620" w:type="dxa"/>
            <w:vAlign w:val="center"/>
          </w:tcPr>
          <w:p>
            <w:pPr>
              <w:adjustRightInd w:val="0"/>
              <w:snapToGrid w:val="0"/>
              <w:jc w:val="left"/>
              <w:rPr>
                <w:rFonts w:ascii="宋体" w:hAnsi="宋体" w:eastAsia="宋体" w:cs="Times New Roman"/>
                <w:color w:val="000000"/>
                <w:sz w:val="24"/>
                <w:szCs w:val="24"/>
                <w14:ligatures w14:val="none"/>
              </w:rPr>
            </w:pPr>
          </w:p>
        </w:tc>
        <w:tc>
          <w:tcPr>
            <w:tcW w:w="1800" w:type="dxa"/>
            <w:vAlign w:val="center"/>
          </w:tcPr>
          <w:p>
            <w:pPr>
              <w:adjustRightInd w:val="0"/>
              <w:snapToGrid w:val="0"/>
              <w:jc w:val="left"/>
              <w:rPr>
                <w:rFonts w:ascii="宋体" w:hAnsi="宋体" w:eastAsia="宋体" w:cs="Times New Roman"/>
                <w:color w:val="000000"/>
                <w:sz w:val="24"/>
                <w:szCs w:val="24"/>
                <w14:ligatures w14:val="none"/>
              </w:rPr>
            </w:pPr>
          </w:p>
        </w:tc>
        <w:tc>
          <w:tcPr>
            <w:tcW w:w="2400" w:type="dxa"/>
            <w:vAlign w:val="center"/>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46" w:type="dxa"/>
          </w:tcPr>
          <w:p>
            <w:pPr>
              <w:adjustRightInd w:val="0"/>
              <w:snapToGrid w:val="0"/>
              <w:jc w:val="left"/>
              <w:rPr>
                <w:rFonts w:ascii="宋体" w:hAnsi="宋体" w:eastAsia="宋体" w:cs="Times New Roman"/>
                <w:color w:val="000000"/>
                <w:sz w:val="24"/>
                <w:szCs w:val="24"/>
                <w14:ligatures w14:val="none"/>
              </w:rPr>
            </w:pPr>
          </w:p>
        </w:tc>
        <w:tc>
          <w:tcPr>
            <w:tcW w:w="2160" w:type="dxa"/>
          </w:tcPr>
          <w:p>
            <w:pPr>
              <w:adjustRightInd w:val="0"/>
              <w:snapToGrid w:val="0"/>
              <w:jc w:val="left"/>
              <w:rPr>
                <w:rFonts w:ascii="宋体" w:hAnsi="宋体" w:eastAsia="宋体" w:cs="Times New Roman"/>
                <w:color w:val="000000"/>
                <w:sz w:val="24"/>
                <w:szCs w:val="24"/>
                <w14:ligatures w14:val="none"/>
              </w:rPr>
            </w:pPr>
          </w:p>
        </w:tc>
        <w:tc>
          <w:tcPr>
            <w:tcW w:w="1620" w:type="dxa"/>
          </w:tcPr>
          <w:p>
            <w:pPr>
              <w:adjustRightInd w:val="0"/>
              <w:snapToGrid w:val="0"/>
              <w:jc w:val="left"/>
              <w:rPr>
                <w:rFonts w:ascii="宋体" w:hAnsi="宋体" w:eastAsia="宋体" w:cs="Times New Roman"/>
                <w:color w:val="000000"/>
                <w:sz w:val="24"/>
                <w:szCs w:val="24"/>
                <w14:ligatures w14:val="none"/>
              </w:rPr>
            </w:pPr>
          </w:p>
        </w:tc>
        <w:tc>
          <w:tcPr>
            <w:tcW w:w="1800" w:type="dxa"/>
          </w:tcPr>
          <w:p>
            <w:pPr>
              <w:adjustRightInd w:val="0"/>
              <w:snapToGrid w:val="0"/>
              <w:jc w:val="left"/>
              <w:rPr>
                <w:rFonts w:ascii="宋体" w:hAnsi="宋体" w:eastAsia="宋体" w:cs="Times New Roman"/>
                <w:color w:val="000000"/>
                <w:sz w:val="24"/>
                <w:szCs w:val="24"/>
                <w14:ligatures w14:val="none"/>
              </w:rPr>
            </w:pPr>
          </w:p>
        </w:tc>
        <w:tc>
          <w:tcPr>
            <w:tcW w:w="2400" w:type="dxa"/>
          </w:tcPr>
          <w:p>
            <w:pPr>
              <w:adjustRightInd w:val="0"/>
              <w:snapToGrid w:val="0"/>
              <w:jc w:val="left"/>
              <w:rPr>
                <w:rFonts w:ascii="宋体" w:hAnsi="宋体" w:eastAsia="宋体" w:cs="Times New Roman"/>
                <w:color w:val="000000"/>
                <w:sz w:val="24"/>
                <w:szCs w:val="24"/>
                <w14:ligatures w14:val="none"/>
              </w:rPr>
            </w:pPr>
          </w:p>
        </w:tc>
      </w:tr>
    </w:tbl>
    <w:p>
      <w:pPr>
        <w:adjustRightInd w:val="0"/>
        <w:snapToGrid w:val="0"/>
        <w:spacing w:line="380" w:lineRule="exact"/>
        <w:ind w:right="420"/>
        <w:rPr>
          <w:rFonts w:ascii="宋体" w:hAnsi="宋体" w:eastAsia="宋体" w:cs="Times New Roman"/>
          <w:sz w:val="24"/>
          <w:szCs w:val="24"/>
          <w14:ligatures w14:val="none"/>
        </w:rPr>
      </w:pPr>
    </w:p>
    <w:p>
      <w:pPr>
        <w:adjustRightInd w:val="0"/>
        <w:snapToGrid w:val="0"/>
        <w:spacing w:line="440" w:lineRule="exact"/>
        <w:rPr>
          <w:rFonts w:ascii="宋体" w:hAnsi="宋体" w:eastAsia="宋体" w:cs="Times New Roman"/>
          <w:sz w:val="24"/>
          <w:szCs w:val="24"/>
          <w:u w:val="single"/>
          <w14:ligatures w14:val="none"/>
        </w:rPr>
      </w:pPr>
      <w:r>
        <w:rPr>
          <w:rFonts w:hint="eastAsia" w:ascii="宋体" w:hAnsi="宋体" w:eastAsia="宋体" w:cs="Times New Roman"/>
          <w:sz w:val="24"/>
          <w:szCs w:val="24"/>
          <w14:ligatures w14:val="none"/>
        </w:rPr>
        <w:t>供应商盖章：</w:t>
      </w:r>
    </w:p>
    <w:p>
      <w:pPr>
        <w:adjustRightInd w:val="0"/>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lang w:val="en-US" w:eastAsia="zh-CN"/>
          <w14:ligatures w14:val="none"/>
        </w:rPr>
        <w:t>签字或盖章</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14:ligatures w14:val="none"/>
        </w:rPr>
        <w:t>：</w:t>
      </w:r>
    </w:p>
    <w:p>
      <w:pPr>
        <w:adjustRightInd w:val="0"/>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 xml:space="preserve">日期：2024年  </w:t>
      </w:r>
      <w:r>
        <w:rPr>
          <w:rFonts w:ascii="宋体" w:hAnsi="宋体" w:eastAsia="宋体" w:cs="Times New Roman"/>
          <w:sz w:val="24"/>
          <w:szCs w:val="24"/>
          <w14:ligatures w14:val="none"/>
        </w:rPr>
        <w:t xml:space="preserve">  </w:t>
      </w:r>
      <w:r>
        <w:rPr>
          <w:rFonts w:hint="eastAsia" w:ascii="宋体" w:hAnsi="宋体" w:eastAsia="宋体" w:cs="Times New Roman"/>
          <w:sz w:val="24"/>
          <w:szCs w:val="24"/>
          <w14:ligatures w14:val="none"/>
        </w:rPr>
        <w:t xml:space="preserve">月  </w:t>
      </w:r>
      <w:r>
        <w:rPr>
          <w:rFonts w:ascii="宋体" w:hAnsi="宋体" w:eastAsia="宋体" w:cs="Times New Roman"/>
          <w:sz w:val="24"/>
          <w:szCs w:val="24"/>
          <w14:ligatures w14:val="none"/>
        </w:rPr>
        <w:t xml:space="preserve">  </w:t>
      </w:r>
      <w:r>
        <w:rPr>
          <w:rFonts w:hint="eastAsia" w:ascii="宋体" w:hAnsi="宋体" w:eastAsia="宋体" w:cs="Times New Roman"/>
          <w:sz w:val="24"/>
          <w:szCs w:val="24"/>
          <w14:ligatures w14:val="none"/>
        </w:rPr>
        <w:t>日</w:t>
      </w:r>
    </w:p>
    <w:p>
      <w:pPr>
        <w:adjustRightInd w:val="0"/>
        <w:snapToGrid w:val="0"/>
        <w:spacing w:line="380" w:lineRule="exact"/>
        <w:rPr>
          <w:rFonts w:ascii="宋体" w:hAnsi="宋体" w:eastAsia="宋体" w:cs="Times New Roman"/>
          <w:sz w:val="24"/>
          <w:szCs w:val="24"/>
          <w14:ligatures w14:val="none"/>
        </w:rPr>
      </w:pPr>
    </w:p>
    <w:p>
      <w:pPr>
        <w:adjustRightInd w:val="0"/>
        <w:snapToGrid w:val="0"/>
        <w:spacing w:line="380" w:lineRule="exact"/>
        <w:rPr>
          <w:rFonts w:ascii="宋体" w:hAnsi="宋体" w:eastAsia="宋体" w:cs="Times New Roman"/>
          <w:sz w:val="24"/>
          <w:szCs w:val="24"/>
          <w14:ligatures w14:val="none"/>
        </w:rPr>
      </w:pPr>
    </w:p>
    <w:p>
      <w:pPr>
        <w:adjustRightInd w:val="0"/>
        <w:snapToGrid w:val="0"/>
        <w:ind w:firstLine="600" w:firstLineChars="250"/>
        <w:jc w:val="left"/>
        <w:rPr>
          <w:rFonts w:hint="eastAsia" w:ascii="宋体" w:hAnsi="宋体" w:eastAsia="宋体" w:cs="Times New Roman"/>
          <w:color w:val="000000"/>
          <w:sz w:val="24"/>
          <w:szCs w:val="24"/>
          <w14:ligatures w14:val="none"/>
        </w:rPr>
      </w:pPr>
      <w:r>
        <w:rPr>
          <w:rFonts w:hint="eastAsia" w:ascii="宋体" w:hAnsi="宋体" w:eastAsia="宋体" w:cs="Times New Roman"/>
          <w:sz w:val="24"/>
          <w:szCs w:val="24"/>
          <w14:ligatures w14:val="none"/>
        </w:rPr>
        <w:t>注：1、</w:t>
      </w:r>
      <w:r>
        <w:rPr>
          <w:rFonts w:hint="eastAsia" w:ascii="宋体" w:hAnsi="宋体" w:eastAsia="宋体" w:cs="Times New Roman"/>
          <w:color w:val="000000"/>
          <w:sz w:val="24"/>
          <w:szCs w:val="24"/>
          <w14:ligatures w14:val="none"/>
        </w:rPr>
        <w:t>此表仅提供了表格形式，投标人应根据需要准备足够数量的表格来填写。</w:t>
      </w:r>
    </w:p>
    <w:p>
      <w:pPr>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br w:type="page"/>
      </w:r>
    </w:p>
    <w:p>
      <w:pPr>
        <w:rPr>
          <w:rFonts w:hint="default" w:ascii="宋体" w:hAnsi="宋体" w:eastAsia="宋体" w:cs="Times New Roman"/>
          <w:szCs w:val="24"/>
          <w:lang w:val="en-US" w:eastAsia="zh-CN"/>
          <w14:ligatures w14:val="none"/>
        </w:rPr>
      </w:pPr>
      <w:r>
        <w:rPr>
          <w:rFonts w:hint="eastAsia" w:ascii="宋体" w:hAnsi="宋体" w:eastAsia="宋体" w:cs="宋体"/>
          <w:b/>
          <w:spacing w:val="6"/>
          <w:sz w:val="32"/>
          <w:szCs w:val="32"/>
          <w:highlight w:val="none"/>
          <w:lang w:val="en-US" w:eastAsia="zh-CN"/>
        </w:rPr>
        <w:t>附件10：服务承诺函</w:t>
      </w:r>
    </w:p>
    <w:p>
      <w:pPr>
        <w:spacing w:line="480" w:lineRule="exact"/>
        <w:rPr>
          <w:rFonts w:ascii="宋体" w:hAnsi="宋体" w:eastAsia="宋体" w:cs="Times New Roman"/>
          <w:color w:val="FF0000"/>
          <w:sz w:val="32"/>
          <w:szCs w:val="32"/>
          <w14:ligatures w14:val="none"/>
        </w:rPr>
      </w:pPr>
    </w:p>
    <w:p>
      <w:pPr>
        <w:spacing w:line="480" w:lineRule="exact"/>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服务承诺函</w:t>
      </w:r>
    </w:p>
    <w:p>
      <w:pPr>
        <w:spacing w:line="480" w:lineRule="exact"/>
        <w:rPr>
          <w:rFonts w:ascii="宋体" w:hAnsi="宋体" w:eastAsia="宋体" w:cs="Times New Roman"/>
          <w:sz w:val="32"/>
          <w:szCs w:val="32"/>
          <w14:ligatures w14:val="none"/>
        </w:rPr>
      </w:pPr>
    </w:p>
    <w:p>
      <w:pPr>
        <w:snapToGrid w:val="0"/>
        <w:spacing w:line="44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如本项目供应商有服务承诺情形的，请供应商对承诺内容进行具体说明。</w:t>
      </w:r>
    </w:p>
    <w:p>
      <w:pPr>
        <w:snapToGrid w:val="0"/>
        <w:spacing w:line="440" w:lineRule="exact"/>
        <w:ind w:firstLine="480" w:firstLineChars="200"/>
        <w:rPr>
          <w:rFonts w:ascii="宋体" w:hAnsi="宋体" w:eastAsia="宋体" w:cs="Times New Roman"/>
          <w:sz w:val="24"/>
          <w:szCs w:val="24"/>
          <w14:ligatures w14:val="none"/>
        </w:rPr>
      </w:pPr>
    </w:p>
    <w:p>
      <w:pPr>
        <w:snapToGrid w:val="0"/>
        <w:spacing w:line="440" w:lineRule="exact"/>
        <w:ind w:firstLine="480" w:firstLineChars="200"/>
        <w:rPr>
          <w:rFonts w:ascii="宋体" w:hAnsi="宋体" w:eastAsia="宋体" w:cs="Times New Roman"/>
          <w:sz w:val="24"/>
          <w:szCs w:val="24"/>
          <w14:ligatures w14:val="none"/>
        </w:rPr>
      </w:pPr>
    </w:p>
    <w:p>
      <w:pPr>
        <w:spacing w:line="480" w:lineRule="exact"/>
        <w:rPr>
          <w:rFonts w:ascii="宋体" w:hAnsi="宋体" w:eastAsia="宋体" w:cs="Times New Roman"/>
          <w:sz w:val="24"/>
          <w:szCs w:val="24"/>
          <w14:ligatures w14:val="none"/>
        </w:rPr>
      </w:pPr>
    </w:p>
    <w:p>
      <w:pPr>
        <w:spacing w:line="480" w:lineRule="exact"/>
        <w:rPr>
          <w:rFonts w:ascii="宋体" w:hAnsi="宋体" w:eastAsia="宋体" w:cs="Times New Roman"/>
          <w:sz w:val="24"/>
          <w:szCs w:val="24"/>
          <w14:ligatures w14:val="none"/>
        </w:rPr>
      </w:pP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w:t>
      </w:r>
      <w:r>
        <w:rPr>
          <w:rFonts w:ascii="宋体" w:hAnsi="宋体" w:eastAsia="宋体" w:cs="Times New Roman"/>
          <w:sz w:val="24"/>
          <w:szCs w:val="24"/>
          <w14:ligatures w14:val="none"/>
        </w:rPr>
        <w:t>盖章：</w:t>
      </w: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lang w:val="en-US" w:eastAsia="zh-CN"/>
          <w14:ligatures w14:val="none"/>
        </w:rPr>
        <w:t>签字或盖章</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14:ligatures w14:val="none"/>
        </w:rPr>
        <w:t>：</w:t>
      </w:r>
    </w:p>
    <w:p>
      <w:pPr>
        <w:adjustRightInd w:val="0"/>
        <w:snapToGrid w:val="0"/>
        <w:spacing w:line="440" w:lineRule="exact"/>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日期：2024</w:t>
      </w:r>
      <w:r>
        <w:rPr>
          <w:rFonts w:ascii="宋体" w:hAnsi="宋体" w:eastAsia="宋体" w:cs="Times New Roman"/>
          <w:sz w:val="24"/>
          <w:szCs w:val="24"/>
          <w14:ligatures w14:val="none"/>
        </w:rPr>
        <w:t>年    月　 日</w:t>
      </w: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rPr>
          <w:rFonts w:hint="eastAsia" w:ascii="宋体" w:hAnsi="宋体" w:eastAsia="宋体" w:cs="Times New Roman"/>
          <w:szCs w:val="24"/>
          <w14:ligatures w14:val="none"/>
        </w:rPr>
      </w:pPr>
      <w:r>
        <w:rPr>
          <w:rFonts w:hint="eastAsia" w:ascii="宋体" w:hAnsi="宋体" w:eastAsia="宋体" w:cs="Times New Roman"/>
          <w:szCs w:val="24"/>
          <w14:ligatures w14:val="none"/>
        </w:rPr>
        <w:br w:type="page"/>
      </w:r>
    </w:p>
    <w:p>
      <w:pPr>
        <w:rPr>
          <w:rFonts w:hint="default" w:ascii="宋体" w:hAnsi="宋体" w:eastAsia="宋体" w:cs="Times New Roman"/>
          <w:szCs w:val="24"/>
          <w:lang w:val="en-US" w:eastAsia="zh-CN"/>
          <w14:ligatures w14:val="none"/>
        </w:rPr>
      </w:pPr>
      <w:r>
        <w:rPr>
          <w:rFonts w:hint="eastAsia" w:ascii="宋体" w:hAnsi="宋体" w:eastAsia="宋体" w:cs="宋体"/>
          <w:b/>
          <w:spacing w:val="6"/>
          <w:sz w:val="32"/>
          <w:szCs w:val="32"/>
          <w:highlight w:val="none"/>
          <w:lang w:val="en-US" w:eastAsia="zh-CN"/>
        </w:rPr>
        <w:t>附件11：车辆配备清单</w:t>
      </w:r>
    </w:p>
    <w:p>
      <w:pPr>
        <w:rPr>
          <w:rFonts w:ascii="宋体" w:hAnsi="宋体" w:eastAsia="宋体" w:cs="Times New Roman"/>
          <w:szCs w:val="24"/>
          <w14:ligatures w14:val="none"/>
        </w:rPr>
      </w:pPr>
    </w:p>
    <w:p>
      <w:pPr>
        <w:rPr>
          <w:rFonts w:ascii="宋体" w:hAnsi="宋体" w:eastAsia="宋体" w:cs="Times New Roman"/>
          <w:szCs w:val="24"/>
          <w14:ligatures w14:val="none"/>
        </w:rPr>
      </w:pPr>
    </w:p>
    <w:p>
      <w:pPr>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车辆配备清单</w:t>
      </w:r>
    </w:p>
    <w:p>
      <w:pPr>
        <w:rPr>
          <w:rFonts w:ascii="宋体" w:hAnsi="宋体" w:eastAsia="宋体" w:cs="Times New Roman"/>
          <w:szCs w:val="24"/>
          <w14:ligatures w14:val="none"/>
        </w:rPr>
      </w:pPr>
    </w:p>
    <w:p>
      <w:pPr>
        <w:jc w:val="center"/>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各供应商自行提供相关车辆的信息</w:t>
      </w:r>
    </w:p>
    <w:p>
      <w:pPr>
        <w:rPr>
          <w:rFonts w:ascii="宋体" w:hAnsi="宋体" w:eastAsia="宋体" w:cs="Times New Roman"/>
          <w:sz w:val="24"/>
          <w:szCs w:val="24"/>
          <w14:ligatures w14:val="none"/>
        </w:rPr>
      </w:pPr>
    </w:p>
    <w:p>
      <w:pPr>
        <w:snapToGrid w:val="0"/>
        <w:spacing w:line="440" w:lineRule="exact"/>
        <w:rPr>
          <w:rFonts w:ascii="宋体" w:hAnsi="宋体" w:eastAsia="宋体" w:cs="Times New Roman"/>
          <w:sz w:val="24"/>
          <w:szCs w:val="24"/>
          <w14:ligatures w14:val="none"/>
        </w:rPr>
      </w:pPr>
    </w:p>
    <w:p>
      <w:pPr>
        <w:snapToGrid w:val="0"/>
        <w:spacing w:line="440" w:lineRule="exact"/>
        <w:rPr>
          <w:rFonts w:ascii="宋体" w:hAnsi="宋体" w:eastAsia="宋体" w:cs="Times New Roman"/>
          <w:sz w:val="24"/>
          <w:szCs w:val="24"/>
          <w14:ligatures w14:val="none"/>
        </w:rPr>
      </w:pP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w:t>
      </w:r>
      <w:r>
        <w:rPr>
          <w:rFonts w:ascii="宋体" w:hAnsi="宋体" w:eastAsia="宋体" w:cs="Times New Roman"/>
          <w:sz w:val="24"/>
          <w:szCs w:val="24"/>
          <w14:ligatures w14:val="none"/>
        </w:rPr>
        <w:t>盖章：</w:t>
      </w:r>
    </w:p>
    <w:p>
      <w:pPr>
        <w:snapToGrid w:val="0"/>
        <w:spacing w:line="440" w:lineRule="exact"/>
        <w:rPr>
          <w:rFonts w:ascii="宋体" w:hAnsi="宋体" w:eastAsia="宋体" w:cs="Times New Roman"/>
          <w:sz w:val="24"/>
          <w:szCs w:val="24"/>
          <w14:ligatures w14:val="none"/>
        </w:rPr>
      </w:pPr>
      <w:r>
        <w:rPr>
          <w:rFonts w:hint="eastAsia" w:ascii="宋体" w:hAnsi="宋体" w:eastAsia="宋体" w:cs="Times New Roman"/>
          <w:sz w:val="24"/>
          <w:szCs w:val="24"/>
          <w:lang w:val="en-US" w:eastAsia="zh-CN"/>
          <w14:ligatures w14:val="none"/>
        </w:rPr>
        <w:t>法定代表人或</w:t>
      </w:r>
      <w:r>
        <w:rPr>
          <w:rFonts w:hint="eastAsia" w:ascii="宋体" w:hAnsi="宋体" w:eastAsia="宋体" w:cs="Times New Roman"/>
          <w:sz w:val="24"/>
          <w:szCs w:val="24"/>
          <w14:ligatures w14:val="none"/>
        </w:rPr>
        <w:t>授权代表</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lang w:val="en-US" w:eastAsia="zh-CN"/>
          <w14:ligatures w14:val="none"/>
        </w:rPr>
        <w:t>签字或盖章</w:t>
      </w:r>
      <w:r>
        <w:rPr>
          <w:rFonts w:hint="eastAsia" w:ascii="宋体" w:hAnsi="宋体" w:eastAsia="宋体" w:cs="Times New Roman"/>
          <w:sz w:val="24"/>
          <w:szCs w:val="24"/>
          <w:lang w:eastAsia="zh-CN"/>
          <w14:ligatures w14:val="none"/>
        </w:rPr>
        <w:t>）</w:t>
      </w:r>
      <w:r>
        <w:rPr>
          <w:rFonts w:hint="eastAsia" w:ascii="宋体" w:hAnsi="宋体" w:eastAsia="宋体" w:cs="Times New Roman"/>
          <w:sz w:val="24"/>
          <w:szCs w:val="24"/>
          <w14:ligatures w14:val="none"/>
        </w:rPr>
        <w:t>：</w:t>
      </w:r>
    </w:p>
    <w:p>
      <w:pPr>
        <w:snapToGrid w:val="0"/>
        <w:spacing w:line="440" w:lineRule="exact"/>
        <w:rPr>
          <w:rFonts w:ascii="宋体" w:hAnsi="宋体" w:eastAsia="宋体" w:cs="Times New Roman"/>
          <w:sz w:val="24"/>
          <w:szCs w:val="24"/>
          <w14:ligatures w14:val="none"/>
        </w:rPr>
      </w:pPr>
    </w:p>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Times New Roman"/>
          <w:sz w:val="24"/>
          <w:szCs w:val="24"/>
          <w14:ligatures w14:val="none"/>
        </w:rPr>
        <w:t>日期：2024</w:t>
      </w:r>
      <w:r>
        <w:rPr>
          <w:rFonts w:ascii="宋体" w:hAnsi="宋体" w:eastAsia="宋体" w:cs="Times New Roman"/>
          <w:sz w:val="24"/>
          <w:szCs w:val="24"/>
          <w14:ligatures w14:val="none"/>
        </w:rPr>
        <w:t>年    月　 日</w:t>
      </w:r>
    </w:p>
    <w:p>
      <w:pPr>
        <w:pStyle w:val="2"/>
        <w:numPr>
          <w:ilvl w:val="1"/>
          <w:numId w:val="0"/>
        </w:numPr>
        <w:ind w:leftChars="0"/>
      </w:pPr>
    </w:p>
    <w:p>
      <w:pPr>
        <w:spacing w:line="540" w:lineRule="exact"/>
        <w:rPr>
          <w:rFonts w:ascii="宋体" w:hAnsi="宋体" w:eastAsia="宋体" w:cs="Times New Roman"/>
          <w:sz w:val="32"/>
          <w:szCs w:val="32"/>
          <w14:ligatures w14:val="none"/>
        </w:rPr>
      </w:pPr>
    </w:p>
    <w:p>
      <w:pPr>
        <w:pStyle w:val="2"/>
        <w:numPr>
          <w:ilvl w:val="1"/>
          <w:numId w:val="0"/>
        </w:numPr>
        <w:ind w:leftChars="0"/>
      </w:pPr>
    </w:p>
    <w:p>
      <w:pPr>
        <w:pStyle w:val="2"/>
        <w:numPr>
          <w:ilvl w:val="1"/>
          <w:numId w:val="0"/>
        </w:numPr>
        <w:ind w:leftChars="0"/>
        <w:rPr>
          <w:rFonts w:hint="eastAsia"/>
        </w:rPr>
      </w:pPr>
    </w:p>
    <w:p>
      <w:pPr>
        <w:spacing w:line="360" w:lineRule="auto"/>
        <w:jc w:val="both"/>
        <w:rPr>
          <w:rFonts w:hint="eastAsia" w:ascii="宋体" w:hAnsi="宋体" w:eastAsia="宋体" w:cs="宋体"/>
          <w:sz w:val="24"/>
          <w:highlight w:val="none"/>
          <w:u w:val="single"/>
        </w:rPr>
      </w:pPr>
    </w:p>
    <w:sectPr>
      <w:headerReference r:id="rId15" w:type="default"/>
      <w:footerReference r:id="rId16" w:type="default"/>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B837043-4AE6-4F8D-8988-13FF97588AB3}"/>
  </w:font>
  <w:font w:name="Arial">
    <w:panose1 w:val="020B0604020202020204"/>
    <w:charset w:val="01"/>
    <w:family w:val="swiss"/>
    <w:pitch w:val="default"/>
    <w:sig w:usb0="E0002EFF" w:usb1="C000785B" w:usb2="00000009" w:usb3="00000000" w:csb0="400001FF" w:csb1="FFFF0000"/>
    <w:embedRegular r:id="rId2" w:fontKey="{E3CAFC36-C834-47DD-A431-8A300D07234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80328C5F-068A-46E8-946F-44FE22477899}"/>
  </w:font>
  <w:font w:name="仿宋">
    <w:panose1 w:val="02010609060101010101"/>
    <w:charset w:val="86"/>
    <w:family w:val="auto"/>
    <w:pitch w:val="default"/>
    <w:sig w:usb0="800002BF" w:usb1="38CF7CFA" w:usb2="00000016" w:usb3="00000000" w:csb0="00040001" w:csb1="00000000"/>
    <w:embedRegular r:id="rId4" w:fontKey="{036E9382-1623-47EE-A981-FE813624957F}"/>
  </w:font>
  <w:font w:name="Wingdings 2">
    <w:panose1 w:val="05020102010507070707"/>
    <w:charset w:val="02"/>
    <w:family w:val="roman"/>
    <w:pitch w:val="default"/>
    <w:sig w:usb0="00000000" w:usb1="00000000" w:usb2="00000000" w:usb3="00000000" w:csb0="80000000" w:csb1="00000000"/>
    <w:embedRegular r:id="rId5" w:fontKey="{E2623C44-3ED1-43E7-85FF-70DBF301769C}"/>
  </w:font>
  <w:font w:name="新宋体">
    <w:panose1 w:val="02010609030101010101"/>
    <w:charset w:val="86"/>
    <w:family w:val="modern"/>
    <w:pitch w:val="default"/>
    <w:sig w:usb0="00000203" w:usb1="288F0000" w:usb2="00000006" w:usb3="00000000" w:csb0="00040001" w:csb1="00000000"/>
    <w:embedRegular r:id="rId6" w:fontKey="{6786BFE2-AF34-4CC7-8B88-2ED4BA595743}"/>
  </w:font>
  <w:font w:name="宋体-18030">
    <w:altName w:val="宋体"/>
    <w:panose1 w:val="00000000000000000000"/>
    <w:charset w:val="86"/>
    <w:family w:val="modern"/>
    <w:pitch w:val="default"/>
    <w:sig w:usb0="00000000" w:usb1="00000000" w:usb2="000A005E" w:usb3="00000000" w:csb0="00040001" w:csb1="00000000"/>
    <w:embedRegular r:id="rId7" w:fontKey="{89316441-2C84-465D-AB55-3E91AF3244ED}"/>
  </w:font>
  <w:font w:name="仿宋_GB2312">
    <w:panose1 w:val="02010609030101010101"/>
    <w:charset w:val="86"/>
    <w:family w:val="modern"/>
    <w:pitch w:val="default"/>
    <w:sig w:usb0="00000001" w:usb1="080E0000" w:usb2="00000000" w:usb3="00000000" w:csb0="00040000" w:csb1="00000000"/>
    <w:embedRegular r:id="rId8" w:fontKey="{C0B22A18-FFD9-4A49-86A9-9129F8BE56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方正仿宋_GB2312" w:eastAsia="方正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27</w:t>
                    </w:r>
                    <w:r>
                      <w:fldChar w:fldCharType="end"/>
                    </w:r>
                  </w:p>
                </w:txbxContent>
              </v:textbox>
            </v:shape>
          </w:pict>
        </mc:Fallback>
      </mc:AlternateContent>
    </w:r>
  </w:p>
  <w:p>
    <w:pPr>
      <w:rPr>
        <w:rFonts w:ascii="方正仿宋_GB2312" w:eastAsia="方正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方正仿宋_GB2312" w:eastAsia="方正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Pr>
      <w:rPr>
        <w:rFonts w:ascii="方正仿宋_GB2312" w:eastAsia="方正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方正仿宋_GB2312" w:eastAsia="方正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19</w:t>
                    </w:r>
                    <w:r>
                      <w:fldChar w:fldCharType="end"/>
                    </w:r>
                  </w:p>
                </w:txbxContent>
              </v:textbox>
            </v:shape>
          </w:pict>
        </mc:Fallback>
      </mc:AlternateContent>
    </w:r>
  </w:p>
  <w:p>
    <w:pPr>
      <w:rPr>
        <w:rFonts w:ascii="方正仿宋_GB2312" w:eastAsia="方正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方正仿宋_GB2312" w:eastAsia="方正仿宋_GB2312"/>
      </w:rPr>
    </w:pPr>
    <w:r>
      <w:rPr>
        <w:rFonts w:hint="eastAsia" w:ascii="方正仿宋_GB2312" w:eastAsia="方正仿宋_GB2312"/>
        <w:kern w:val="0"/>
      </w:rPr>
      <w:t xml:space="preserve">第 </w:t>
    </w:r>
    <w:r>
      <w:rPr>
        <w:rFonts w:hint="eastAsia" w:ascii="方正仿宋_GB2312" w:eastAsia="方正仿宋_GB2312"/>
        <w:kern w:val="0"/>
      </w:rPr>
      <w:fldChar w:fldCharType="begin"/>
    </w:r>
    <w:r>
      <w:rPr>
        <w:rFonts w:hint="eastAsia" w:ascii="方正仿宋_GB2312" w:eastAsia="方正仿宋_GB2312"/>
        <w:kern w:val="0"/>
      </w:rPr>
      <w:instrText xml:space="preserve"> PAGE </w:instrText>
    </w:r>
    <w:r>
      <w:rPr>
        <w:rFonts w:hint="eastAsia" w:ascii="方正仿宋_GB2312" w:eastAsia="方正仿宋_GB2312"/>
        <w:kern w:val="0"/>
      </w:rPr>
      <w:fldChar w:fldCharType="separate"/>
    </w:r>
    <w:r>
      <w:rPr>
        <w:rFonts w:ascii="方正仿宋_GB2312" w:eastAsia="方正仿宋_GB2312"/>
        <w:kern w:val="0"/>
      </w:rPr>
      <w:t>47</w:t>
    </w:r>
    <w:r>
      <w:rPr>
        <w:rFonts w:hint="eastAsia" w:ascii="方正仿宋_GB2312" w:eastAsia="方正仿宋_GB2312"/>
        <w:kern w:val="0"/>
      </w:rPr>
      <w:fldChar w:fldCharType="end"/>
    </w:r>
    <w:r>
      <w:rPr>
        <w:rFonts w:hint="eastAsia" w:ascii="方正仿宋_GB2312" w:eastAsia="方正仿宋_GB2312"/>
        <w:kern w:val="0"/>
      </w:rPr>
      <w:t xml:space="preserve"> 页 共 </w:t>
    </w:r>
    <w:r>
      <w:rPr>
        <w:rFonts w:hint="eastAsia" w:ascii="方正仿宋_GB2312" w:eastAsia="方正仿宋_GB2312"/>
        <w:kern w:val="0"/>
      </w:rPr>
      <w:fldChar w:fldCharType="begin"/>
    </w:r>
    <w:r>
      <w:rPr>
        <w:rFonts w:hint="eastAsia" w:ascii="方正仿宋_GB2312" w:eastAsia="方正仿宋_GB2312"/>
        <w:kern w:val="0"/>
      </w:rPr>
      <w:instrText xml:space="preserve"> NUMPAGES </w:instrText>
    </w:r>
    <w:r>
      <w:rPr>
        <w:rFonts w:hint="eastAsia" w:ascii="方正仿宋_GB2312" w:eastAsia="方正仿宋_GB2312"/>
        <w:kern w:val="0"/>
      </w:rPr>
      <w:fldChar w:fldCharType="separate"/>
    </w:r>
    <w:r>
      <w:rPr>
        <w:rFonts w:ascii="方正仿宋_GB2312" w:eastAsia="方正仿宋_GB2312"/>
        <w:kern w:val="0"/>
      </w:rPr>
      <w:t>47</w:t>
    </w:r>
    <w:r>
      <w:rPr>
        <w:rFonts w:hint="eastAsia" w:ascii="方正仿宋_GB2312" w:eastAsia="方正仿宋_GB2312"/>
        <w:kern w:val="0"/>
      </w:rPr>
      <w:fldChar w:fldCharType="end"/>
    </w:r>
    <w:r>
      <w:rPr>
        <w:rFonts w:hint="eastAsia" w:ascii="方正仿宋_GB2312" w:eastAsia="方正仿宋_GB2312"/>
        <w:kern w:val="0"/>
      </w:rPr>
      <w:t xml:space="preserve"> 页</w:t>
    </w:r>
  </w:p>
  <w:p>
    <w:pPr>
      <w:rPr>
        <w:rFonts w:ascii="方正仿宋_GB2312" w:eastAsia="方正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方正仿宋_GB2312" w:eastAsia="方正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Pr>
      <w:rPr>
        <w:rFonts w:ascii="方正仿宋_GB2312" w:eastAsia="方正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方正仿宋_GB2312" w:eastAsia="方正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方正仿宋_GB2312" w:eastAsia="方正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Pr>
      <w:rPr>
        <w:rFonts w:ascii="方正仿宋_GB2312" w:eastAsia="方正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方正仿宋_GB2312" w:eastAsia="方正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Cs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sz w:val="20"/>
        <w:szCs w:val="20"/>
        <w:lang w:val="zh-CN"/>
      </w:rPr>
    </w:pPr>
    <w:r>
      <w:rPr>
        <w:rFonts w:hint="eastAsia" w:eastAsia="宋体"/>
        <w:sz w:val="20"/>
        <w:szCs w:val="20"/>
        <w:lang w:val="zh-CN"/>
      </w:rPr>
      <w:t>桐庐农商银行守押寄库服务采购项目</w:t>
    </w:r>
    <w:r>
      <w:rPr>
        <w:rFonts w:hint="eastAsia" w:eastAsia="宋体"/>
        <w:sz w:val="20"/>
        <w:szCs w:val="20"/>
        <w:lang w:val="en-US" w:eastAsia="zh-CN"/>
      </w:rPr>
      <w:t xml:space="preserve">     </w:t>
    </w:r>
    <w:r>
      <w:rPr>
        <w:rFonts w:hint="eastAsia"/>
        <w:sz w:val="20"/>
        <w:szCs w:val="20"/>
        <w:lang w:val="en-US" w:eastAsia="zh-CN"/>
      </w:rPr>
      <w:t xml:space="preserve">                       </w:t>
    </w:r>
    <w:r>
      <w:rPr>
        <w:rFonts w:hint="eastAsia"/>
        <w:sz w:val="20"/>
        <w:szCs w:val="20"/>
        <w:lang w:val="zh-CN"/>
      </w:rPr>
      <w:t xml:space="preserve"> 【竞争性磋商】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rFonts w:hint="eastAsia" w:eastAsia="宋体"/>
        <w:sz w:val="20"/>
        <w:szCs w:val="20"/>
        <w:lang w:val="zh-CN"/>
      </w:rPr>
      <w:t>桐庐农商银行守押寄库服务采购项目</w:t>
    </w:r>
    <w:r>
      <w:rPr>
        <w:rFonts w:hint="eastAsia"/>
        <w:sz w:val="20"/>
        <w:szCs w:val="20"/>
        <w:lang w:val="zh-CN" w:eastAsia="zh-CN"/>
      </w:rPr>
      <w:t>目</w:t>
    </w:r>
    <w:r>
      <w:rPr>
        <w:rFonts w:hint="eastAsia"/>
        <w:sz w:val="20"/>
        <w:szCs w:val="20"/>
        <w:lang w:val="zh-CN"/>
      </w:rPr>
      <w:t></w:t>
    </w:r>
    <w:r>
      <w:rPr>
        <w:rFonts w:hint="eastAsia"/>
        <w:sz w:val="20"/>
        <w:szCs w:val="20"/>
        <w:lang w:val="en-US" w:eastAsia="zh-CN"/>
      </w:rPr>
      <w:t xml:space="preserve">                            </w:t>
    </w:r>
    <w:r>
      <w:rPr>
        <w:rFonts w:hint="eastAsia"/>
        <w:sz w:val="20"/>
        <w:szCs w:val="20"/>
        <w:lang w:val="zh-CN"/>
      </w:rPr>
      <w:t xml:space="preserve"> 【竞争性磋商】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eastAsia="宋体"/>
        <w:sz w:val="20"/>
        <w:szCs w:val="20"/>
        <w:lang w:val="zh-CN"/>
      </w:rPr>
      <w:t>桐庐农商银行守押寄库服务采购项目</w:t>
    </w:r>
    <w:r>
      <w:rPr>
        <w:rFonts w:hint="eastAsia"/>
        <w:sz w:val="20"/>
        <w:szCs w:val="20"/>
        <w:lang w:val="zh-CN"/>
      </w:rPr>
      <w:t></w:t>
    </w:r>
    <w:r>
      <w:rPr>
        <w:rFonts w:hint="eastAsia"/>
        <w:sz w:val="20"/>
        <w:szCs w:val="20"/>
        <w:lang w:val="en-US" w:eastAsia="zh-CN"/>
      </w:rPr>
      <w:t xml:space="preserve">                            </w:t>
    </w:r>
    <w:r>
      <w:rPr>
        <w:rFonts w:hint="eastAsia"/>
        <w:sz w:val="20"/>
        <w:szCs w:val="20"/>
        <w:lang w:val="zh-CN"/>
      </w:rPr>
      <w:t xml:space="preserve"> </w:t>
    </w:r>
    <w:r>
      <w:rPr>
        <w:rFonts w:hint="eastAsia"/>
        <w:sz w:val="20"/>
        <w:szCs w:val="20"/>
        <w:lang w:val="en-US" w:eastAsia="zh-CN"/>
      </w:rPr>
      <w:t xml:space="preserve"> </w:t>
    </w:r>
    <w:r>
      <w:rPr>
        <w:rFonts w:hint="eastAsia"/>
        <w:sz w:val="20"/>
        <w:szCs w:val="20"/>
        <w:lang w:val="zh-CN"/>
      </w:rPr>
      <w:t>【竞争性磋商】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rFonts w:hint="eastAsia" w:eastAsia="宋体"/>
        <w:sz w:val="20"/>
        <w:szCs w:val="20"/>
        <w:lang w:val="zh-CN"/>
      </w:rPr>
      <w:t>桐庐农商银行守押寄库服务采购项目</w:t>
    </w:r>
    <w:r>
      <w:rPr>
        <w:rFonts w:hint="eastAsia"/>
        <w:sz w:val="20"/>
        <w:szCs w:val="20"/>
        <w:lang w:val="zh-CN"/>
      </w:rPr>
      <w:t></w:t>
    </w:r>
    <w:r>
      <w:rPr>
        <w:rFonts w:hint="eastAsia"/>
        <w:sz w:val="20"/>
        <w:szCs w:val="20"/>
        <w:lang w:val="en-US" w:eastAsia="zh-CN"/>
      </w:rPr>
      <w:t xml:space="preserve">                            </w:t>
    </w:r>
    <w:r>
      <w:rPr>
        <w:rFonts w:hint="eastAsia"/>
        <w:sz w:val="20"/>
        <w:szCs w:val="20"/>
        <w:lang w:val="zh-CN"/>
      </w:rPr>
      <w:t xml:space="preserve"> 【竞争性磋商】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rFonts w:hint="eastAsia" w:eastAsia="宋体"/>
        <w:sz w:val="20"/>
        <w:szCs w:val="20"/>
        <w:lang w:val="zh-CN"/>
      </w:rPr>
      <w:t>桐庐农商银行守押寄库服务采购项目</w:t>
    </w:r>
    <w:r>
      <w:rPr>
        <w:rFonts w:hint="eastAsia"/>
        <w:sz w:val="20"/>
        <w:szCs w:val="20"/>
        <w:lang w:val="zh-CN"/>
      </w:rPr>
      <w:t></w:t>
    </w:r>
    <w:r>
      <w:rPr>
        <w:rFonts w:hint="eastAsia"/>
        <w:sz w:val="20"/>
        <w:szCs w:val="20"/>
        <w:lang w:val="en-US" w:eastAsia="zh-CN"/>
      </w:rPr>
      <w:t xml:space="preserve">                            </w:t>
    </w:r>
    <w:r>
      <w:rPr>
        <w:rFonts w:hint="eastAsia"/>
        <w:sz w:val="20"/>
        <w:szCs w:val="20"/>
        <w:lang w:val="zh-CN"/>
      </w:rPr>
      <w:t xml:space="preserve"> 【竞争性磋商】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F8211"/>
    <w:multiLevelType w:val="singleLevel"/>
    <w:tmpl w:val="95CF8211"/>
    <w:lvl w:ilvl="0" w:tentative="0">
      <w:start w:val="9"/>
      <w:numFmt w:val="decimal"/>
      <w:suff w:val="space"/>
      <w:lvlText w:val="%1."/>
      <w:lvlJc w:val="left"/>
    </w:lvl>
  </w:abstractNum>
  <w:abstractNum w:abstractNumId="1">
    <w:nsid w:val="BF5A0EAE"/>
    <w:multiLevelType w:val="singleLevel"/>
    <w:tmpl w:val="BF5A0EAE"/>
    <w:lvl w:ilvl="0" w:tentative="0">
      <w:start w:val="1"/>
      <w:numFmt w:val="decimal"/>
      <w:pStyle w:val="11"/>
      <w:lvlText w:val="%1."/>
      <w:lvlJc w:val="left"/>
      <w:pPr>
        <w:tabs>
          <w:tab w:val="left" w:pos="360"/>
        </w:tabs>
        <w:ind w:left="360" w:hanging="360"/>
      </w:pPr>
    </w:lvl>
  </w:abstractNum>
  <w:abstractNum w:abstractNumId="2">
    <w:nsid w:val="E5A68F44"/>
    <w:multiLevelType w:val="multilevel"/>
    <w:tmpl w:val="E5A68F44"/>
    <w:lvl w:ilvl="0" w:tentative="0">
      <w:start w:val="1"/>
      <w:numFmt w:val="chineseCounting"/>
      <w:pStyle w:val="3"/>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3">
    <w:nsid w:val="EF661788"/>
    <w:multiLevelType w:val="singleLevel"/>
    <w:tmpl w:val="EF661788"/>
    <w:lvl w:ilvl="0" w:tentative="0">
      <w:start w:val="1"/>
      <w:numFmt w:val="decimal"/>
      <w:suff w:val="nothing"/>
      <w:lvlText w:val="%1、"/>
      <w:lvlJc w:val="left"/>
    </w:lvl>
  </w:abstractNum>
  <w:abstractNum w:abstractNumId="4">
    <w:nsid w:val="12156FE1"/>
    <w:multiLevelType w:val="singleLevel"/>
    <w:tmpl w:val="12156FE1"/>
    <w:lvl w:ilvl="0" w:tentative="0">
      <w:start w:val="2"/>
      <w:numFmt w:val="chineseCounting"/>
      <w:suff w:val="nothing"/>
      <w:lvlText w:val="%1、"/>
      <w:lvlJc w:val="left"/>
      <w:rPr>
        <w:rFonts w:hint="eastAsia"/>
      </w:rPr>
    </w:lvl>
  </w:abstractNum>
  <w:abstractNum w:abstractNumId="5">
    <w:nsid w:val="194E6C37"/>
    <w:multiLevelType w:val="singleLevel"/>
    <w:tmpl w:val="194E6C37"/>
    <w:lvl w:ilvl="0" w:tentative="0">
      <w:start w:val="8"/>
      <w:numFmt w:val="decimal"/>
      <w:suff w:val="space"/>
      <w:lvlText w:val="%1."/>
      <w:lvlJc w:val="left"/>
    </w:lvl>
  </w:abstractNum>
  <w:abstractNum w:abstractNumId="6">
    <w:nsid w:val="20993935"/>
    <w:multiLevelType w:val="singleLevel"/>
    <w:tmpl w:val="20993935"/>
    <w:lvl w:ilvl="0" w:tentative="0">
      <w:start w:val="14"/>
      <w:numFmt w:val="decimal"/>
      <w:suff w:val="nothing"/>
      <w:lvlText w:val="%1."/>
      <w:lvlJc w:val="left"/>
    </w:lvl>
  </w:abstractNum>
  <w:abstractNum w:abstractNumId="7">
    <w:nsid w:val="4C5D34F3"/>
    <w:multiLevelType w:val="singleLevel"/>
    <w:tmpl w:val="4C5D34F3"/>
    <w:lvl w:ilvl="0" w:tentative="0">
      <w:start w:val="1"/>
      <w:numFmt w:val="decimal"/>
      <w:suff w:val="nothing"/>
      <w:lvlText w:val="%1、"/>
      <w:lvlJc w:val="left"/>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NTRkNmYyYmVkMmZiOGJkMTA1NjJmZTMzMTJlMGMifQ=="/>
    <w:docVar w:name="KSO_WPS_MARK_KEY" w:val="98291b71-bb5d-487b-99e6-e6aef1f9851c"/>
  </w:docVars>
  <w:rsids>
    <w:rsidRoot w:val="3740606E"/>
    <w:rsid w:val="00095854"/>
    <w:rsid w:val="001C5D24"/>
    <w:rsid w:val="00300352"/>
    <w:rsid w:val="00427B44"/>
    <w:rsid w:val="005C4D2E"/>
    <w:rsid w:val="006C64B4"/>
    <w:rsid w:val="00813BDB"/>
    <w:rsid w:val="009049D8"/>
    <w:rsid w:val="00951361"/>
    <w:rsid w:val="00A641FB"/>
    <w:rsid w:val="00B5443F"/>
    <w:rsid w:val="00BB6261"/>
    <w:rsid w:val="00C21A4D"/>
    <w:rsid w:val="00C44682"/>
    <w:rsid w:val="00CB5DB5"/>
    <w:rsid w:val="00D074CA"/>
    <w:rsid w:val="00E901A1"/>
    <w:rsid w:val="00EA14A1"/>
    <w:rsid w:val="00F46D15"/>
    <w:rsid w:val="00F47319"/>
    <w:rsid w:val="0111121C"/>
    <w:rsid w:val="01583748"/>
    <w:rsid w:val="01853E11"/>
    <w:rsid w:val="018856AF"/>
    <w:rsid w:val="01AC59EF"/>
    <w:rsid w:val="01C012ED"/>
    <w:rsid w:val="01C0309B"/>
    <w:rsid w:val="01D54D98"/>
    <w:rsid w:val="01EC20E2"/>
    <w:rsid w:val="01F3521E"/>
    <w:rsid w:val="01F36FCC"/>
    <w:rsid w:val="02004145"/>
    <w:rsid w:val="020369F3"/>
    <w:rsid w:val="022217EA"/>
    <w:rsid w:val="024141DC"/>
    <w:rsid w:val="025008C3"/>
    <w:rsid w:val="0261487E"/>
    <w:rsid w:val="028547F9"/>
    <w:rsid w:val="02BC2FB5"/>
    <w:rsid w:val="02BD75DA"/>
    <w:rsid w:val="02F95048"/>
    <w:rsid w:val="03004097"/>
    <w:rsid w:val="032C4E8C"/>
    <w:rsid w:val="032F04D8"/>
    <w:rsid w:val="03541CED"/>
    <w:rsid w:val="03716D43"/>
    <w:rsid w:val="03991DF6"/>
    <w:rsid w:val="03A16A8E"/>
    <w:rsid w:val="03B7227C"/>
    <w:rsid w:val="03BB6210"/>
    <w:rsid w:val="03CF5817"/>
    <w:rsid w:val="03E5503B"/>
    <w:rsid w:val="03EE0393"/>
    <w:rsid w:val="04025BED"/>
    <w:rsid w:val="04161698"/>
    <w:rsid w:val="04363AE8"/>
    <w:rsid w:val="04441D61"/>
    <w:rsid w:val="0447009A"/>
    <w:rsid w:val="04806B11"/>
    <w:rsid w:val="04814D63"/>
    <w:rsid w:val="048A330C"/>
    <w:rsid w:val="04A62A1C"/>
    <w:rsid w:val="04B844FD"/>
    <w:rsid w:val="04D56E5D"/>
    <w:rsid w:val="04F37631"/>
    <w:rsid w:val="04F80D9E"/>
    <w:rsid w:val="04F96FF0"/>
    <w:rsid w:val="05045994"/>
    <w:rsid w:val="053A6724"/>
    <w:rsid w:val="053F077B"/>
    <w:rsid w:val="05860640"/>
    <w:rsid w:val="059E7B97"/>
    <w:rsid w:val="05AA653C"/>
    <w:rsid w:val="05DB0FA5"/>
    <w:rsid w:val="05E41A4E"/>
    <w:rsid w:val="05F257ED"/>
    <w:rsid w:val="062C51A3"/>
    <w:rsid w:val="064249C6"/>
    <w:rsid w:val="065564A8"/>
    <w:rsid w:val="066C5109"/>
    <w:rsid w:val="066F4BAC"/>
    <w:rsid w:val="067F3525"/>
    <w:rsid w:val="06AE5BB8"/>
    <w:rsid w:val="06B22EEB"/>
    <w:rsid w:val="06BF7DC5"/>
    <w:rsid w:val="06D80E87"/>
    <w:rsid w:val="06F832D7"/>
    <w:rsid w:val="07076234"/>
    <w:rsid w:val="072440CC"/>
    <w:rsid w:val="07384D1E"/>
    <w:rsid w:val="073A744C"/>
    <w:rsid w:val="07AC659B"/>
    <w:rsid w:val="07D23B28"/>
    <w:rsid w:val="07D7113E"/>
    <w:rsid w:val="07DE427B"/>
    <w:rsid w:val="07ED44BE"/>
    <w:rsid w:val="081144B5"/>
    <w:rsid w:val="082F4AD6"/>
    <w:rsid w:val="08393BA7"/>
    <w:rsid w:val="08422A5C"/>
    <w:rsid w:val="085F2718"/>
    <w:rsid w:val="088241D3"/>
    <w:rsid w:val="08874912"/>
    <w:rsid w:val="0889068B"/>
    <w:rsid w:val="088A1B31"/>
    <w:rsid w:val="0892357E"/>
    <w:rsid w:val="089963F4"/>
    <w:rsid w:val="08AF5C17"/>
    <w:rsid w:val="08B1198F"/>
    <w:rsid w:val="08C01BD2"/>
    <w:rsid w:val="08C07E24"/>
    <w:rsid w:val="08D31906"/>
    <w:rsid w:val="08D54BBC"/>
    <w:rsid w:val="08DA2C94"/>
    <w:rsid w:val="08DA4AB3"/>
    <w:rsid w:val="08E660E3"/>
    <w:rsid w:val="09151F1E"/>
    <w:rsid w:val="093F0D49"/>
    <w:rsid w:val="099B68C7"/>
    <w:rsid w:val="09CB0D20"/>
    <w:rsid w:val="09D26061"/>
    <w:rsid w:val="09DD25B6"/>
    <w:rsid w:val="0A0C3321"/>
    <w:rsid w:val="0A1E3055"/>
    <w:rsid w:val="0A256191"/>
    <w:rsid w:val="0A40746F"/>
    <w:rsid w:val="0A60541B"/>
    <w:rsid w:val="0A742C74"/>
    <w:rsid w:val="0A8C4462"/>
    <w:rsid w:val="0AA90B70"/>
    <w:rsid w:val="0AAC240E"/>
    <w:rsid w:val="0AAE262A"/>
    <w:rsid w:val="0AB21CBF"/>
    <w:rsid w:val="0AE734A3"/>
    <w:rsid w:val="0AE95411"/>
    <w:rsid w:val="0B022976"/>
    <w:rsid w:val="0B071D3B"/>
    <w:rsid w:val="0B1B7A70"/>
    <w:rsid w:val="0B24469B"/>
    <w:rsid w:val="0B2E376B"/>
    <w:rsid w:val="0B372EC4"/>
    <w:rsid w:val="0B50723E"/>
    <w:rsid w:val="0B582596"/>
    <w:rsid w:val="0B6B22C9"/>
    <w:rsid w:val="0BA92DF2"/>
    <w:rsid w:val="0BAB6B6A"/>
    <w:rsid w:val="0BB51797"/>
    <w:rsid w:val="0BC32105"/>
    <w:rsid w:val="0BC33EB3"/>
    <w:rsid w:val="0BD0037E"/>
    <w:rsid w:val="0BD35428"/>
    <w:rsid w:val="0BD936D7"/>
    <w:rsid w:val="0C0515EA"/>
    <w:rsid w:val="0C3E353A"/>
    <w:rsid w:val="0C871385"/>
    <w:rsid w:val="0C873133"/>
    <w:rsid w:val="0C880C59"/>
    <w:rsid w:val="0CCF4ADA"/>
    <w:rsid w:val="0CE560AB"/>
    <w:rsid w:val="0CFF0F1B"/>
    <w:rsid w:val="0D044784"/>
    <w:rsid w:val="0D246BD4"/>
    <w:rsid w:val="0D3B3F1D"/>
    <w:rsid w:val="0D441024"/>
    <w:rsid w:val="0D5154EF"/>
    <w:rsid w:val="0D5D20E6"/>
    <w:rsid w:val="0D6E42F3"/>
    <w:rsid w:val="0DA51818"/>
    <w:rsid w:val="0DB37F58"/>
    <w:rsid w:val="0DC21F49"/>
    <w:rsid w:val="0E325320"/>
    <w:rsid w:val="0E6179B4"/>
    <w:rsid w:val="0EB110FD"/>
    <w:rsid w:val="0EC87A33"/>
    <w:rsid w:val="0EE04D7C"/>
    <w:rsid w:val="0F1746BC"/>
    <w:rsid w:val="0F2A424A"/>
    <w:rsid w:val="0F403A6D"/>
    <w:rsid w:val="0F437B1F"/>
    <w:rsid w:val="0F6634D4"/>
    <w:rsid w:val="0F806638"/>
    <w:rsid w:val="0F8676D2"/>
    <w:rsid w:val="0F933B9D"/>
    <w:rsid w:val="0FEB39D9"/>
    <w:rsid w:val="0FED076B"/>
    <w:rsid w:val="0FF54858"/>
    <w:rsid w:val="1021564D"/>
    <w:rsid w:val="107514F4"/>
    <w:rsid w:val="1077526D"/>
    <w:rsid w:val="107F4121"/>
    <w:rsid w:val="108160EB"/>
    <w:rsid w:val="108C1CE9"/>
    <w:rsid w:val="10BB15FD"/>
    <w:rsid w:val="10C009C2"/>
    <w:rsid w:val="1109680C"/>
    <w:rsid w:val="110D797F"/>
    <w:rsid w:val="111B209C"/>
    <w:rsid w:val="112F78F5"/>
    <w:rsid w:val="1131366D"/>
    <w:rsid w:val="11324A7D"/>
    <w:rsid w:val="113B44EC"/>
    <w:rsid w:val="1142587A"/>
    <w:rsid w:val="114C04A7"/>
    <w:rsid w:val="114C494B"/>
    <w:rsid w:val="114E06C3"/>
    <w:rsid w:val="11553800"/>
    <w:rsid w:val="1158509E"/>
    <w:rsid w:val="115A0A34"/>
    <w:rsid w:val="11BB1D3F"/>
    <w:rsid w:val="11BD75F7"/>
    <w:rsid w:val="11C113F1"/>
    <w:rsid w:val="11D72467"/>
    <w:rsid w:val="11F748B7"/>
    <w:rsid w:val="121F796A"/>
    <w:rsid w:val="1235718D"/>
    <w:rsid w:val="12371157"/>
    <w:rsid w:val="123A29F6"/>
    <w:rsid w:val="12554325"/>
    <w:rsid w:val="128019F0"/>
    <w:rsid w:val="128D33BB"/>
    <w:rsid w:val="12BC631D"/>
    <w:rsid w:val="12C66037"/>
    <w:rsid w:val="12DE15D3"/>
    <w:rsid w:val="12EA441C"/>
    <w:rsid w:val="13070B2A"/>
    <w:rsid w:val="131B45D5"/>
    <w:rsid w:val="131D659F"/>
    <w:rsid w:val="13C95DDF"/>
    <w:rsid w:val="13CE33F5"/>
    <w:rsid w:val="13D6674E"/>
    <w:rsid w:val="14157276"/>
    <w:rsid w:val="141D437D"/>
    <w:rsid w:val="142E658A"/>
    <w:rsid w:val="14425B91"/>
    <w:rsid w:val="144E09DA"/>
    <w:rsid w:val="145F04F1"/>
    <w:rsid w:val="145F6743"/>
    <w:rsid w:val="146855F8"/>
    <w:rsid w:val="1487010A"/>
    <w:rsid w:val="14926B19"/>
    <w:rsid w:val="149A777C"/>
    <w:rsid w:val="14AB08FF"/>
    <w:rsid w:val="14CB1AD4"/>
    <w:rsid w:val="14D42C8D"/>
    <w:rsid w:val="14D47131"/>
    <w:rsid w:val="14D57CB1"/>
    <w:rsid w:val="14DB04C0"/>
    <w:rsid w:val="14F86A77"/>
    <w:rsid w:val="15144DFF"/>
    <w:rsid w:val="154E3E17"/>
    <w:rsid w:val="155E4C4D"/>
    <w:rsid w:val="158048EF"/>
    <w:rsid w:val="15A72150"/>
    <w:rsid w:val="15BD2658"/>
    <w:rsid w:val="15C01464"/>
    <w:rsid w:val="15CA22E2"/>
    <w:rsid w:val="160A26DF"/>
    <w:rsid w:val="161F43DC"/>
    <w:rsid w:val="163F05DA"/>
    <w:rsid w:val="164756E1"/>
    <w:rsid w:val="166242C9"/>
    <w:rsid w:val="16775FC6"/>
    <w:rsid w:val="169721C5"/>
    <w:rsid w:val="16CA6BE3"/>
    <w:rsid w:val="16D76A65"/>
    <w:rsid w:val="170F61FF"/>
    <w:rsid w:val="172A3039"/>
    <w:rsid w:val="172B7B18"/>
    <w:rsid w:val="173C03EC"/>
    <w:rsid w:val="17485BB5"/>
    <w:rsid w:val="17562080"/>
    <w:rsid w:val="176A1687"/>
    <w:rsid w:val="17C90AA4"/>
    <w:rsid w:val="17CA65CA"/>
    <w:rsid w:val="17CC2342"/>
    <w:rsid w:val="17DB07D7"/>
    <w:rsid w:val="1817095A"/>
    <w:rsid w:val="18194E5B"/>
    <w:rsid w:val="18303F5F"/>
    <w:rsid w:val="186C7681"/>
    <w:rsid w:val="188E5849"/>
    <w:rsid w:val="18A137CE"/>
    <w:rsid w:val="18A24E51"/>
    <w:rsid w:val="18B10638"/>
    <w:rsid w:val="18D3325C"/>
    <w:rsid w:val="18D7669A"/>
    <w:rsid w:val="18DE232D"/>
    <w:rsid w:val="18DF7E53"/>
    <w:rsid w:val="18F02060"/>
    <w:rsid w:val="18F71640"/>
    <w:rsid w:val="19053D5D"/>
    <w:rsid w:val="191E4E1F"/>
    <w:rsid w:val="19314ABB"/>
    <w:rsid w:val="1934019F"/>
    <w:rsid w:val="19375EE1"/>
    <w:rsid w:val="198F1879"/>
    <w:rsid w:val="199E7D0E"/>
    <w:rsid w:val="19AF3CC9"/>
    <w:rsid w:val="19E00326"/>
    <w:rsid w:val="19E96C61"/>
    <w:rsid w:val="19FD67E3"/>
    <w:rsid w:val="1A1104E0"/>
    <w:rsid w:val="1A385A6D"/>
    <w:rsid w:val="1A3F6DFB"/>
    <w:rsid w:val="1AAE3F81"/>
    <w:rsid w:val="1AB34FB9"/>
    <w:rsid w:val="1AC90DBB"/>
    <w:rsid w:val="1AD84569"/>
    <w:rsid w:val="1B154000"/>
    <w:rsid w:val="1B552FDA"/>
    <w:rsid w:val="1B737B29"/>
    <w:rsid w:val="1B8B42C2"/>
    <w:rsid w:val="1BB61D17"/>
    <w:rsid w:val="1BBC73DF"/>
    <w:rsid w:val="1BD87507"/>
    <w:rsid w:val="1BE0016A"/>
    <w:rsid w:val="1BF43C15"/>
    <w:rsid w:val="1BF83BE1"/>
    <w:rsid w:val="1C006A5E"/>
    <w:rsid w:val="1C0876C1"/>
    <w:rsid w:val="1C177904"/>
    <w:rsid w:val="1C2E35CB"/>
    <w:rsid w:val="1C2E5379"/>
    <w:rsid w:val="1C4203AB"/>
    <w:rsid w:val="1C6D4F69"/>
    <w:rsid w:val="1C76287C"/>
    <w:rsid w:val="1C8E406A"/>
    <w:rsid w:val="1C9D42AD"/>
    <w:rsid w:val="1C9F0025"/>
    <w:rsid w:val="1CB735C0"/>
    <w:rsid w:val="1CC01D49"/>
    <w:rsid w:val="1CC47222"/>
    <w:rsid w:val="1CC76B97"/>
    <w:rsid w:val="1CE81148"/>
    <w:rsid w:val="1CE912A0"/>
    <w:rsid w:val="1CFA16FF"/>
    <w:rsid w:val="1D1A0275"/>
    <w:rsid w:val="1D3E267C"/>
    <w:rsid w:val="1D6B43AB"/>
    <w:rsid w:val="1D7019C1"/>
    <w:rsid w:val="1DA8115B"/>
    <w:rsid w:val="1E2A5058"/>
    <w:rsid w:val="1E3B5B2B"/>
    <w:rsid w:val="1E51534F"/>
    <w:rsid w:val="1E6E4153"/>
    <w:rsid w:val="1E763007"/>
    <w:rsid w:val="1E804ED9"/>
    <w:rsid w:val="1EAA2CB1"/>
    <w:rsid w:val="1EC71AB5"/>
    <w:rsid w:val="1ED55F80"/>
    <w:rsid w:val="1F0625DD"/>
    <w:rsid w:val="1F1C595D"/>
    <w:rsid w:val="1F2B5BA0"/>
    <w:rsid w:val="1F4B4494"/>
    <w:rsid w:val="1F62533A"/>
    <w:rsid w:val="1F9574BD"/>
    <w:rsid w:val="1FB45B95"/>
    <w:rsid w:val="1FDE70B6"/>
    <w:rsid w:val="1FF71F26"/>
    <w:rsid w:val="1FF95C9E"/>
    <w:rsid w:val="20592BE1"/>
    <w:rsid w:val="20657216"/>
    <w:rsid w:val="206A6B9C"/>
    <w:rsid w:val="207E61A3"/>
    <w:rsid w:val="20931C4F"/>
    <w:rsid w:val="20AC2D10"/>
    <w:rsid w:val="20D12777"/>
    <w:rsid w:val="20D64BF7"/>
    <w:rsid w:val="20DD55C0"/>
    <w:rsid w:val="20E24984"/>
    <w:rsid w:val="20F63F8C"/>
    <w:rsid w:val="20F93CD1"/>
    <w:rsid w:val="20FD531A"/>
    <w:rsid w:val="2100305C"/>
    <w:rsid w:val="21025026"/>
    <w:rsid w:val="21057D47"/>
    <w:rsid w:val="215A451A"/>
    <w:rsid w:val="21627873"/>
    <w:rsid w:val="217961F5"/>
    <w:rsid w:val="218D2B42"/>
    <w:rsid w:val="21D730F9"/>
    <w:rsid w:val="21DE15EF"/>
    <w:rsid w:val="221072CF"/>
    <w:rsid w:val="221A1EFC"/>
    <w:rsid w:val="22590C76"/>
    <w:rsid w:val="2260295E"/>
    <w:rsid w:val="226F2247"/>
    <w:rsid w:val="227E692E"/>
    <w:rsid w:val="2297354C"/>
    <w:rsid w:val="22A167E6"/>
    <w:rsid w:val="22BD2FB3"/>
    <w:rsid w:val="22C5630B"/>
    <w:rsid w:val="22CC1448"/>
    <w:rsid w:val="22DB78DD"/>
    <w:rsid w:val="230B235C"/>
    <w:rsid w:val="233016C4"/>
    <w:rsid w:val="23362D65"/>
    <w:rsid w:val="233A2855"/>
    <w:rsid w:val="2347032C"/>
    <w:rsid w:val="236E0751"/>
    <w:rsid w:val="237613B4"/>
    <w:rsid w:val="23A45F21"/>
    <w:rsid w:val="23AC3027"/>
    <w:rsid w:val="23BB296D"/>
    <w:rsid w:val="23C12F77"/>
    <w:rsid w:val="23DE7685"/>
    <w:rsid w:val="23F02F6B"/>
    <w:rsid w:val="23FA3D93"/>
    <w:rsid w:val="23FF584D"/>
    <w:rsid w:val="240A135F"/>
    <w:rsid w:val="24170DE9"/>
    <w:rsid w:val="2419690F"/>
    <w:rsid w:val="24241890"/>
    <w:rsid w:val="24411860"/>
    <w:rsid w:val="2442300E"/>
    <w:rsid w:val="24547947"/>
    <w:rsid w:val="247D7390"/>
    <w:rsid w:val="249917FE"/>
    <w:rsid w:val="24A02B8C"/>
    <w:rsid w:val="24A106B2"/>
    <w:rsid w:val="24AC47DC"/>
    <w:rsid w:val="24D64800"/>
    <w:rsid w:val="24F609FE"/>
    <w:rsid w:val="24FD7FDE"/>
    <w:rsid w:val="24FE78B3"/>
    <w:rsid w:val="2500362B"/>
    <w:rsid w:val="252401D8"/>
    <w:rsid w:val="25317C88"/>
    <w:rsid w:val="253B28B5"/>
    <w:rsid w:val="25453733"/>
    <w:rsid w:val="25494FD2"/>
    <w:rsid w:val="256040C9"/>
    <w:rsid w:val="25626093"/>
    <w:rsid w:val="2564005E"/>
    <w:rsid w:val="256911D0"/>
    <w:rsid w:val="25B34B41"/>
    <w:rsid w:val="25B85CB3"/>
    <w:rsid w:val="25C94AB6"/>
    <w:rsid w:val="25D80F5B"/>
    <w:rsid w:val="25E92311"/>
    <w:rsid w:val="25EF3B78"/>
    <w:rsid w:val="2601765A"/>
    <w:rsid w:val="260E1D77"/>
    <w:rsid w:val="26263565"/>
    <w:rsid w:val="2628108B"/>
    <w:rsid w:val="263F0183"/>
    <w:rsid w:val="26467763"/>
    <w:rsid w:val="266100F9"/>
    <w:rsid w:val="266F3CBE"/>
    <w:rsid w:val="26976211"/>
    <w:rsid w:val="26A12BEB"/>
    <w:rsid w:val="26EC0B6F"/>
    <w:rsid w:val="26ED5E31"/>
    <w:rsid w:val="26F30167"/>
    <w:rsid w:val="272500C1"/>
    <w:rsid w:val="273D0B66"/>
    <w:rsid w:val="276B7B8E"/>
    <w:rsid w:val="277B0E8A"/>
    <w:rsid w:val="27BA3F65"/>
    <w:rsid w:val="27D35027"/>
    <w:rsid w:val="27E2526A"/>
    <w:rsid w:val="27F07987"/>
    <w:rsid w:val="28072F22"/>
    <w:rsid w:val="283F090E"/>
    <w:rsid w:val="28490659"/>
    <w:rsid w:val="285048C9"/>
    <w:rsid w:val="28550131"/>
    <w:rsid w:val="28724840"/>
    <w:rsid w:val="287E1436"/>
    <w:rsid w:val="28844573"/>
    <w:rsid w:val="2890116A"/>
    <w:rsid w:val="289E2033"/>
    <w:rsid w:val="289E24F7"/>
    <w:rsid w:val="28AB7D51"/>
    <w:rsid w:val="28B5472C"/>
    <w:rsid w:val="28BC1F5F"/>
    <w:rsid w:val="28DA4193"/>
    <w:rsid w:val="28ED7EB9"/>
    <w:rsid w:val="290851A4"/>
    <w:rsid w:val="293146FB"/>
    <w:rsid w:val="298316F9"/>
    <w:rsid w:val="299241C3"/>
    <w:rsid w:val="299F1664"/>
    <w:rsid w:val="29FF0355"/>
    <w:rsid w:val="2A021BF3"/>
    <w:rsid w:val="2A0B0AA8"/>
    <w:rsid w:val="2A377AEF"/>
    <w:rsid w:val="2A3D0E7D"/>
    <w:rsid w:val="2A4B359A"/>
    <w:rsid w:val="2A5F7045"/>
    <w:rsid w:val="2AA84549"/>
    <w:rsid w:val="2AB32EED"/>
    <w:rsid w:val="2AD27817"/>
    <w:rsid w:val="2AD6555A"/>
    <w:rsid w:val="2B4D50F0"/>
    <w:rsid w:val="2B54481D"/>
    <w:rsid w:val="2B77216D"/>
    <w:rsid w:val="2B786611"/>
    <w:rsid w:val="2B836D64"/>
    <w:rsid w:val="2B876854"/>
    <w:rsid w:val="2B9351F9"/>
    <w:rsid w:val="2BB05DAB"/>
    <w:rsid w:val="2BB86A0D"/>
    <w:rsid w:val="2BC01D66"/>
    <w:rsid w:val="2BC52ED8"/>
    <w:rsid w:val="2BD66E93"/>
    <w:rsid w:val="2BE60795"/>
    <w:rsid w:val="2BEC66B7"/>
    <w:rsid w:val="2C3A38C6"/>
    <w:rsid w:val="2C410688"/>
    <w:rsid w:val="2C4958B7"/>
    <w:rsid w:val="2C510474"/>
    <w:rsid w:val="2CA376BD"/>
    <w:rsid w:val="2CA86A82"/>
    <w:rsid w:val="2CAB0320"/>
    <w:rsid w:val="2CB73169"/>
    <w:rsid w:val="2CBA0563"/>
    <w:rsid w:val="2CBF3DCB"/>
    <w:rsid w:val="2CC81685"/>
    <w:rsid w:val="2CCD0296"/>
    <w:rsid w:val="2CED6B8B"/>
    <w:rsid w:val="2D0619FA"/>
    <w:rsid w:val="2D145EC5"/>
    <w:rsid w:val="2D1660E1"/>
    <w:rsid w:val="2D5B1D46"/>
    <w:rsid w:val="2D8F3B1F"/>
    <w:rsid w:val="2E075EC4"/>
    <w:rsid w:val="2E0E3BF2"/>
    <w:rsid w:val="2E1B14D5"/>
    <w:rsid w:val="2E2E2FB7"/>
    <w:rsid w:val="2E894691"/>
    <w:rsid w:val="2E960B5C"/>
    <w:rsid w:val="2EA72D69"/>
    <w:rsid w:val="2EC27BA3"/>
    <w:rsid w:val="2ED51684"/>
    <w:rsid w:val="2EF2235C"/>
    <w:rsid w:val="2F106B60"/>
    <w:rsid w:val="2F1321AD"/>
    <w:rsid w:val="2F195A15"/>
    <w:rsid w:val="2F2F5238"/>
    <w:rsid w:val="2F3445FD"/>
    <w:rsid w:val="2F57653D"/>
    <w:rsid w:val="2F6D3FB3"/>
    <w:rsid w:val="2FA63021"/>
    <w:rsid w:val="2FB41BE1"/>
    <w:rsid w:val="2FCC2A87"/>
    <w:rsid w:val="2FEA115F"/>
    <w:rsid w:val="300F6E18"/>
    <w:rsid w:val="301663F8"/>
    <w:rsid w:val="30183F1E"/>
    <w:rsid w:val="304A036A"/>
    <w:rsid w:val="307373A7"/>
    <w:rsid w:val="308163E6"/>
    <w:rsid w:val="3082583C"/>
    <w:rsid w:val="30901D07"/>
    <w:rsid w:val="30992B52"/>
    <w:rsid w:val="30EE1123"/>
    <w:rsid w:val="312D39F9"/>
    <w:rsid w:val="314578C6"/>
    <w:rsid w:val="31A517E2"/>
    <w:rsid w:val="31B920F4"/>
    <w:rsid w:val="31C81974"/>
    <w:rsid w:val="31D200FD"/>
    <w:rsid w:val="31F462C5"/>
    <w:rsid w:val="32696CB3"/>
    <w:rsid w:val="3273368E"/>
    <w:rsid w:val="328238D1"/>
    <w:rsid w:val="328653AD"/>
    <w:rsid w:val="32C61E2B"/>
    <w:rsid w:val="32C739DA"/>
    <w:rsid w:val="32E26A66"/>
    <w:rsid w:val="3310712F"/>
    <w:rsid w:val="33887D9C"/>
    <w:rsid w:val="33926E72"/>
    <w:rsid w:val="33A65CE5"/>
    <w:rsid w:val="33C5616B"/>
    <w:rsid w:val="33D068BE"/>
    <w:rsid w:val="33FE342B"/>
    <w:rsid w:val="34087C9F"/>
    <w:rsid w:val="342866FA"/>
    <w:rsid w:val="34337579"/>
    <w:rsid w:val="343B01DB"/>
    <w:rsid w:val="34761214"/>
    <w:rsid w:val="34784F8C"/>
    <w:rsid w:val="349B511E"/>
    <w:rsid w:val="349E076A"/>
    <w:rsid w:val="34DA68E5"/>
    <w:rsid w:val="34DD6F81"/>
    <w:rsid w:val="34E15227"/>
    <w:rsid w:val="34EB5C61"/>
    <w:rsid w:val="35011425"/>
    <w:rsid w:val="35383256"/>
    <w:rsid w:val="353C245D"/>
    <w:rsid w:val="353E4427"/>
    <w:rsid w:val="354C01C6"/>
    <w:rsid w:val="35775243"/>
    <w:rsid w:val="359A53D6"/>
    <w:rsid w:val="35C30488"/>
    <w:rsid w:val="35D07049"/>
    <w:rsid w:val="35D42696"/>
    <w:rsid w:val="35D46B3A"/>
    <w:rsid w:val="35EF5721"/>
    <w:rsid w:val="35F72828"/>
    <w:rsid w:val="362C08A6"/>
    <w:rsid w:val="363D46DF"/>
    <w:rsid w:val="366B28CE"/>
    <w:rsid w:val="36984828"/>
    <w:rsid w:val="36C941C4"/>
    <w:rsid w:val="36E44B5A"/>
    <w:rsid w:val="36FC1C7F"/>
    <w:rsid w:val="37076A9B"/>
    <w:rsid w:val="370E607B"/>
    <w:rsid w:val="371D1E1A"/>
    <w:rsid w:val="372C4753"/>
    <w:rsid w:val="37305FF2"/>
    <w:rsid w:val="3740606E"/>
    <w:rsid w:val="374A3A7E"/>
    <w:rsid w:val="374C342B"/>
    <w:rsid w:val="37517D16"/>
    <w:rsid w:val="375D66BB"/>
    <w:rsid w:val="376C4B50"/>
    <w:rsid w:val="377F0D27"/>
    <w:rsid w:val="3795043E"/>
    <w:rsid w:val="37A27AB2"/>
    <w:rsid w:val="37B22EAA"/>
    <w:rsid w:val="37C8622A"/>
    <w:rsid w:val="38084878"/>
    <w:rsid w:val="381B0A50"/>
    <w:rsid w:val="38325D99"/>
    <w:rsid w:val="383624E6"/>
    <w:rsid w:val="384D4981"/>
    <w:rsid w:val="38593326"/>
    <w:rsid w:val="386677F1"/>
    <w:rsid w:val="386B0EA1"/>
    <w:rsid w:val="38AF360A"/>
    <w:rsid w:val="38EE7F12"/>
    <w:rsid w:val="3902751A"/>
    <w:rsid w:val="39050DB8"/>
    <w:rsid w:val="39426BDA"/>
    <w:rsid w:val="39812B34"/>
    <w:rsid w:val="399D36E6"/>
    <w:rsid w:val="39A73C10"/>
    <w:rsid w:val="39A95BE7"/>
    <w:rsid w:val="39C4776F"/>
    <w:rsid w:val="39C8340E"/>
    <w:rsid w:val="3A0228F6"/>
    <w:rsid w:val="3A023FF6"/>
    <w:rsid w:val="3A045513"/>
    <w:rsid w:val="3A1F40FB"/>
    <w:rsid w:val="3A217E73"/>
    <w:rsid w:val="3A3335C9"/>
    <w:rsid w:val="3A37495F"/>
    <w:rsid w:val="3A3E0A25"/>
    <w:rsid w:val="3A540249"/>
    <w:rsid w:val="3A563FC1"/>
    <w:rsid w:val="3A573895"/>
    <w:rsid w:val="3A5C534F"/>
    <w:rsid w:val="3A641B4B"/>
    <w:rsid w:val="3AAD1707"/>
    <w:rsid w:val="3AD153F6"/>
    <w:rsid w:val="3AE710BD"/>
    <w:rsid w:val="3AE72E6B"/>
    <w:rsid w:val="3AEE22E7"/>
    <w:rsid w:val="3AF86E26"/>
    <w:rsid w:val="3B082DE1"/>
    <w:rsid w:val="3B20012B"/>
    <w:rsid w:val="3B31058A"/>
    <w:rsid w:val="3B494C13"/>
    <w:rsid w:val="3B497682"/>
    <w:rsid w:val="3B4F27BE"/>
    <w:rsid w:val="3B5322AF"/>
    <w:rsid w:val="3B691AD2"/>
    <w:rsid w:val="3B710987"/>
    <w:rsid w:val="3B7F12F6"/>
    <w:rsid w:val="3BA725FA"/>
    <w:rsid w:val="3BD3519D"/>
    <w:rsid w:val="3C03425B"/>
    <w:rsid w:val="3C0D4B97"/>
    <w:rsid w:val="3C137AB5"/>
    <w:rsid w:val="3C5F2ED5"/>
    <w:rsid w:val="3C812E4B"/>
    <w:rsid w:val="3C830972"/>
    <w:rsid w:val="3CA32DC2"/>
    <w:rsid w:val="3CA64660"/>
    <w:rsid w:val="3CAD1E92"/>
    <w:rsid w:val="3CBB0420"/>
    <w:rsid w:val="3CBF319F"/>
    <w:rsid w:val="3CD221EF"/>
    <w:rsid w:val="3CD60E75"/>
    <w:rsid w:val="3CD8424B"/>
    <w:rsid w:val="3CF96E86"/>
    <w:rsid w:val="3CFE624A"/>
    <w:rsid w:val="3D18555E"/>
    <w:rsid w:val="3D193084"/>
    <w:rsid w:val="3D2263DC"/>
    <w:rsid w:val="3D365FBA"/>
    <w:rsid w:val="3D4F6AA6"/>
    <w:rsid w:val="3D931088"/>
    <w:rsid w:val="3D9A41C5"/>
    <w:rsid w:val="3D9F5C7F"/>
    <w:rsid w:val="3DE814BE"/>
    <w:rsid w:val="3E0C4997"/>
    <w:rsid w:val="3E186BBA"/>
    <w:rsid w:val="3E1C2E2C"/>
    <w:rsid w:val="3E23240C"/>
    <w:rsid w:val="3E263CAA"/>
    <w:rsid w:val="3E304B29"/>
    <w:rsid w:val="3E3A7756"/>
    <w:rsid w:val="3E6B3DB3"/>
    <w:rsid w:val="3E8F7AA2"/>
    <w:rsid w:val="3EE6343A"/>
    <w:rsid w:val="3EEA2F2A"/>
    <w:rsid w:val="3EEF0540"/>
    <w:rsid w:val="3F125FDD"/>
    <w:rsid w:val="3F1D57B9"/>
    <w:rsid w:val="3F2301EA"/>
    <w:rsid w:val="3F285800"/>
    <w:rsid w:val="3F2D72BA"/>
    <w:rsid w:val="3F3B3785"/>
    <w:rsid w:val="3F446ADE"/>
    <w:rsid w:val="3F5E65E7"/>
    <w:rsid w:val="3F6E5909"/>
    <w:rsid w:val="3F7239CB"/>
    <w:rsid w:val="3F835A64"/>
    <w:rsid w:val="3FA133C4"/>
    <w:rsid w:val="3FD37E62"/>
    <w:rsid w:val="3FDA11F0"/>
    <w:rsid w:val="4004626D"/>
    <w:rsid w:val="40291830"/>
    <w:rsid w:val="40493C80"/>
    <w:rsid w:val="40520D87"/>
    <w:rsid w:val="40550877"/>
    <w:rsid w:val="405906D7"/>
    <w:rsid w:val="405D772B"/>
    <w:rsid w:val="407F76A2"/>
    <w:rsid w:val="40880C4C"/>
    <w:rsid w:val="408F1FDB"/>
    <w:rsid w:val="409A272E"/>
    <w:rsid w:val="40A610D2"/>
    <w:rsid w:val="40C003E6"/>
    <w:rsid w:val="40D21754"/>
    <w:rsid w:val="40D67D46"/>
    <w:rsid w:val="40DF44D2"/>
    <w:rsid w:val="41004C87"/>
    <w:rsid w:val="41160006"/>
    <w:rsid w:val="41436921"/>
    <w:rsid w:val="4151103E"/>
    <w:rsid w:val="41742F7F"/>
    <w:rsid w:val="41887E4E"/>
    <w:rsid w:val="41D76407"/>
    <w:rsid w:val="41FE7295"/>
    <w:rsid w:val="42246753"/>
    <w:rsid w:val="4226071D"/>
    <w:rsid w:val="42417305"/>
    <w:rsid w:val="42611755"/>
    <w:rsid w:val="42883F4D"/>
    <w:rsid w:val="428C7338"/>
    <w:rsid w:val="429F227D"/>
    <w:rsid w:val="42B555FD"/>
    <w:rsid w:val="42CD2946"/>
    <w:rsid w:val="42E44134"/>
    <w:rsid w:val="42E61C5A"/>
    <w:rsid w:val="42EF4FB3"/>
    <w:rsid w:val="42FA74B4"/>
    <w:rsid w:val="43016A94"/>
    <w:rsid w:val="43145FED"/>
    <w:rsid w:val="4320516C"/>
    <w:rsid w:val="4329341C"/>
    <w:rsid w:val="4339622E"/>
    <w:rsid w:val="433C7ACC"/>
    <w:rsid w:val="435543AD"/>
    <w:rsid w:val="43615785"/>
    <w:rsid w:val="43653AA5"/>
    <w:rsid w:val="4366189C"/>
    <w:rsid w:val="437234EE"/>
    <w:rsid w:val="439F57A4"/>
    <w:rsid w:val="43BE4985"/>
    <w:rsid w:val="43D85A47"/>
    <w:rsid w:val="43D9531B"/>
    <w:rsid w:val="43DA4BCB"/>
    <w:rsid w:val="43E837B0"/>
    <w:rsid w:val="43F108B7"/>
    <w:rsid w:val="442348AC"/>
    <w:rsid w:val="442C7B41"/>
    <w:rsid w:val="443E6C13"/>
    <w:rsid w:val="445F1CC4"/>
    <w:rsid w:val="44705C7F"/>
    <w:rsid w:val="4497145E"/>
    <w:rsid w:val="44995680"/>
    <w:rsid w:val="44AC7383"/>
    <w:rsid w:val="44BA15F0"/>
    <w:rsid w:val="44BC0EC5"/>
    <w:rsid w:val="44D0671E"/>
    <w:rsid w:val="44D206E8"/>
    <w:rsid w:val="44DE708D"/>
    <w:rsid w:val="450D1720"/>
    <w:rsid w:val="451F511B"/>
    <w:rsid w:val="45216F7A"/>
    <w:rsid w:val="45343151"/>
    <w:rsid w:val="45440EBA"/>
    <w:rsid w:val="454A4722"/>
    <w:rsid w:val="4574354D"/>
    <w:rsid w:val="45B51B79"/>
    <w:rsid w:val="45C30031"/>
    <w:rsid w:val="45D16BF2"/>
    <w:rsid w:val="45DC4237"/>
    <w:rsid w:val="462907DC"/>
    <w:rsid w:val="46575531"/>
    <w:rsid w:val="467557CF"/>
    <w:rsid w:val="467C4DAF"/>
    <w:rsid w:val="46935C55"/>
    <w:rsid w:val="46957C1F"/>
    <w:rsid w:val="46965745"/>
    <w:rsid w:val="46DF0E9A"/>
    <w:rsid w:val="4746716B"/>
    <w:rsid w:val="47484C91"/>
    <w:rsid w:val="47577F0B"/>
    <w:rsid w:val="4770243A"/>
    <w:rsid w:val="47737835"/>
    <w:rsid w:val="47843890"/>
    <w:rsid w:val="479A100B"/>
    <w:rsid w:val="47B10A89"/>
    <w:rsid w:val="47E86474"/>
    <w:rsid w:val="47F6649C"/>
    <w:rsid w:val="4856518C"/>
    <w:rsid w:val="48651163"/>
    <w:rsid w:val="488572D0"/>
    <w:rsid w:val="488E4926"/>
    <w:rsid w:val="48AB372A"/>
    <w:rsid w:val="48C22822"/>
    <w:rsid w:val="48CB3DCC"/>
    <w:rsid w:val="491D5CAA"/>
    <w:rsid w:val="494A179D"/>
    <w:rsid w:val="496F0BFB"/>
    <w:rsid w:val="49753D38"/>
    <w:rsid w:val="497726B0"/>
    <w:rsid w:val="497D499A"/>
    <w:rsid w:val="49BF6D61"/>
    <w:rsid w:val="49C03205"/>
    <w:rsid w:val="49CB3958"/>
    <w:rsid w:val="49CE2105"/>
    <w:rsid w:val="49D31C2E"/>
    <w:rsid w:val="49F64E79"/>
    <w:rsid w:val="4A070E34"/>
    <w:rsid w:val="4A0B01F8"/>
    <w:rsid w:val="4A1452FF"/>
    <w:rsid w:val="4A2F038B"/>
    <w:rsid w:val="4A4E5CA0"/>
    <w:rsid w:val="4A6242BC"/>
    <w:rsid w:val="4A987CDE"/>
    <w:rsid w:val="4AA81A72"/>
    <w:rsid w:val="4AAE5753"/>
    <w:rsid w:val="4ACA039D"/>
    <w:rsid w:val="4ACF022B"/>
    <w:rsid w:val="4ADB7BCB"/>
    <w:rsid w:val="4B02215E"/>
    <w:rsid w:val="4B217CD3"/>
    <w:rsid w:val="4B481704"/>
    <w:rsid w:val="4B5736F5"/>
    <w:rsid w:val="4B5A4F93"/>
    <w:rsid w:val="4B7A73E4"/>
    <w:rsid w:val="4B897627"/>
    <w:rsid w:val="4B8B15F1"/>
    <w:rsid w:val="4BC44B03"/>
    <w:rsid w:val="4BCE772F"/>
    <w:rsid w:val="4BFE0015"/>
    <w:rsid w:val="4C143394"/>
    <w:rsid w:val="4C1930A0"/>
    <w:rsid w:val="4C2A0E0A"/>
    <w:rsid w:val="4C435DBE"/>
    <w:rsid w:val="4C6D1DD4"/>
    <w:rsid w:val="4C871DB8"/>
    <w:rsid w:val="4C8D1398"/>
    <w:rsid w:val="4C995F8F"/>
    <w:rsid w:val="4CAE2916"/>
    <w:rsid w:val="4CAF7561"/>
    <w:rsid w:val="4CCA7EF7"/>
    <w:rsid w:val="4CCE79E7"/>
    <w:rsid w:val="4CD62D3F"/>
    <w:rsid w:val="4CE4545C"/>
    <w:rsid w:val="4CF65190"/>
    <w:rsid w:val="4D324E0A"/>
    <w:rsid w:val="4D537EEC"/>
    <w:rsid w:val="4D6A7C20"/>
    <w:rsid w:val="4D6B35DA"/>
    <w:rsid w:val="4D844549"/>
    <w:rsid w:val="4D93478D"/>
    <w:rsid w:val="4D9E7AF5"/>
    <w:rsid w:val="4DA150FB"/>
    <w:rsid w:val="4DA45A29"/>
    <w:rsid w:val="4DB52955"/>
    <w:rsid w:val="4DCA15C8"/>
    <w:rsid w:val="4E165AE9"/>
    <w:rsid w:val="4E191136"/>
    <w:rsid w:val="4E255D2C"/>
    <w:rsid w:val="4E30570B"/>
    <w:rsid w:val="4E345F70"/>
    <w:rsid w:val="4E353A96"/>
    <w:rsid w:val="4E487C6D"/>
    <w:rsid w:val="4E5E4D9B"/>
    <w:rsid w:val="4E8642F1"/>
    <w:rsid w:val="4E93713A"/>
    <w:rsid w:val="4EC72940"/>
    <w:rsid w:val="4EC92B5C"/>
    <w:rsid w:val="4ECC7F56"/>
    <w:rsid w:val="4ED11A10"/>
    <w:rsid w:val="4ED60DD5"/>
    <w:rsid w:val="4EEF00E8"/>
    <w:rsid w:val="4F0941C9"/>
    <w:rsid w:val="4F133DD7"/>
    <w:rsid w:val="4F50502B"/>
    <w:rsid w:val="4F697E9B"/>
    <w:rsid w:val="4F7B197C"/>
    <w:rsid w:val="4F8151E4"/>
    <w:rsid w:val="4F8545A9"/>
    <w:rsid w:val="4F980780"/>
    <w:rsid w:val="4FD07F1A"/>
    <w:rsid w:val="4FD73056"/>
    <w:rsid w:val="4FE6773D"/>
    <w:rsid w:val="4FF37764"/>
    <w:rsid w:val="4FF84D7B"/>
    <w:rsid w:val="4FFA6D45"/>
    <w:rsid w:val="50205979"/>
    <w:rsid w:val="503A5393"/>
    <w:rsid w:val="504601DC"/>
    <w:rsid w:val="504667C5"/>
    <w:rsid w:val="50493828"/>
    <w:rsid w:val="504D156B"/>
    <w:rsid w:val="50722D7F"/>
    <w:rsid w:val="50811214"/>
    <w:rsid w:val="50962B7E"/>
    <w:rsid w:val="50AA2519"/>
    <w:rsid w:val="50D77086"/>
    <w:rsid w:val="510C31D4"/>
    <w:rsid w:val="511A2E6A"/>
    <w:rsid w:val="51324B68"/>
    <w:rsid w:val="514857BA"/>
    <w:rsid w:val="517448D5"/>
    <w:rsid w:val="518A40F8"/>
    <w:rsid w:val="519C4558"/>
    <w:rsid w:val="51C23892"/>
    <w:rsid w:val="51FC6DA4"/>
    <w:rsid w:val="520420FD"/>
    <w:rsid w:val="520B348B"/>
    <w:rsid w:val="521C7446"/>
    <w:rsid w:val="524E3378"/>
    <w:rsid w:val="52500E9E"/>
    <w:rsid w:val="525A5FD2"/>
    <w:rsid w:val="52636E23"/>
    <w:rsid w:val="526D7CA2"/>
    <w:rsid w:val="528374C6"/>
    <w:rsid w:val="529C2335"/>
    <w:rsid w:val="52BE405A"/>
    <w:rsid w:val="52DD4E28"/>
    <w:rsid w:val="52E31D12"/>
    <w:rsid w:val="52EF4B5B"/>
    <w:rsid w:val="52FB52AE"/>
    <w:rsid w:val="532760A3"/>
    <w:rsid w:val="534529CD"/>
    <w:rsid w:val="534704F3"/>
    <w:rsid w:val="535D7D17"/>
    <w:rsid w:val="53A5521A"/>
    <w:rsid w:val="53C9715A"/>
    <w:rsid w:val="53F1220D"/>
    <w:rsid w:val="53F35F85"/>
    <w:rsid w:val="53F561A1"/>
    <w:rsid w:val="542645AC"/>
    <w:rsid w:val="54316AAD"/>
    <w:rsid w:val="54330A77"/>
    <w:rsid w:val="54444A33"/>
    <w:rsid w:val="547F1F0F"/>
    <w:rsid w:val="54CF3934"/>
    <w:rsid w:val="54D8496B"/>
    <w:rsid w:val="54DB5397"/>
    <w:rsid w:val="54DF6509"/>
    <w:rsid w:val="54FE72D7"/>
    <w:rsid w:val="55004DFD"/>
    <w:rsid w:val="5511700B"/>
    <w:rsid w:val="55136310"/>
    <w:rsid w:val="553D4C43"/>
    <w:rsid w:val="5540169E"/>
    <w:rsid w:val="55482300"/>
    <w:rsid w:val="5560589C"/>
    <w:rsid w:val="556A04C9"/>
    <w:rsid w:val="55761950"/>
    <w:rsid w:val="55937A20"/>
    <w:rsid w:val="559A7000"/>
    <w:rsid w:val="55AA4D69"/>
    <w:rsid w:val="55B47996"/>
    <w:rsid w:val="55B87486"/>
    <w:rsid w:val="567C6706"/>
    <w:rsid w:val="5689497F"/>
    <w:rsid w:val="57120E18"/>
    <w:rsid w:val="57227ADF"/>
    <w:rsid w:val="572528F9"/>
    <w:rsid w:val="574134AB"/>
    <w:rsid w:val="574B7C88"/>
    <w:rsid w:val="574B7E86"/>
    <w:rsid w:val="574F5C89"/>
    <w:rsid w:val="576804EE"/>
    <w:rsid w:val="57835872"/>
    <w:rsid w:val="57871E5A"/>
    <w:rsid w:val="579D4B86"/>
    <w:rsid w:val="57A852D8"/>
    <w:rsid w:val="57B27F05"/>
    <w:rsid w:val="57C245EC"/>
    <w:rsid w:val="57C93BCD"/>
    <w:rsid w:val="57D8141A"/>
    <w:rsid w:val="581D7A74"/>
    <w:rsid w:val="58426C15"/>
    <w:rsid w:val="58767185"/>
    <w:rsid w:val="5878114F"/>
    <w:rsid w:val="58B2640F"/>
    <w:rsid w:val="58E61EC4"/>
    <w:rsid w:val="58E81E30"/>
    <w:rsid w:val="58FF53CC"/>
    <w:rsid w:val="59093B37"/>
    <w:rsid w:val="59213594"/>
    <w:rsid w:val="593257A1"/>
    <w:rsid w:val="594A6647"/>
    <w:rsid w:val="59505C28"/>
    <w:rsid w:val="59671AD4"/>
    <w:rsid w:val="5980475F"/>
    <w:rsid w:val="598B5247"/>
    <w:rsid w:val="599B50F5"/>
    <w:rsid w:val="59E44CEE"/>
    <w:rsid w:val="5A0507C0"/>
    <w:rsid w:val="5A161403"/>
    <w:rsid w:val="5A2B78B7"/>
    <w:rsid w:val="5A5B2AD6"/>
    <w:rsid w:val="5A696FA1"/>
    <w:rsid w:val="5A823CBC"/>
    <w:rsid w:val="5A9304C2"/>
    <w:rsid w:val="5AA63D51"/>
    <w:rsid w:val="5AF01470"/>
    <w:rsid w:val="5B0311A3"/>
    <w:rsid w:val="5B142032"/>
    <w:rsid w:val="5B184523"/>
    <w:rsid w:val="5B24736C"/>
    <w:rsid w:val="5B2547A4"/>
    <w:rsid w:val="5B36349A"/>
    <w:rsid w:val="5B411CCC"/>
    <w:rsid w:val="5B4F43E9"/>
    <w:rsid w:val="5B5163B3"/>
    <w:rsid w:val="5B5714EF"/>
    <w:rsid w:val="5B6D2AC1"/>
    <w:rsid w:val="5B955B74"/>
    <w:rsid w:val="5BAD0E4E"/>
    <w:rsid w:val="5BAE6053"/>
    <w:rsid w:val="5BB21575"/>
    <w:rsid w:val="5BB97AB4"/>
    <w:rsid w:val="5BBA274C"/>
    <w:rsid w:val="5BC546AB"/>
    <w:rsid w:val="5BF154A0"/>
    <w:rsid w:val="5C07081F"/>
    <w:rsid w:val="5C1B251D"/>
    <w:rsid w:val="5C381321"/>
    <w:rsid w:val="5C4E46A0"/>
    <w:rsid w:val="5C71038F"/>
    <w:rsid w:val="5C904CB9"/>
    <w:rsid w:val="5C9C18B0"/>
    <w:rsid w:val="5CA02A22"/>
    <w:rsid w:val="5CA42512"/>
    <w:rsid w:val="5CA95D7B"/>
    <w:rsid w:val="5CAC586B"/>
    <w:rsid w:val="5CE40B61"/>
    <w:rsid w:val="5D107BA8"/>
    <w:rsid w:val="5D123920"/>
    <w:rsid w:val="5D793CDB"/>
    <w:rsid w:val="5D9562FF"/>
    <w:rsid w:val="5D99194B"/>
    <w:rsid w:val="5DA327CA"/>
    <w:rsid w:val="5DB93D9B"/>
    <w:rsid w:val="5DC310BE"/>
    <w:rsid w:val="5DCF1811"/>
    <w:rsid w:val="5DDB01B6"/>
    <w:rsid w:val="5E08087F"/>
    <w:rsid w:val="5E2733FB"/>
    <w:rsid w:val="5E2C27BF"/>
    <w:rsid w:val="5E3873B6"/>
    <w:rsid w:val="5E50005B"/>
    <w:rsid w:val="5E60690D"/>
    <w:rsid w:val="5E8545C5"/>
    <w:rsid w:val="5E94380E"/>
    <w:rsid w:val="5EBD78BB"/>
    <w:rsid w:val="5EC53E5C"/>
    <w:rsid w:val="5ED15115"/>
    <w:rsid w:val="5ED30E8D"/>
    <w:rsid w:val="5EEB267A"/>
    <w:rsid w:val="5EEB4428"/>
    <w:rsid w:val="5EF41AE8"/>
    <w:rsid w:val="5EF64B7B"/>
    <w:rsid w:val="5EFD23AE"/>
    <w:rsid w:val="5F1B42DC"/>
    <w:rsid w:val="5F3A1770"/>
    <w:rsid w:val="5F4973A1"/>
    <w:rsid w:val="5F700DD2"/>
    <w:rsid w:val="5F775CBC"/>
    <w:rsid w:val="5FA42829"/>
    <w:rsid w:val="5FB94EA3"/>
    <w:rsid w:val="5FD42135"/>
    <w:rsid w:val="600357A2"/>
    <w:rsid w:val="601E41B2"/>
    <w:rsid w:val="6025396A"/>
    <w:rsid w:val="602A0F80"/>
    <w:rsid w:val="60463900"/>
    <w:rsid w:val="604A1623"/>
    <w:rsid w:val="60583D40"/>
    <w:rsid w:val="605B55DE"/>
    <w:rsid w:val="606D70BF"/>
    <w:rsid w:val="60805044"/>
    <w:rsid w:val="60CF38D6"/>
    <w:rsid w:val="60DB671F"/>
    <w:rsid w:val="60FD2E3F"/>
    <w:rsid w:val="611A0FF5"/>
    <w:rsid w:val="61227EAA"/>
    <w:rsid w:val="6166248C"/>
    <w:rsid w:val="616E1341"/>
    <w:rsid w:val="617F70AA"/>
    <w:rsid w:val="61A82AA5"/>
    <w:rsid w:val="61BD7BD2"/>
    <w:rsid w:val="61D3043D"/>
    <w:rsid w:val="61E15FB7"/>
    <w:rsid w:val="62175534"/>
    <w:rsid w:val="624A590A"/>
    <w:rsid w:val="624D0F56"/>
    <w:rsid w:val="62AD7971"/>
    <w:rsid w:val="62B66D02"/>
    <w:rsid w:val="62C001B9"/>
    <w:rsid w:val="62E0001C"/>
    <w:rsid w:val="63051831"/>
    <w:rsid w:val="630F26B0"/>
    <w:rsid w:val="63133F4E"/>
    <w:rsid w:val="631877B6"/>
    <w:rsid w:val="63224191"/>
    <w:rsid w:val="6323782A"/>
    <w:rsid w:val="6329551F"/>
    <w:rsid w:val="63440309"/>
    <w:rsid w:val="63473BF7"/>
    <w:rsid w:val="637F5A87"/>
    <w:rsid w:val="63973DB6"/>
    <w:rsid w:val="639E2124"/>
    <w:rsid w:val="63C33BC6"/>
    <w:rsid w:val="63D47B81"/>
    <w:rsid w:val="63D77671"/>
    <w:rsid w:val="63EE6769"/>
    <w:rsid w:val="64340620"/>
    <w:rsid w:val="643979E4"/>
    <w:rsid w:val="64421AB1"/>
    <w:rsid w:val="64426BFF"/>
    <w:rsid w:val="64502F80"/>
    <w:rsid w:val="646A4041"/>
    <w:rsid w:val="64A5252F"/>
    <w:rsid w:val="64BE438D"/>
    <w:rsid w:val="64E57B6C"/>
    <w:rsid w:val="65055B18"/>
    <w:rsid w:val="650C7461"/>
    <w:rsid w:val="65312DB1"/>
    <w:rsid w:val="65613696"/>
    <w:rsid w:val="65670581"/>
    <w:rsid w:val="65815AE7"/>
    <w:rsid w:val="65847385"/>
    <w:rsid w:val="65917E85"/>
    <w:rsid w:val="65953340"/>
    <w:rsid w:val="65A90B99"/>
    <w:rsid w:val="65BF216B"/>
    <w:rsid w:val="65DA0D53"/>
    <w:rsid w:val="65E120E1"/>
    <w:rsid w:val="65E92A00"/>
    <w:rsid w:val="65EE2A50"/>
    <w:rsid w:val="660404C6"/>
    <w:rsid w:val="661C75BD"/>
    <w:rsid w:val="661E1587"/>
    <w:rsid w:val="6625059F"/>
    <w:rsid w:val="66383CCB"/>
    <w:rsid w:val="664F1741"/>
    <w:rsid w:val="665C3E5E"/>
    <w:rsid w:val="669E6224"/>
    <w:rsid w:val="66A23F66"/>
    <w:rsid w:val="66B9305E"/>
    <w:rsid w:val="66C11F13"/>
    <w:rsid w:val="67136C12"/>
    <w:rsid w:val="67281B69"/>
    <w:rsid w:val="673204AE"/>
    <w:rsid w:val="674A1F08"/>
    <w:rsid w:val="674F5770"/>
    <w:rsid w:val="67656D42"/>
    <w:rsid w:val="6781349D"/>
    <w:rsid w:val="67AB6E4B"/>
    <w:rsid w:val="67CE3D53"/>
    <w:rsid w:val="67E265E5"/>
    <w:rsid w:val="682269E1"/>
    <w:rsid w:val="68243642"/>
    <w:rsid w:val="6841330B"/>
    <w:rsid w:val="68582403"/>
    <w:rsid w:val="685A261F"/>
    <w:rsid w:val="68AA5354"/>
    <w:rsid w:val="68C83A2C"/>
    <w:rsid w:val="692D388F"/>
    <w:rsid w:val="69431305"/>
    <w:rsid w:val="698536CB"/>
    <w:rsid w:val="69BB70ED"/>
    <w:rsid w:val="69E14DA6"/>
    <w:rsid w:val="69EE1271"/>
    <w:rsid w:val="69F769BD"/>
    <w:rsid w:val="6A1801BB"/>
    <w:rsid w:val="6A1C5DDE"/>
    <w:rsid w:val="6A3D33C8"/>
    <w:rsid w:val="6A3E279B"/>
    <w:rsid w:val="6A415844"/>
    <w:rsid w:val="6A6D6639"/>
    <w:rsid w:val="6A9516EC"/>
    <w:rsid w:val="6AAE3DC0"/>
    <w:rsid w:val="6AB04778"/>
    <w:rsid w:val="6ACB3360"/>
    <w:rsid w:val="6ACF10A2"/>
    <w:rsid w:val="6AD14E1A"/>
    <w:rsid w:val="6AE63548"/>
    <w:rsid w:val="6AF503DD"/>
    <w:rsid w:val="6B0F76F1"/>
    <w:rsid w:val="6B15282D"/>
    <w:rsid w:val="6B482C03"/>
    <w:rsid w:val="6B517D09"/>
    <w:rsid w:val="6B7B2FD8"/>
    <w:rsid w:val="6B7E4876"/>
    <w:rsid w:val="6BAF48F9"/>
    <w:rsid w:val="6BB34520"/>
    <w:rsid w:val="6BB65DBE"/>
    <w:rsid w:val="6BD36970"/>
    <w:rsid w:val="6BF6265F"/>
    <w:rsid w:val="6BFF7765"/>
    <w:rsid w:val="6C256AA0"/>
    <w:rsid w:val="6C2C42D2"/>
    <w:rsid w:val="6C4C04D0"/>
    <w:rsid w:val="6C53185F"/>
    <w:rsid w:val="6C6D0B73"/>
    <w:rsid w:val="6C937EAD"/>
    <w:rsid w:val="6CAD5413"/>
    <w:rsid w:val="6CAF50F2"/>
    <w:rsid w:val="6CC60283"/>
    <w:rsid w:val="6CE6011F"/>
    <w:rsid w:val="6CF912DD"/>
    <w:rsid w:val="6D13147E"/>
    <w:rsid w:val="6D2B6338"/>
    <w:rsid w:val="6D30394E"/>
    <w:rsid w:val="6D967C55"/>
    <w:rsid w:val="6D9E703D"/>
    <w:rsid w:val="6DE24C48"/>
    <w:rsid w:val="6E0A23F1"/>
    <w:rsid w:val="6E1A6AD8"/>
    <w:rsid w:val="6E1D3ED3"/>
    <w:rsid w:val="6E2214E9"/>
    <w:rsid w:val="6E274D51"/>
    <w:rsid w:val="6E3F653F"/>
    <w:rsid w:val="6E4C0C5C"/>
    <w:rsid w:val="6E4C2A0A"/>
    <w:rsid w:val="6E623FDB"/>
    <w:rsid w:val="6E663ACB"/>
    <w:rsid w:val="6E7A7577"/>
    <w:rsid w:val="6E9248C1"/>
    <w:rsid w:val="6EAD16FA"/>
    <w:rsid w:val="6EBC2AF4"/>
    <w:rsid w:val="6EC627BC"/>
    <w:rsid w:val="6EC6456A"/>
    <w:rsid w:val="6EC802E2"/>
    <w:rsid w:val="6ED21161"/>
    <w:rsid w:val="6F060E0B"/>
    <w:rsid w:val="6F2614AD"/>
    <w:rsid w:val="6F2A4AF9"/>
    <w:rsid w:val="6F2D45E9"/>
    <w:rsid w:val="6F524050"/>
    <w:rsid w:val="6F630049"/>
    <w:rsid w:val="6F651FD5"/>
    <w:rsid w:val="6F773AB6"/>
    <w:rsid w:val="6F887A72"/>
    <w:rsid w:val="6FA80114"/>
    <w:rsid w:val="6FC0545D"/>
    <w:rsid w:val="6FC1123F"/>
    <w:rsid w:val="6FC9659C"/>
    <w:rsid w:val="70390D6C"/>
    <w:rsid w:val="706F478E"/>
    <w:rsid w:val="707B3132"/>
    <w:rsid w:val="70A60867"/>
    <w:rsid w:val="70B8428B"/>
    <w:rsid w:val="70B86135"/>
    <w:rsid w:val="70BC5C25"/>
    <w:rsid w:val="70C40F7D"/>
    <w:rsid w:val="70DC7AD4"/>
    <w:rsid w:val="70ED4030"/>
    <w:rsid w:val="70F16E8D"/>
    <w:rsid w:val="70F8599A"/>
    <w:rsid w:val="710E21F8"/>
    <w:rsid w:val="717007BD"/>
    <w:rsid w:val="71704C61"/>
    <w:rsid w:val="717A163C"/>
    <w:rsid w:val="71940950"/>
    <w:rsid w:val="71973F9C"/>
    <w:rsid w:val="71FC02A3"/>
    <w:rsid w:val="72071122"/>
    <w:rsid w:val="720A0C12"/>
    <w:rsid w:val="72192C03"/>
    <w:rsid w:val="72331F17"/>
    <w:rsid w:val="72667AFF"/>
    <w:rsid w:val="7298621E"/>
    <w:rsid w:val="72B34E05"/>
    <w:rsid w:val="73012015"/>
    <w:rsid w:val="731A4E85"/>
    <w:rsid w:val="732A65AC"/>
    <w:rsid w:val="732B7092"/>
    <w:rsid w:val="7346211D"/>
    <w:rsid w:val="734B3290"/>
    <w:rsid w:val="734E2D80"/>
    <w:rsid w:val="737733D7"/>
    <w:rsid w:val="738B5D82"/>
    <w:rsid w:val="73EA0CFB"/>
    <w:rsid w:val="73F531FC"/>
    <w:rsid w:val="7401366E"/>
    <w:rsid w:val="74363F40"/>
    <w:rsid w:val="745A5E80"/>
    <w:rsid w:val="7463756B"/>
    <w:rsid w:val="747800B5"/>
    <w:rsid w:val="74AB66DC"/>
    <w:rsid w:val="74AF5AA0"/>
    <w:rsid w:val="74CD0E75"/>
    <w:rsid w:val="74EC2851"/>
    <w:rsid w:val="74F040EF"/>
    <w:rsid w:val="751002ED"/>
    <w:rsid w:val="75114065"/>
    <w:rsid w:val="752B3379"/>
    <w:rsid w:val="753A7A60"/>
    <w:rsid w:val="757F36C5"/>
    <w:rsid w:val="759251A6"/>
    <w:rsid w:val="75B25848"/>
    <w:rsid w:val="75B4336E"/>
    <w:rsid w:val="75C228E2"/>
    <w:rsid w:val="75C86E1A"/>
    <w:rsid w:val="75DF4163"/>
    <w:rsid w:val="75F53987"/>
    <w:rsid w:val="75FC2F67"/>
    <w:rsid w:val="760D0CD1"/>
    <w:rsid w:val="76206C56"/>
    <w:rsid w:val="765C7562"/>
    <w:rsid w:val="76607052"/>
    <w:rsid w:val="766C6C2F"/>
    <w:rsid w:val="76724FD8"/>
    <w:rsid w:val="76911902"/>
    <w:rsid w:val="76921635"/>
    <w:rsid w:val="76944F4E"/>
    <w:rsid w:val="769907B6"/>
    <w:rsid w:val="76AA29C3"/>
    <w:rsid w:val="76BA0E58"/>
    <w:rsid w:val="76C23869"/>
    <w:rsid w:val="76DB0DCF"/>
    <w:rsid w:val="76E063E5"/>
    <w:rsid w:val="76E37A69"/>
    <w:rsid w:val="77004391"/>
    <w:rsid w:val="770B3462"/>
    <w:rsid w:val="77364257"/>
    <w:rsid w:val="775748F9"/>
    <w:rsid w:val="778154D2"/>
    <w:rsid w:val="778D20C9"/>
    <w:rsid w:val="77D31AA6"/>
    <w:rsid w:val="77FE4D75"/>
    <w:rsid w:val="780879A1"/>
    <w:rsid w:val="780B1240"/>
    <w:rsid w:val="783F534A"/>
    <w:rsid w:val="78482494"/>
    <w:rsid w:val="78AA6CAB"/>
    <w:rsid w:val="78C90E5E"/>
    <w:rsid w:val="78D37FAF"/>
    <w:rsid w:val="78DA7590"/>
    <w:rsid w:val="78E5576C"/>
    <w:rsid w:val="791A0EA6"/>
    <w:rsid w:val="792151BF"/>
    <w:rsid w:val="79331FF3"/>
    <w:rsid w:val="793A1DDD"/>
    <w:rsid w:val="7953318B"/>
    <w:rsid w:val="7984574E"/>
    <w:rsid w:val="798B2638"/>
    <w:rsid w:val="799D53E3"/>
    <w:rsid w:val="79A25BD4"/>
    <w:rsid w:val="79AB2CDA"/>
    <w:rsid w:val="79B220A9"/>
    <w:rsid w:val="79B37DE1"/>
    <w:rsid w:val="79C124FE"/>
    <w:rsid w:val="79CC7E28"/>
    <w:rsid w:val="79FC3536"/>
    <w:rsid w:val="7A016D9E"/>
    <w:rsid w:val="7A02547E"/>
    <w:rsid w:val="7A0D5743"/>
    <w:rsid w:val="7A146AD1"/>
    <w:rsid w:val="7A41719B"/>
    <w:rsid w:val="7A5163DA"/>
    <w:rsid w:val="7A8722A7"/>
    <w:rsid w:val="7A8F7F06"/>
    <w:rsid w:val="7AA5772A"/>
    <w:rsid w:val="7AC57DCC"/>
    <w:rsid w:val="7B1448AF"/>
    <w:rsid w:val="7B3B62E0"/>
    <w:rsid w:val="7B491692"/>
    <w:rsid w:val="7B580DFE"/>
    <w:rsid w:val="7B62386D"/>
    <w:rsid w:val="7B7610C6"/>
    <w:rsid w:val="7B861AB8"/>
    <w:rsid w:val="7B892BA7"/>
    <w:rsid w:val="7BA21EBB"/>
    <w:rsid w:val="7BB35E76"/>
    <w:rsid w:val="7BBF68BE"/>
    <w:rsid w:val="7BC260B9"/>
    <w:rsid w:val="7BE23196"/>
    <w:rsid w:val="7BE97AEA"/>
    <w:rsid w:val="7BF72207"/>
    <w:rsid w:val="7C142F67"/>
    <w:rsid w:val="7C4E5B9F"/>
    <w:rsid w:val="7C5A4544"/>
    <w:rsid w:val="7C5F7DAC"/>
    <w:rsid w:val="7C611D76"/>
    <w:rsid w:val="7C6C36D1"/>
    <w:rsid w:val="7C7575D0"/>
    <w:rsid w:val="7C7B2E38"/>
    <w:rsid w:val="7CA53A11"/>
    <w:rsid w:val="7CC52305"/>
    <w:rsid w:val="7CD07F99"/>
    <w:rsid w:val="7CD64D64"/>
    <w:rsid w:val="7CE02C9B"/>
    <w:rsid w:val="7CE577E7"/>
    <w:rsid w:val="7D172435"/>
    <w:rsid w:val="7D4F7E0E"/>
    <w:rsid w:val="7D667E3B"/>
    <w:rsid w:val="7D6733BC"/>
    <w:rsid w:val="7D807847"/>
    <w:rsid w:val="7D951CD7"/>
    <w:rsid w:val="7DCE343B"/>
    <w:rsid w:val="7DD65E4C"/>
    <w:rsid w:val="7DDF6B76"/>
    <w:rsid w:val="7DDF73F6"/>
    <w:rsid w:val="7DF84014"/>
    <w:rsid w:val="7E0D3F64"/>
    <w:rsid w:val="7E3B7632"/>
    <w:rsid w:val="7E4E1E86"/>
    <w:rsid w:val="7E843AFA"/>
    <w:rsid w:val="7E9C7095"/>
    <w:rsid w:val="7EA250F7"/>
    <w:rsid w:val="7EB35812"/>
    <w:rsid w:val="7EE527EB"/>
    <w:rsid w:val="7EEE51D4"/>
    <w:rsid w:val="7F0A378A"/>
    <w:rsid w:val="7F10538E"/>
    <w:rsid w:val="7F121106"/>
    <w:rsid w:val="7F1E7AAB"/>
    <w:rsid w:val="7F315A30"/>
    <w:rsid w:val="7FA206DC"/>
    <w:rsid w:val="7FAF4BA7"/>
    <w:rsid w:val="7FAF6C52"/>
    <w:rsid w:val="7FB4040F"/>
    <w:rsid w:val="7FD4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autoRedefine/>
    <w:qFormat/>
    <w:uiPriority w:val="0"/>
    <w:pPr>
      <w:keepNext/>
      <w:keepLines/>
      <w:numPr>
        <w:ilvl w:val="0"/>
        <w:numId w:val="1"/>
      </w:numPr>
      <w:tabs>
        <w:tab w:val="left" w:pos="360"/>
      </w:tabs>
      <w:autoSpaceDE w:val="0"/>
      <w:autoSpaceDN w:val="0"/>
      <w:spacing w:line="360" w:lineRule="auto"/>
      <w:jc w:val="center"/>
      <w:textAlignment w:val="baseline"/>
      <w:outlineLvl w:val="0"/>
    </w:pPr>
    <w:rPr>
      <w:rFonts w:ascii="宋体" w:hAnsi="宋体" w:eastAsia="黑体"/>
      <w:color w:val="000000"/>
      <w:kern w:val="44"/>
      <w:sz w:val="36"/>
      <w:szCs w:val="20"/>
    </w:rPr>
  </w:style>
  <w:style w:type="paragraph" w:styleId="2">
    <w:name w:val="heading 2"/>
    <w:basedOn w:val="1"/>
    <w:next w:val="1"/>
    <w:link w:val="36"/>
    <w:autoRedefine/>
    <w:semiHidden/>
    <w:unhideWhenUsed/>
    <w:qFormat/>
    <w:uiPriority w:val="0"/>
    <w:pPr>
      <w:keepNext/>
      <w:keepLines/>
      <w:numPr>
        <w:ilvl w:val="1"/>
        <w:numId w:val="1"/>
      </w:numPr>
      <w:spacing w:line="416" w:lineRule="auto"/>
      <w:outlineLvl w:val="1"/>
    </w:pPr>
    <w:rPr>
      <w:rFonts w:ascii="Arial" w:hAnsi="Arial" w:cs="Arial" w:eastAsiaTheme="minorEastAsia"/>
      <w:b/>
      <w:bCs/>
      <w:sz w:val="28"/>
      <w:szCs w:val="32"/>
    </w:rPr>
  </w:style>
  <w:style w:type="paragraph" w:styleId="4">
    <w:name w:val="heading 3"/>
    <w:basedOn w:val="1"/>
    <w:next w:val="1"/>
    <w:link w:val="37"/>
    <w:autoRedefine/>
    <w:semiHidden/>
    <w:unhideWhenUsed/>
    <w:qFormat/>
    <w:uiPriority w:val="0"/>
    <w:pPr>
      <w:numPr>
        <w:ilvl w:val="2"/>
        <w:numId w:val="1"/>
      </w:numPr>
      <w:tabs>
        <w:tab w:val="left" w:pos="709"/>
      </w:tabs>
      <w:autoSpaceDE w:val="0"/>
      <w:autoSpaceDN w:val="0"/>
      <w:bidi/>
      <w:jc w:val="left"/>
      <w:textAlignment w:val="baseline"/>
      <w:outlineLvl w:val="2"/>
    </w:pPr>
    <w:rPr>
      <w:rFonts w:ascii="黑体" w:hAnsi="黑体"/>
      <w:color w:val="000000"/>
      <w:kern w:val="0"/>
      <w:szCs w:val="20"/>
    </w:rPr>
  </w:style>
  <w:style w:type="paragraph" w:styleId="5">
    <w:name w:val="heading 4"/>
    <w:basedOn w:val="1"/>
    <w:next w:val="1"/>
    <w:autoRedefine/>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ind w:left="964" w:hanging="964"/>
      <w:jc w:val="left"/>
      <w:outlineLvl w:val="4"/>
    </w:pPr>
  </w:style>
  <w:style w:type="paragraph" w:styleId="7">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List Number"/>
    <w:basedOn w:val="1"/>
    <w:next w:val="12"/>
    <w:autoRedefine/>
    <w:qFormat/>
    <w:uiPriority w:val="0"/>
    <w:pPr>
      <w:numPr>
        <w:ilvl w:val="0"/>
        <w:numId w:val="2"/>
      </w:numPr>
    </w:pPr>
  </w:style>
  <w:style w:type="paragraph" w:styleId="12">
    <w:name w:val="Balloon Text"/>
    <w:basedOn w:val="1"/>
    <w:next w:val="13"/>
    <w:autoRedefine/>
    <w:qFormat/>
    <w:uiPriority w:val="0"/>
    <w:rPr>
      <w:sz w:val="18"/>
      <w:szCs w:val="18"/>
    </w:rPr>
  </w:style>
  <w:style w:type="paragraph" w:styleId="13">
    <w:name w:val="toc 8"/>
    <w:basedOn w:val="1"/>
    <w:next w:val="1"/>
    <w:autoRedefine/>
    <w:qFormat/>
    <w:uiPriority w:val="0"/>
    <w:pPr>
      <w:ind w:left="2940" w:leftChars="1400"/>
    </w:pPr>
  </w:style>
  <w:style w:type="paragraph" w:styleId="14">
    <w:name w:val="Normal Indent"/>
    <w:basedOn w:val="1"/>
    <w:next w:val="15"/>
    <w:autoRedefine/>
    <w:qFormat/>
    <w:uiPriority w:val="0"/>
    <w:pPr>
      <w:widowControl/>
      <w:snapToGrid w:val="0"/>
      <w:spacing w:line="480" w:lineRule="exact"/>
      <w:ind w:firstLine="567"/>
    </w:pPr>
    <w:rPr>
      <w:rFonts w:ascii="宋体"/>
      <w:snapToGrid w:val="0"/>
      <w:color w:val="000000"/>
      <w:kern w:val="28"/>
      <w:sz w:val="28"/>
      <w:szCs w:val="20"/>
    </w:rPr>
  </w:style>
  <w:style w:type="paragraph" w:styleId="15">
    <w:name w:val="Body Text Indent"/>
    <w:basedOn w:val="1"/>
    <w:next w:val="1"/>
    <w:autoRedefine/>
    <w:qFormat/>
    <w:uiPriority w:val="0"/>
    <w:pPr>
      <w:spacing w:line="480" w:lineRule="exact"/>
      <w:ind w:firstLine="480" w:firstLineChars="200"/>
    </w:pPr>
    <w:rPr>
      <w:rFonts w:ascii="宋体" w:hAnsi="宋体"/>
      <w:sz w:val="24"/>
    </w:rPr>
  </w:style>
  <w:style w:type="paragraph" w:styleId="16">
    <w:name w:val="caption"/>
    <w:basedOn w:val="1"/>
    <w:next w:val="1"/>
    <w:autoRedefine/>
    <w:qFormat/>
    <w:uiPriority w:val="0"/>
    <w:rPr>
      <w:b/>
      <w:sz w:val="28"/>
      <w:szCs w:val="20"/>
    </w:rPr>
  </w:style>
  <w:style w:type="paragraph" w:styleId="17">
    <w:name w:val="Body Text"/>
    <w:basedOn w:val="1"/>
    <w:next w:val="18"/>
    <w:autoRedefine/>
    <w:qFormat/>
    <w:uiPriority w:val="0"/>
    <w:pPr>
      <w:spacing w:after="120"/>
    </w:pPr>
  </w:style>
  <w:style w:type="paragraph" w:styleId="18">
    <w:name w:val="Body Text First Indent"/>
    <w:basedOn w:val="17"/>
    <w:next w:val="19"/>
    <w:autoRedefine/>
    <w:qFormat/>
    <w:uiPriority w:val="0"/>
    <w:pPr>
      <w:ind w:firstLine="420"/>
    </w:pPr>
    <w:rPr>
      <w:rFonts w:hAnsi="Calibri"/>
      <w:szCs w:val="20"/>
    </w:rPr>
  </w:style>
  <w:style w:type="paragraph" w:styleId="19">
    <w:name w:val="toc 6"/>
    <w:basedOn w:val="1"/>
    <w:next w:val="1"/>
    <w:autoRedefine/>
    <w:qFormat/>
    <w:uiPriority w:val="0"/>
    <w:pPr>
      <w:ind w:left="2100" w:leftChars="1000"/>
    </w:pPr>
  </w:style>
  <w:style w:type="paragraph" w:styleId="20">
    <w:name w:val="index 4"/>
    <w:basedOn w:val="1"/>
    <w:next w:val="1"/>
    <w:autoRedefine/>
    <w:qFormat/>
    <w:uiPriority w:val="0"/>
    <w:pPr>
      <w:spacing w:beforeLines="0" w:line="360" w:lineRule="auto"/>
      <w:ind w:left="600" w:leftChars="600"/>
    </w:pPr>
    <w:rPr>
      <w:sz w:val="24"/>
      <w:szCs w:val="24"/>
    </w:rPr>
  </w:style>
  <w:style w:type="paragraph" w:styleId="21">
    <w:name w:val="Plain Text"/>
    <w:basedOn w:val="1"/>
    <w:next w:val="1"/>
    <w:autoRedefine/>
    <w:qFormat/>
    <w:uiPriority w:val="0"/>
    <w:rPr>
      <w:rFonts w:ascii="宋体" w:hAnsi="Courier New" w:cs="Arial"/>
      <w:snapToGrid w:val="0"/>
      <w:szCs w:val="21"/>
    </w:rPr>
  </w:style>
  <w:style w:type="paragraph" w:styleId="22">
    <w:name w:val="footer"/>
    <w:basedOn w:val="1"/>
    <w:autoRedefine/>
    <w:qFormat/>
    <w:uiPriority w:val="99"/>
    <w:pPr>
      <w:tabs>
        <w:tab w:val="center" w:pos="4153"/>
        <w:tab w:val="right" w:pos="8306"/>
      </w:tabs>
      <w:snapToGrid w:val="0"/>
      <w:jc w:val="left"/>
    </w:pPr>
    <w:rPr>
      <w:sz w:val="18"/>
      <w:szCs w:val="18"/>
    </w:rPr>
  </w:style>
  <w:style w:type="paragraph" w:styleId="2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Body Text Indent 3"/>
    <w:basedOn w:val="1"/>
    <w:autoRedefine/>
    <w:qFormat/>
    <w:uiPriority w:val="99"/>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7">
    <w:name w:val="Title"/>
    <w:basedOn w:val="1"/>
    <w:autoRedefine/>
    <w:qFormat/>
    <w:uiPriority w:val="0"/>
    <w:pPr>
      <w:widowControl/>
      <w:overflowPunct w:val="0"/>
      <w:autoSpaceDE w:val="0"/>
      <w:autoSpaceDN w:val="0"/>
      <w:adjustRightInd w:val="0"/>
      <w:jc w:val="center"/>
      <w:textAlignment w:val="baseline"/>
    </w:pPr>
    <w:rPr>
      <w:b/>
      <w:kern w:val="0"/>
      <w:sz w:val="24"/>
      <w:szCs w:val="20"/>
      <w:lang w:val="en-GB"/>
    </w:rPr>
  </w:style>
  <w:style w:type="paragraph" w:styleId="28">
    <w:name w:val="Body Text First Indent 2"/>
    <w:basedOn w:val="15"/>
    <w:next w:val="1"/>
    <w:autoRedefine/>
    <w:qFormat/>
    <w:uiPriority w:val="99"/>
    <w:pPr>
      <w:ind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autoRedefine/>
    <w:qFormat/>
    <w:uiPriority w:val="0"/>
    <w:rPr>
      <w:rFonts w:ascii="Arial" w:hAnsi="Arial" w:eastAsia="黑体" w:cs="Arial"/>
      <w:snapToGrid w:val="0"/>
      <w:kern w:val="0"/>
      <w:szCs w:val="21"/>
    </w:rPr>
  </w:style>
  <w:style w:type="character" w:styleId="33">
    <w:name w:val="FollowedHyperlink"/>
    <w:autoRedefine/>
    <w:qFormat/>
    <w:uiPriority w:val="99"/>
    <w:rPr>
      <w:rFonts w:ascii="Arial" w:hAnsi="Arial" w:eastAsia="黑体" w:cs="Arial"/>
      <w:snapToGrid w:val="0"/>
      <w:color w:val="000000"/>
      <w:kern w:val="0"/>
      <w:sz w:val="18"/>
      <w:szCs w:val="18"/>
      <w:u w:val="none"/>
    </w:rPr>
  </w:style>
  <w:style w:type="character" w:styleId="34">
    <w:name w:val="Hyperlink"/>
    <w:basedOn w:val="31"/>
    <w:autoRedefine/>
    <w:qFormat/>
    <w:uiPriority w:val="99"/>
    <w:rPr>
      <w:rFonts w:ascii="Arial" w:hAnsi="Arial" w:eastAsia="黑体" w:cs="Arial"/>
      <w:snapToGrid w:val="0"/>
      <w:color w:val="000000"/>
      <w:kern w:val="0"/>
      <w:sz w:val="18"/>
      <w:szCs w:val="18"/>
      <w:u w:val="none"/>
    </w:rPr>
  </w:style>
  <w:style w:type="paragraph" w:customStyle="1" w:styleId="35">
    <w:name w:val="[Normal]"/>
    <w:autoRedefine/>
    <w:qFormat/>
    <w:uiPriority w:val="0"/>
    <w:rPr>
      <w:rFonts w:ascii="宋体" w:hAnsi="宋体" w:eastAsia="宋体" w:cs="Times New Roman"/>
      <w:sz w:val="24"/>
      <w:szCs w:val="22"/>
      <w:lang w:val="zh-CN" w:eastAsia="zh-CN" w:bidi="ar-SA"/>
    </w:rPr>
  </w:style>
  <w:style w:type="character" w:customStyle="1" w:styleId="36">
    <w:name w:val="标题 2 Char"/>
    <w:link w:val="2"/>
    <w:autoRedefine/>
    <w:qFormat/>
    <w:uiPriority w:val="0"/>
    <w:rPr>
      <w:rFonts w:ascii="Arial" w:hAnsi="Arial" w:cs="Arial" w:eastAsiaTheme="minorEastAsia"/>
      <w:b/>
      <w:bCs/>
      <w:sz w:val="28"/>
      <w:szCs w:val="32"/>
    </w:rPr>
  </w:style>
  <w:style w:type="character" w:customStyle="1" w:styleId="37">
    <w:name w:val="标题 3 Char"/>
    <w:link w:val="4"/>
    <w:autoRedefine/>
    <w:qFormat/>
    <w:uiPriority w:val="0"/>
    <w:rPr>
      <w:rFonts w:ascii="黑体" w:hAnsi="黑体" w:eastAsia="宋体"/>
      <w:color w:val="000000"/>
      <w:kern w:val="0"/>
      <w:sz w:val="24"/>
      <w:szCs w:val="20"/>
    </w:rPr>
  </w:style>
  <w:style w:type="character" w:customStyle="1" w:styleId="38">
    <w:name w:val="标题 1 Char"/>
    <w:link w:val="3"/>
    <w:autoRedefine/>
    <w:qFormat/>
    <w:uiPriority w:val="0"/>
    <w:rPr>
      <w:rFonts w:ascii="宋体" w:hAnsi="宋体" w:eastAsia="黑体"/>
      <w:color w:val="000000"/>
      <w:kern w:val="44"/>
      <w:sz w:val="36"/>
      <w:szCs w:val="20"/>
    </w:rPr>
  </w:style>
  <w:style w:type="paragraph" w:customStyle="1" w:styleId="39">
    <w:name w:val="正文2"/>
    <w:basedOn w:val="1"/>
    <w:autoRedefine/>
    <w:qFormat/>
    <w:uiPriority w:val="0"/>
    <w:pPr>
      <w:spacing w:before="156" w:line="360" w:lineRule="auto"/>
      <w:ind w:firstLine="510" w:firstLineChars="200"/>
    </w:pPr>
    <w:rPr>
      <w:sz w:val="24"/>
      <w:szCs w:val="20"/>
    </w:rPr>
  </w:style>
  <w:style w:type="paragraph" w:customStyle="1" w:styleId="40">
    <w:name w:val="招标正文"/>
    <w:basedOn w:val="41"/>
    <w:autoRedefine/>
    <w:qFormat/>
    <w:uiPriority w:val="0"/>
    <w:pPr>
      <w:widowControl w:val="0"/>
      <w:spacing w:line="360" w:lineRule="auto"/>
    </w:pPr>
    <w:rPr>
      <w:rFonts w:ascii="宋体"/>
      <w:color w:val="000000"/>
      <w:szCs w:val="21"/>
    </w:rPr>
  </w:style>
  <w:style w:type="paragraph" w:customStyle="1" w:styleId="41">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42">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4">
    <w:name w:val="正文缩进1"/>
    <w:basedOn w:val="1"/>
    <w:next w:val="1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5">
    <w:name w:val="索引 11"/>
    <w:basedOn w:val="1"/>
    <w:next w:val="1"/>
    <w:autoRedefine/>
    <w:qFormat/>
    <w:uiPriority w:val="99"/>
    <w:pPr>
      <w:adjustRightInd/>
      <w:spacing w:line="360" w:lineRule="auto"/>
    </w:pPr>
    <w:rPr>
      <w:rFonts w:ascii="方正仿宋_GB2312" w:eastAsia="方正仿宋_GB2312"/>
      <w:sz w:val="24"/>
      <w:szCs w:val="20"/>
    </w:rPr>
  </w:style>
  <w:style w:type="paragraph" w:customStyle="1" w:styleId="46">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7">
    <w:name w:val="纯文本_0_0"/>
    <w:basedOn w:val="48"/>
    <w:autoRedefine/>
    <w:qFormat/>
    <w:uiPriority w:val="0"/>
    <w:rPr>
      <w:rFonts w:ascii="宋体" w:hAnsi="Courier New"/>
      <w:szCs w:val="21"/>
    </w:rPr>
  </w:style>
  <w:style w:type="paragraph" w:customStyle="1" w:styleId="4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50">
    <w:name w:val="正文C"/>
    <w:basedOn w:val="1"/>
    <w:autoRedefine/>
    <w:qFormat/>
    <w:uiPriority w:val="0"/>
    <w:pPr>
      <w:spacing w:line="360" w:lineRule="auto"/>
      <w:ind w:firstLine="480" w:firstLineChars="200"/>
    </w:pPr>
    <w:rPr>
      <w:sz w:val="24"/>
    </w:rPr>
  </w:style>
  <w:style w:type="paragraph" w:customStyle="1" w:styleId="51">
    <w:name w:val="招标-标题1"/>
    <w:basedOn w:val="1"/>
    <w:autoRedefine/>
    <w:qFormat/>
    <w:uiPriority w:val="0"/>
    <w:pPr>
      <w:spacing w:line="300" w:lineRule="auto"/>
      <w:ind w:left="560"/>
    </w:pPr>
    <w:rPr>
      <w:rFonts w:ascii="宋体" w:hAnsi="宋体"/>
      <w:b/>
      <w:bCs/>
      <w:szCs w:val="21"/>
    </w:rPr>
  </w:style>
  <w:style w:type="character" w:customStyle="1" w:styleId="52">
    <w:name w:val="font11"/>
    <w:basedOn w:val="3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28236</Words>
  <Characters>29949</Characters>
  <Lines>217</Lines>
  <Paragraphs>61</Paragraphs>
  <TotalTime>7</TotalTime>
  <ScaleCrop>false</ScaleCrop>
  <LinksUpToDate>false</LinksUpToDate>
  <CharactersWithSpaces>33783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2022-05-18T01:34:00Z</dcterms:created>
  <dc:creator>余麟</dc:creator>
  <cp:lastModifiedBy>奋斗中的鱼儿</cp:lastModifiedBy>
  <cp:lastPrinted>2022-05-27T00:50:00Z</cp:lastPrinted>
  <dcterms:modified xsi:type="dcterms:W3CDTF">2024-05-22T08:01:40Z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C7B4E7BA60144A5499FE4462C78E2C93_13</vt:lpwstr>
  </property>
</Properties>
</file>