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兴银理财稳利丰收封闭式72号固收类理财产品2024年第二季度报告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兴银理财稳利丰收封闭式72号固收类理财产品</w:t>
            </w:r>
            <w:r>
              <w:rPr>
                <w:rFonts w:ascii="宋体" w:hAnsi="宋体" w:eastAsia="宋体" w:cs="宋体"/>
                <w:b/>
                <w:color w:val="000000"/>
                <w:sz w:val="32"/>
              </w:rPr>
              <w:br w:type="textWrapping"/>
            </w:r>
            <w:r>
              <w:rPr>
                <w:rFonts w:ascii="宋体" w:hAnsi="宋体" w:eastAsia="宋体" w:cs="宋体"/>
                <w:b/>
                <w:color w:val="000000"/>
                <w:sz w:val="32"/>
              </w:rPr>
              <w:t>2024年第二季度报告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报告送出日期：2024年7月19日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兴银理财稳利丰收封闭式72号固收类理财产品2024年第二季度报告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兴银理财稳利丰收封闭式72号固收类理财产品2024年第二季度报告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兴银理财稳利丰收封闭式72号固收类理财产品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9C310720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Z7002023001096</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125,326,955份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稳利丰收封闭式72号A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9C31072A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61,002,305.00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稳利丰收封闭式72号B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9C31072B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30,077,920.00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稳利丰收封闭式72号C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9C31072C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15,784,820.00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兴银理财稳利丰收封闭式72号固收类理财产品2024年第二季度报告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稳利丰收封闭式72号D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9C31072D</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18,461,910.00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9C31072A</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6.76</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9C31072B</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7.23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6.87</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9C31072C</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7.34</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6.98</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9C31072D</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7.40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7.03</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业绩比较基准（9C31072A）：3.05%--4.05%</w:t>
            </w:r>
            <w:r>
              <w:rPr>
                <w:rFonts w:ascii="宋体" w:hAnsi="宋体" w:eastAsia="宋体" w:cs="宋体"/>
                <w:color w:val="000000"/>
                <w:sz w:val="21"/>
              </w:rPr>
              <w:br w:type="textWrapping"/>
            </w:r>
            <w:r>
              <w:rPr>
                <w:rFonts w:ascii="宋体" w:hAnsi="宋体" w:eastAsia="宋体" w:cs="宋体"/>
                <w:color w:val="000000"/>
                <w:sz w:val="21"/>
              </w:rPr>
              <w:t>业绩比较基准（9C31072B）：3.15%--4.15%</w:t>
            </w:r>
            <w:r>
              <w:rPr>
                <w:rFonts w:ascii="宋体" w:hAnsi="宋体" w:eastAsia="宋体" w:cs="宋体"/>
                <w:color w:val="000000"/>
                <w:sz w:val="21"/>
              </w:rPr>
              <w:br w:type="textWrapping"/>
            </w:r>
            <w:r>
              <w:rPr>
                <w:rFonts w:ascii="宋体" w:hAnsi="宋体" w:eastAsia="宋体" w:cs="宋体"/>
                <w:color w:val="000000"/>
                <w:sz w:val="21"/>
              </w:rPr>
              <w:t>业绩比较基准（9C31072C）：3.26%--4.26%</w:t>
            </w:r>
            <w:r>
              <w:rPr>
                <w:rFonts w:ascii="宋体" w:hAnsi="宋体" w:eastAsia="宋体" w:cs="宋体"/>
                <w:color w:val="000000"/>
                <w:sz w:val="21"/>
              </w:rPr>
              <w:br w:type="textWrapping"/>
            </w:r>
            <w:r>
              <w:rPr>
                <w:rFonts w:ascii="宋体" w:hAnsi="宋体" w:eastAsia="宋体" w:cs="宋体"/>
                <w:color w:val="000000"/>
                <w:sz w:val="21"/>
              </w:rPr>
              <w:t>业绩比较基准（9C31072D）：3.30%--4.30%</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（2）兴银理财稳利丰收封闭式72号固收类理财产品成立于2024年03月28日，数据截止至2024年06月30日。过往业绩是由兴银理财有限责任公司计算并确认后所提供的数据。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29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兴银理财稳利丰收封闭式72号固收类理财产品2024年第二季度报告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9C310720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1.01722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1.01722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127,485,511.88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9C31072A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62,039,026.78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9C31072B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1.01726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1.01726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30,596,965.78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9C31072C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1.01754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1.01754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16,061,762.63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9C31072D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1.01765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1.01765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18,787,756.69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420" w:firstLineChars="200"/>
              <w:jc w:val="left"/>
            </w:pPr>
            <w:r>
              <w:rPr>
                <w:rFonts w:ascii="宋体" w:hAnsi="宋体" w:eastAsia="宋体" w:cs="宋体"/>
                <w:color w:val="000000"/>
                <w:sz w:val="21"/>
              </w:rPr>
              <w:t>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9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一、2024年二季度市场回顾与产品投资策略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二季度以来，债券收益率延续一季度下行趋势。10年国债收益率下行约10bp至2.20%附近位置，30年国债收益率震荡中下行约3bp至2.43%附近。1年国股NCD二季度收益率下行约25bp至1.95%附近，2-3年AA+信用债收益率整体下行40bp左右至2.17%-2.24%，4-5年国股二级收益率下行40bp至2.20%附近，国股永续下行40bp至2.23%-2.30%。</w:t>
            </w:r>
            <w:r>
              <w:rPr>
                <w:rFonts w:ascii="宋体" w:hAnsi="宋体" w:eastAsia="宋体" w:cs="宋体"/>
                <w:color w:val="000000"/>
                <w:sz w:val="21"/>
              </w:rPr>
              <w:br w:type="textWrapping"/>
            </w:r>
            <w:r>
              <w:rPr>
                <w:rFonts w:ascii="宋体" w:hAnsi="宋体" w:eastAsia="宋体" w:cs="宋体"/>
                <w:color w:val="000000"/>
                <w:sz w:val="21"/>
              </w:rPr>
              <w:t xml:space="preserve">    回顾二季度，资产荒行情、资金面宽松、基本面偏弱等因素推动债券收益率在震荡中延续下行。宏观基本面方面，出口回暖和刺激政策带动工业生产和制造业投资，但内需持续低迷；地产以价换量现状未改，仍在筑底阶段；专项债虽加快发行，但向实物工作量转化存在时滞，叠加4-5月天气影响，基建增速整体回落；消费略有改善，二季度增速较一季度收敛。价格指标CPI、PPI维持低位，PMI连续两个月均落于荣枯线以下；社会融资需求较弱，政府债券融资为主要支撑；受禁止手工补息和金融挤水分影响，新增社融和M1增速一度出现同时为负值情形。二季度央行多次喊话提示长端风险，但市场仅在4月底出现明显回调，后续对此反映钝化。随着中小银行下调存款利率，叠加政府债发行节奏平滑和宏观基本面持续偏弱等因素，债市在震荡中重回下行区间。</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二季度以来，产品在震荡环境中以票息策略为主，在策略上保持了中性组合杠杆和中性久期，把握国股行二永债等流动性较好的投资品种，同时积极进行波段交易，增厚组合收益，保证组合在降低产品波动的同时获得了较好的持有收益。整体而言，二季度产品净值继续延续了一季度稳步增长的趋势。</w:t>
            </w:r>
            <w:r>
              <w:rPr>
                <w:rFonts w:ascii="宋体" w:hAnsi="宋体" w:eastAsia="宋体" w:cs="宋体"/>
                <w:color w:val="000000"/>
                <w:sz w:val="21"/>
              </w:rPr>
              <w:br w:type="textWrapping"/>
            </w:r>
            <w:r>
              <w:rPr>
                <w:rFonts w:ascii="宋体" w:hAnsi="宋体" w:eastAsia="宋体" w:cs="宋体"/>
                <w:color w:val="000000"/>
                <w:sz w:val="21"/>
              </w:rPr>
              <w:t>二、2024年三季度展望与投资</w:t>
            </w:r>
            <w:r>
              <w:rPr>
                <w:rFonts w:ascii="宋体" w:hAnsi="宋体" w:eastAsia="宋体" w:cs="宋体"/>
                <w:color w:val="000000"/>
                <w:sz w:val="21"/>
              </w:rPr>
              <w:br w:type="textWrapping"/>
            </w:r>
            <w:r>
              <w:rPr>
                <w:rFonts w:ascii="宋体" w:hAnsi="宋体" w:eastAsia="宋体" w:cs="宋体"/>
                <w:color w:val="000000"/>
                <w:sz w:val="21"/>
              </w:rPr>
              <w:t>1、2024年三季度展望</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5" w:name="JR_PAGE_ANCHOR_0_6"/>
            <w:bookmarkEnd w:id="5"/>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兴银理财稳利丰收封闭式72号固收类理财产品2024年第二季度报告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2024年三季度基本面预计继续维持弱复苏、低通胀的状态，地产政策出台后更多是以价换量行情，房价下跌预期短期内难言逆转。跨季后，随着银行理财、公募基金资金回流，资金面预计维持宽松。央行货币框架有所变动，以OMO作为短端的锚，淡化MLF对长端的指导作用，后续或主动参与债券买卖或债券借入交易指导市场利率。央行参与市场的行为对债市的影响更趋于短期脉冲式扰动，真正定价还在基本面。随着存款利率等广谱利率的下调，贷款利率仍存在降息空间。供需方面，城投债融资预计将继续缩量，资金配置需求仍强，债市将持续处于“资产荒”行情中。整体而言，对三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短期内，信用债及城投债票息及久期策略仍然占优。策略上，继续保持中性的杠杆和久期，少量仓位参与流动性较好的中高等级信用债品种交易，增厚收益，后续重点关注三季度债券供给因素和资金面变化。</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14.34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78.63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bookmarkStart w:id="8" w:name="_GoBack"/>
            <w:bookmarkEnd w:id="8"/>
            <w:r>
              <w:rPr>
                <w:rFonts w:ascii="宋体" w:hAnsi="宋体" w:eastAsia="宋体" w:cs="宋体"/>
                <w:color w:val="000000"/>
                <w:sz w:val="21"/>
              </w:rPr>
              <w:t>为防范无法支付到期赎回款而产生的流动性风险，本理财产品管理人将合理安排所投资产期限，产品到期前完成所投资组合中相关资产变现，尽可能降低产品流动性风险，有效保障理财持有人利益。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兴银理财稳利丰收封闭式72号固收类理财产品2024年第二季度报告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18,348,006.88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14.39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19安国投</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12,775,978.74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24投资03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11,183,683.50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22青莱01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7,626,424.97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24曲文投MTN001A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7,576,307.41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24恒业01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7,499,157.53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23成金01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7,195,059.04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22沧港02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5,890,839.25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24渝合D1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5,544,274.05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24国债02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4,821,146.01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兴银理财稳利丰收封闭式72号固收类理财产品2024年第二季度报告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兴银理财稳利丰收封闭式72号固收类理财产品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0.8195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051010100101750287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兴银理财稳利丰收封闭式72号固收类理财产品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2024年7月19日</w:t>
            </w:r>
          </w:p>
        </w:tc>
        <w:tc>
          <w:tcPr>
            <w:gridSpan w:val="4"/>
          </w:tcPr>
          <w:p>
            <w:pPr>
              <w:pStyle w:val="4"/>
            </w:pPr>
          </w:p>
        </w:tc>
        <w:tc>
          <w:p>
            <w:pPr>
              <w:pStyle w:val="4"/>
            </w:pPr>
          </w:p>
        </w:tc>
      </w:tr>
      <w:tr>
        <w:tblPrEx>
          <w:tblCellMar>
            <w:top w:w="0" w:type="dxa"/>
            <w:left w:w="10" w:type="dxa"/>
            <w:bottom w:w="0" w:type="dxa"/>
            <w:right w:w="10" w:type="dxa"/>
          </w:tblCellMar>
        </w:tblPrEx>
        <w:trPr>
          <w:trHeight w:val="54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3F4C22"/>
    <w:rsid w:val="6A4B18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2024-07-17T13:45:00Z</dcterms:created>
  <dc:creator>cib</dc:creator>
  <cp:lastModifiedBy>cib</cp:lastModifiedBy>
  <dcterms:modified xsi:type="dcterms:W3CDTF">2024-07-18T05:14:06Z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