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4354A9B">
      <w:pPr>
        <w:rPr>
          <w:sz w:val="48"/>
        </w:rPr>
      </w:pPr>
    </w:p>
    <w:p w14:paraId="0F24A75F">
      <w:pPr>
        <w:rPr>
          <w:sz w:val="48"/>
        </w:rPr>
      </w:pPr>
    </w:p>
    <w:p w14:paraId="0FD65D1A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桐庐农商银行丰收信福封闭净值型2024年第18期理财产品</w:t>
      </w:r>
    </w:p>
    <w:p w14:paraId="789669C1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4B91C287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06F71771">
      <w:pPr>
        <w:jc w:val="center"/>
        <w:rPr>
          <w:rFonts w:ascii="宋体" w:hAnsi="宋体"/>
          <w:sz w:val="28"/>
          <w:szCs w:val="30"/>
        </w:rPr>
      </w:pPr>
    </w:p>
    <w:p w14:paraId="3807C5C0">
      <w:pPr>
        <w:jc w:val="center"/>
        <w:rPr>
          <w:rFonts w:ascii="宋体" w:hAnsi="宋体"/>
          <w:sz w:val="28"/>
          <w:szCs w:val="30"/>
        </w:rPr>
      </w:pPr>
    </w:p>
    <w:p w14:paraId="3C93099E">
      <w:pPr>
        <w:jc w:val="center"/>
        <w:rPr>
          <w:rFonts w:ascii="宋体" w:hAnsi="宋体"/>
          <w:sz w:val="28"/>
          <w:szCs w:val="30"/>
        </w:rPr>
      </w:pPr>
    </w:p>
    <w:p w14:paraId="072096DA">
      <w:pPr>
        <w:jc w:val="center"/>
        <w:rPr>
          <w:rFonts w:ascii="宋体" w:hAnsi="宋体"/>
          <w:sz w:val="28"/>
          <w:szCs w:val="30"/>
        </w:rPr>
      </w:pPr>
    </w:p>
    <w:p w14:paraId="2DF3951B">
      <w:pPr>
        <w:jc w:val="center"/>
        <w:rPr>
          <w:rFonts w:ascii="宋体" w:hAnsi="宋体"/>
          <w:sz w:val="28"/>
          <w:szCs w:val="30"/>
        </w:rPr>
      </w:pPr>
    </w:p>
    <w:p w14:paraId="4C2D278A">
      <w:pPr>
        <w:jc w:val="center"/>
        <w:rPr>
          <w:rFonts w:ascii="宋体" w:hAnsi="宋体"/>
          <w:sz w:val="28"/>
          <w:szCs w:val="30"/>
        </w:rPr>
      </w:pPr>
    </w:p>
    <w:p w14:paraId="4F94D5F4">
      <w:pPr>
        <w:jc w:val="center"/>
        <w:rPr>
          <w:rFonts w:ascii="宋体" w:hAnsi="宋体"/>
          <w:sz w:val="28"/>
          <w:szCs w:val="30"/>
        </w:rPr>
      </w:pPr>
    </w:p>
    <w:p w14:paraId="1046D88B">
      <w:pPr>
        <w:jc w:val="center"/>
        <w:rPr>
          <w:rFonts w:ascii="宋体" w:hAnsi="宋体"/>
          <w:sz w:val="28"/>
          <w:szCs w:val="30"/>
        </w:rPr>
      </w:pPr>
    </w:p>
    <w:p w14:paraId="7C93CE77">
      <w:pPr>
        <w:jc w:val="center"/>
        <w:rPr>
          <w:rFonts w:ascii="宋体" w:hAnsi="宋体"/>
          <w:sz w:val="28"/>
          <w:szCs w:val="30"/>
        </w:rPr>
      </w:pPr>
    </w:p>
    <w:p w14:paraId="7E224CF4">
      <w:pPr>
        <w:jc w:val="center"/>
        <w:rPr>
          <w:rFonts w:ascii="宋体" w:hAnsi="宋体"/>
          <w:sz w:val="28"/>
          <w:szCs w:val="30"/>
        </w:rPr>
      </w:pPr>
    </w:p>
    <w:p w14:paraId="5E29BC92">
      <w:pPr>
        <w:jc w:val="center"/>
        <w:rPr>
          <w:rFonts w:ascii="宋体" w:hAnsi="宋体"/>
          <w:sz w:val="28"/>
          <w:szCs w:val="30"/>
        </w:rPr>
      </w:pPr>
    </w:p>
    <w:p w14:paraId="11A9FCD4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2A11A87A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732D0FAD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0837A840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8961166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02B920B">
      <w:pPr>
        <w:rPr>
          <w:rFonts w:ascii="宋体" w:hAnsi="宋体"/>
          <w:sz w:val="28"/>
          <w:szCs w:val="30"/>
        </w:rPr>
      </w:pPr>
    </w:p>
    <w:p w14:paraId="6E109562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65155D3C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6EE2989F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7FC8B0ED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5231B6CA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1EEDF4F1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 w14:paraId="508E6E5B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212F50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16BA8BB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1439AAD0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43042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C90F417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70D6874A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桐庐农商银行丰收信福封闭净值型2024年第18期理财产品</w:t>
            </w:r>
          </w:p>
        </w:tc>
      </w:tr>
      <w:tr w14:paraId="689470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0135CE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07CDBA05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C1123124000017</w:t>
            </w:r>
          </w:p>
        </w:tc>
      </w:tr>
      <w:tr w14:paraId="0A9CA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9B8E326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0A99CF7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7AB55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1443273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18B5F4A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79C8B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BDBC450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09E552D6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 w14:paraId="04A1F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753A2F1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7BAF2A51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2024-05-06</w:t>
            </w:r>
          </w:p>
        </w:tc>
      </w:tr>
      <w:tr w14:paraId="60344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0E2553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08F98FE8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2025-05-13</w:t>
            </w:r>
          </w:p>
        </w:tc>
      </w:tr>
      <w:tr w14:paraId="34BA2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2F50D57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3CCF227E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2,000,000.00</w:t>
            </w:r>
            <w:bookmarkEnd w:id="0"/>
          </w:p>
        </w:tc>
      </w:tr>
      <w:tr w14:paraId="1F7FFD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C56CB9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39561E87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[2.8%-4.1%]/年</w:t>
            </w:r>
          </w:p>
        </w:tc>
      </w:tr>
      <w:tr w14:paraId="6E3C2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F4075B8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584F9A4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 w14:paraId="18B617B2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51F59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76FB030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23777729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7A03B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397639F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143DC0FF">
            <w:pPr>
              <w:jc w:val="right"/>
            </w:pPr>
            <w:r>
              <w:t>0.10</w:t>
            </w:r>
          </w:p>
        </w:tc>
      </w:tr>
      <w:tr w14:paraId="52FF5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7861CC7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3589D8CE">
            <w:pPr>
              <w:jc w:val="right"/>
            </w:pPr>
            <w:r>
              <w:rPr>
                <w:rFonts w:hint="eastAsia"/>
              </w:rPr>
              <w:t>1.38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 w14:paraId="612EFE3D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23523D66">
      <w:pPr>
        <w:pStyle w:val="40"/>
      </w:pPr>
      <w:r>
        <w:rPr>
          <w:rFonts w:hint="eastAsia"/>
        </w:rPr>
        <w:t>主要财务指标</w:t>
      </w:r>
    </w:p>
    <w:p w14:paraId="683BDB9C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306B4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23BE9CF8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5089785B"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 w14:paraId="4498C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F43BEE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4A3B88A9">
            <w:pPr>
              <w:jc w:val="right"/>
            </w:pPr>
            <w:r>
              <w:t>-77.05</w:t>
            </w:r>
          </w:p>
        </w:tc>
      </w:tr>
      <w:tr w14:paraId="0613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EF3D22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14C58435">
            <w:pPr>
              <w:jc w:val="right"/>
            </w:pPr>
            <w:r>
              <w:t>2,038.05</w:t>
            </w:r>
          </w:p>
        </w:tc>
      </w:tr>
      <w:tr w14:paraId="56DA1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F8D332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62D5611F">
            <w:pPr>
              <w:jc w:val="right"/>
            </w:pPr>
            <w:r>
              <w:t>2,027,549.99</w:t>
            </w:r>
          </w:p>
        </w:tc>
      </w:tr>
      <w:tr w14:paraId="07DD4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1118F9EA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06CFF7FB">
            <w:pPr>
              <w:jc w:val="right"/>
            </w:pPr>
            <w:r>
              <w:t>1.01377499</w:t>
            </w:r>
          </w:p>
        </w:tc>
      </w:tr>
    </w:tbl>
    <w:p w14:paraId="53EF5125">
      <w:pPr>
        <w:tabs>
          <w:tab w:val="left" w:pos="3135"/>
        </w:tabs>
        <w:ind w:left="420" w:leftChars="200"/>
      </w:pPr>
    </w:p>
    <w:p w14:paraId="22F0091A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2E6B66CB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5E57CDC2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01220F1E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230C2CD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1CABC358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4468B69E">
      <w:pPr>
        <w:jc w:val="right"/>
      </w:pPr>
    </w:p>
    <w:p w14:paraId="392A0216">
      <w:pPr>
        <w:jc w:val="right"/>
      </w:pPr>
    </w:p>
    <w:p w14:paraId="5B05CEE5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29EDD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67FFA3B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5763C20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1EC5E714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22F166D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2DA58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5271AD1A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49157B79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484E395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11DC617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1103991E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5B924598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1D2F9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2AF2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08AE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125151E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E58309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6F385F4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D491917">
            <w:pPr>
              <w:jc w:val="right"/>
            </w:pPr>
            <w:r>
              <w:t>0.00</w:t>
            </w:r>
          </w:p>
        </w:tc>
      </w:tr>
      <w:tr w14:paraId="22007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1B151C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15E47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3BF67B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F13E58C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1226123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482627C">
            <w:pPr>
              <w:jc w:val="right"/>
            </w:pPr>
            <w:r>
              <w:t>0.00</w:t>
            </w:r>
          </w:p>
        </w:tc>
      </w:tr>
      <w:tr w14:paraId="15231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AD3BA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3022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6EECCED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30B70BF">
            <w:pPr>
              <w:jc w:val="right"/>
            </w:pPr>
          </w:p>
        </w:tc>
        <w:tc>
          <w:tcPr>
            <w:tcW w:w="1653" w:type="dxa"/>
            <w:vAlign w:val="center"/>
          </w:tcPr>
          <w:p w14:paraId="621D7BAA">
            <w:pPr>
              <w:jc w:val="right"/>
            </w:pPr>
          </w:p>
        </w:tc>
        <w:tc>
          <w:tcPr>
            <w:tcW w:w="1705" w:type="dxa"/>
            <w:vAlign w:val="center"/>
          </w:tcPr>
          <w:p w14:paraId="3A3872D4">
            <w:pPr>
              <w:jc w:val="right"/>
            </w:pPr>
          </w:p>
        </w:tc>
      </w:tr>
      <w:tr w14:paraId="70872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2980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31E6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EB334C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760BE03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3C4E94C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47033E5A">
            <w:pPr>
              <w:jc w:val="right"/>
            </w:pPr>
            <w:r>
              <w:t>0.00</w:t>
            </w:r>
          </w:p>
        </w:tc>
      </w:tr>
      <w:tr w14:paraId="1BC4F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B3BBB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CA35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895D102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DA3CAA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47C9779">
            <w:pPr>
              <w:jc w:val="right"/>
            </w:pPr>
            <w:r>
              <w:t>2,160,441.49</w:t>
            </w:r>
          </w:p>
        </w:tc>
        <w:tc>
          <w:tcPr>
            <w:tcW w:w="1705" w:type="dxa"/>
            <w:vAlign w:val="center"/>
          </w:tcPr>
          <w:p w14:paraId="61635682">
            <w:pPr>
              <w:jc w:val="right"/>
            </w:pPr>
            <w:r>
              <w:t>106.55</w:t>
            </w:r>
          </w:p>
        </w:tc>
      </w:tr>
      <w:tr w14:paraId="587A5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67CF21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60F099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C40270F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027DC7D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3664FE1">
            <w:pPr>
              <w:jc w:val="right"/>
            </w:pPr>
            <w:r>
              <w:t>2,027,711.01</w:t>
            </w:r>
          </w:p>
        </w:tc>
        <w:tc>
          <w:tcPr>
            <w:tcW w:w="1705" w:type="dxa"/>
            <w:vAlign w:val="center"/>
          </w:tcPr>
          <w:p w14:paraId="0FD2F0BF">
            <w:pPr>
              <w:jc w:val="right"/>
            </w:pPr>
            <w:r>
              <w:t>100.00</w:t>
            </w:r>
          </w:p>
        </w:tc>
      </w:tr>
      <w:tr w14:paraId="44BE2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F062D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A135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E652F4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1447F6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56676E5D">
            <w:pPr>
              <w:jc w:val="right"/>
            </w:pPr>
            <w:r>
              <w:t>132,730.48</w:t>
            </w:r>
          </w:p>
        </w:tc>
        <w:tc>
          <w:tcPr>
            <w:tcW w:w="1705" w:type="dxa"/>
            <w:vAlign w:val="center"/>
          </w:tcPr>
          <w:p w14:paraId="3E585169">
            <w:pPr>
              <w:jc w:val="right"/>
            </w:pPr>
            <w:r>
              <w:t>6.55</w:t>
            </w:r>
          </w:p>
        </w:tc>
      </w:tr>
      <w:tr w14:paraId="7726A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66EC8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46A99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7C07B52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1032B4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BF1EBE1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10F73C3">
            <w:pPr>
              <w:jc w:val="right"/>
            </w:pPr>
            <w:r>
              <w:t>0.00</w:t>
            </w:r>
          </w:p>
        </w:tc>
      </w:tr>
      <w:tr w14:paraId="377BF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8C97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EB306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2444B6B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7147E80">
            <w:pPr>
              <w:jc w:val="right"/>
            </w:pPr>
          </w:p>
        </w:tc>
        <w:tc>
          <w:tcPr>
            <w:tcW w:w="1653" w:type="dxa"/>
            <w:vAlign w:val="center"/>
          </w:tcPr>
          <w:p w14:paraId="4EC27061">
            <w:pPr>
              <w:jc w:val="right"/>
            </w:pPr>
          </w:p>
        </w:tc>
        <w:tc>
          <w:tcPr>
            <w:tcW w:w="1705" w:type="dxa"/>
            <w:vAlign w:val="center"/>
          </w:tcPr>
          <w:p w14:paraId="05C87675">
            <w:pPr>
              <w:jc w:val="right"/>
            </w:pPr>
          </w:p>
        </w:tc>
      </w:tr>
      <w:tr w14:paraId="1B0E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0DDA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34738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B2C8362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9429BDF">
            <w:pPr>
              <w:jc w:val="right"/>
            </w:pPr>
          </w:p>
        </w:tc>
        <w:tc>
          <w:tcPr>
            <w:tcW w:w="1653" w:type="dxa"/>
            <w:vAlign w:val="center"/>
          </w:tcPr>
          <w:p w14:paraId="399CA73F">
            <w:pPr>
              <w:jc w:val="right"/>
            </w:pPr>
          </w:p>
        </w:tc>
        <w:tc>
          <w:tcPr>
            <w:tcW w:w="1705" w:type="dxa"/>
            <w:vAlign w:val="center"/>
          </w:tcPr>
          <w:p w14:paraId="569D8556">
            <w:pPr>
              <w:jc w:val="right"/>
            </w:pPr>
          </w:p>
        </w:tc>
      </w:tr>
      <w:tr w14:paraId="24C71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9483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D0E2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95498DC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9D69B19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A077E4B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1DA9023C">
            <w:pPr>
              <w:jc w:val="right"/>
            </w:pPr>
            <w:r>
              <w:t>0.00</w:t>
            </w:r>
          </w:p>
        </w:tc>
      </w:tr>
      <w:tr w14:paraId="6478B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347AC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373C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3B69C0D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46DE0850">
            <w:pPr>
              <w:jc w:val="right"/>
            </w:pPr>
          </w:p>
        </w:tc>
        <w:tc>
          <w:tcPr>
            <w:tcW w:w="1653" w:type="dxa"/>
            <w:vAlign w:val="center"/>
          </w:tcPr>
          <w:p w14:paraId="68570785">
            <w:pPr>
              <w:jc w:val="right"/>
            </w:pPr>
          </w:p>
        </w:tc>
        <w:tc>
          <w:tcPr>
            <w:tcW w:w="1705" w:type="dxa"/>
            <w:vAlign w:val="center"/>
          </w:tcPr>
          <w:p w14:paraId="1DD37999">
            <w:pPr>
              <w:jc w:val="right"/>
            </w:pPr>
          </w:p>
        </w:tc>
      </w:tr>
      <w:tr w14:paraId="352D15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8252DF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5EF57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171CD98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780885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BB7A23C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725895B">
            <w:pPr>
              <w:jc w:val="right"/>
            </w:pPr>
            <w:r>
              <w:t>0.00</w:t>
            </w:r>
          </w:p>
        </w:tc>
      </w:tr>
      <w:tr w14:paraId="1EC78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F5B4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CD9219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B4695F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96F630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3E4208F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55A7A0A">
            <w:pPr>
              <w:jc w:val="right"/>
            </w:pPr>
            <w:r>
              <w:t>0.00</w:t>
            </w:r>
          </w:p>
        </w:tc>
      </w:tr>
      <w:tr w14:paraId="5C94A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B3F4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A696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05002EF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C6C698E">
            <w:pPr>
              <w:jc w:val="right"/>
            </w:pPr>
          </w:p>
        </w:tc>
        <w:tc>
          <w:tcPr>
            <w:tcW w:w="1653" w:type="dxa"/>
            <w:vAlign w:val="center"/>
          </w:tcPr>
          <w:p w14:paraId="1633D4DA">
            <w:pPr>
              <w:jc w:val="right"/>
            </w:pPr>
          </w:p>
        </w:tc>
        <w:tc>
          <w:tcPr>
            <w:tcW w:w="1705" w:type="dxa"/>
            <w:vAlign w:val="center"/>
          </w:tcPr>
          <w:p w14:paraId="593A9DF8">
            <w:pPr>
              <w:jc w:val="right"/>
            </w:pPr>
          </w:p>
        </w:tc>
      </w:tr>
      <w:tr w14:paraId="0B92E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9A2DC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1541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24970B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B5D7412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8774D5B">
            <w:pPr>
              <w:jc w:val="right"/>
            </w:pPr>
            <w:r>
              <w:t>13,146.29</w:t>
            </w:r>
          </w:p>
        </w:tc>
        <w:tc>
          <w:tcPr>
            <w:tcW w:w="1705" w:type="dxa"/>
            <w:vAlign w:val="center"/>
          </w:tcPr>
          <w:p w14:paraId="723A82E7">
            <w:pPr>
              <w:jc w:val="right"/>
            </w:pPr>
            <w:r>
              <w:t>0.65</w:t>
            </w:r>
          </w:p>
        </w:tc>
      </w:tr>
      <w:tr w14:paraId="0724E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CCAD4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D4BF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11C57E0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77ECBA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8CB2F1B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66823998">
            <w:pPr>
              <w:jc w:val="right"/>
            </w:pPr>
            <w:r>
              <w:t>0.00</w:t>
            </w:r>
          </w:p>
        </w:tc>
      </w:tr>
      <w:tr w14:paraId="48E17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D38F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ECE9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36B0B32">
            <w:pPr>
              <w:jc w:val="right"/>
            </w:pPr>
            <w:r>
              <w:t>2,027,672.52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71B7C53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65E1F472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7CDF4104">
            <w:pPr>
              <w:jc w:val="right"/>
            </w:pPr>
            <w:r>
              <w:t>0.00</w:t>
            </w:r>
          </w:p>
        </w:tc>
      </w:tr>
      <w:tr w14:paraId="02B15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B762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E60A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C85B65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5E327E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985E447">
            <w:pPr>
              <w:jc w:val="right"/>
            </w:pPr>
            <w:r>
              <w:t>5.09</w:t>
            </w:r>
          </w:p>
        </w:tc>
        <w:tc>
          <w:tcPr>
            <w:tcW w:w="1705" w:type="dxa"/>
            <w:vAlign w:val="center"/>
          </w:tcPr>
          <w:p w14:paraId="0E2AFB52">
            <w:pPr>
              <w:jc w:val="right"/>
            </w:pPr>
            <w:r>
              <w:t>0.00</w:t>
            </w:r>
          </w:p>
        </w:tc>
      </w:tr>
      <w:tr w14:paraId="16A74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7E40794D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356E06A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3D3A635D">
            <w:pPr>
              <w:jc w:val="right"/>
            </w:pPr>
            <w:r>
              <w:t>2,027,672.52</w:t>
            </w:r>
          </w:p>
        </w:tc>
        <w:tc>
          <w:tcPr>
            <w:tcW w:w="1749" w:type="dxa"/>
            <w:shd w:val="clear" w:color="auto" w:fill="auto"/>
          </w:tcPr>
          <w:p w14:paraId="1E0536FB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34C1DCD7">
            <w:pPr>
              <w:jc w:val="right"/>
            </w:pPr>
            <w:r>
              <w:t>2,173,592.87</w:t>
            </w:r>
          </w:p>
        </w:tc>
        <w:tc>
          <w:tcPr>
            <w:tcW w:w="1705" w:type="dxa"/>
          </w:tcPr>
          <w:p w14:paraId="5A7C475F">
            <w:pPr>
              <w:jc w:val="right"/>
            </w:pPr>
            <w:r>
              <w:t>107.20</w:t>
            </w:r>
          </w:p>
        </w:tc>
      </w:tr>
    </w:tbl>
    <w:p w14:paraId="4CE5BF8F">
      <w:pPr>
        <w:ind w:left="420" w:leftChars="200"/>
        <w:jc w:val="left"/>
        <w:rPr>
          <w:rFonts w:ascii="宋体" w:hAnsi="宋体"/>
          <w:sz w:val="24"/>
        </w:rPr>
      </w:pPr>
    </w:p>
    <w:p w14:paraId="43EF4E5F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1F9AD4BF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6C070D2D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7DBABAF8">
      <w:pPr>
        <w:widowControl/>
        <w:jc w:val="left"/>
        <w:rPr>
          <w:rFonts w:ascii="宋体" w:hAnsi="宋体"/>
          <w:sz w:val="24"/>
        </w:rPr>
      </w:pPr>
    </w:p>
    <w:p w14:paraId="2F6F8D63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556933C0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5C9AD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2FC983D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3BB816F1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1564E10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3D66C019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76A59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0737BF2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3A38BC8">
            <w:pPr>
              <w:rPr>
                <w:szCs w:val="21"/>
              </w:rPr>
            </w:pPr>
            <w:r>
              <w:rPr>
                <w:szCs w:val="21"/>
              </w:rPr>
              <w:t>中信证券丰收信益6号集合资产管理计划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F000DDE">
            <w:pPr>
              <w:jc w:val="right"/>
            </w:pPr>
            <w:r>
              <w:t>2,027,672.52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C37E6CC">
            <w:pPr>
              <w:jc w:val="right"/>
            </w:pPr>
            <w:bookmarkStart w:id="3" w:name="OLE_LINK5"/>
            <w:bookmarkStart w:id="4" w:name="OLE_LINK6"/>
            <w:r>
              <w:t>100.01</w:t>
            </w:r>
            <w:bookmarkEnd w:id="3"/>
            <w:bookmarkEnd w:id="4"/>
          </w:p>
        </w:tc>
      </w:tr>
    </w:tbl>
    <w:p w14:paraId="6A4FF4F5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563D4ED6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6389C3C7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1B15CAD2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3747A0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B0151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208E6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862B6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C5230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00F5D7F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B173C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71E74">
            <w:pPr>
              <w:rPr>
                <w:sz w:val="20"/>
              </w:rPr>
            </w:pPr>
            <w:r>
              <w:rPr>
                <w:szCs w:val="21"/>
              </w:rPr>
              <w:t>21浙商银行永续债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99DA2">
            <w:pPr>
              <w:jc w:val="right"/>
              <w:rPr>
                <w:rFonts w:eastAsia="Times New Roman"/>
                <w:sz w:val="20"/>
              </w:rPr>
            </w:pPr>
            <w:r>
              <w:t>59,768.16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00CDD">
            <w:pPr>
              <w:jc w:val="right"/>
              <w:rPr>
                <w:rFonts w:eastAsia="Times New Roman"/>
                <w:sz w:val="20"/>
              </w:rPr>
            </w:pPr>
            <w:r>
              <w:t>2.95</w:t>
            </w:r>
          </w:p>
        </w:tc>
      </w:tr>
      <w:tr w14:paraId="12AD39C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DF181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FBD1E">
            <w:pPr>
              <w:rPr>
                <w:sz w:val="20"/>
              </w:rPr>
            </w:pPr>
            <w:r>
              <w:rPr>
                <w:szCs w:val="21"/>
              </w:rPr>
              <w:t>土地01优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B7307">
            <w:pPr>
              <w:jc w:val="right"/>
              <w:rPr>
                <w:rFonts w:eastAsia="Times New Roman"/>
                <w:sz w:val="20"/>
              </w:rPr>
            </w:pPr>
            <w:r>
              <w:t>42,237.47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03A62">
            <w:pPr>
              <w:jc w:val="right"/>
              <w:rPr>
                <w:rFonts w:eastAsia="Times New Roman"/>
                <w:sz w:val="20"/>
              </w:rPr>
            </w:pPr>
            <w:r>
              <w:t>2.08</w:t>
            </w:r>
          </w:p>
        </w:tc>
      </w:tr>
      <w:tr w14:paraId="0ACE20B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9CE6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5B71">
            <w:pPr>
              <w:rPr>
                <w:sz w:val="20"/>
              </w:rPr>
            </w:pPr>
            <w:r>
              <w:rPr>
                <w:szCs w:val="21"/>
              </w:rPr>
              <w:t>23唐山银行永续债02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54AD2">
            <w:pPr>
              <w:jc w:val="right"/>
              <w:rPr>
                <w:rFonts w:eastAsia="Times New Roman"/>
                <w:sz w:val="20"/>
              </w:rPr>
            </w:pPr>
            <w:r>
              <w:t>38,255.68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2C3F7">
            <w:pPr>
              <w:jc w:val="right"/>
              <w:rPr>
                <w:rFonts w:eastAsia="Times New Roman"/>
                <w:sz w:val="20"/>
              </w:rPr>
            </w:pPr>
            <w:r>
              <w:t>1.89</w:t>
            </w:r>
          </w:p>
        </w:tc>
      </w:tr>
      <w:tr w14:paraId="660141B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08A39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087F7">
            <w:pPr>
              <w:rPr>
                <w:sz w:val="20"/>
              </w:rPr>
            </w:pPr>
            <w:r>
              <w:rPr>
                <w:szCs w:val="21"/>
              </w:rPr>
              <w:t>21鄞州农商永续债01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0C252">
            <w:pPr>
              <w:jc w:val="right"/>
              <w:rPr>
                <w:rFonts w:eastAsia="Times New Roman"/>
                <w:sz w:val="20"/>
              </w:rPr>
            </w:pPr>
            <w:r>
              <w:t>36,593.66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7560F">
            <w:pPr>
              <w:jc w:val="right"/>
              <w:rPr>
                <w:rFonts w:eastAsia="Times New Roman"/>
                <w:sz w:val="20"/>
              </w:rPr>
            </w:pPr>
            <w:r>
              <w:t>1.80</w:t>
            </w:r>
          </w:p>
        </w:tc>
      </w:tr>
      <w:tr w14:paraId="283B0B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D73CD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412C5">
            <w:pPr>
              <w:rPr>
                <w:sz w:val="20"/>
              </w:rPr>
            </w:pPr>
            <w:r>
              <w:rPr>
                <w:szCs w:val="21"/>
              </w:rPr>
              <w:t>22建工Y6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FBC9">
            <w:pPr>
              <w:jc w:val="right"/>
              <w:rPr>
                <w:rFonts w:eastAsia="Times New Roman"/>
                <w:sz w:val="20"/>
              </w:rPr>
            </w:pPr>
            <w:r>
              <w:t>36,186.55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C7AFC">
            <w:pPr>
              <w:jc w:val="right"/>
              <w:rPr>
                <w:rFonts w:eastAsia="Times New Roman"/>
                <w:sz w:val="20"/>
              </w:rPr>
            </w:pPr>
            <w:r>
              <w:t>1.78</w:t>
            </w:r>
          </w:p>
        </w:tc>
      </w:tr>
      <w:tr w14:paraId="05D43F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C37E8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EB103">
            <w:pPr>
              <w:rPr>
                <w:sz w:val="20"/>
              </w:rPr>
            </w:pPr>
            <w:r>
              <w:rPr>
                <w:szCs w:val="21"/>
              </w:rPr>
              <w:t>20三峡银行永续债01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F8FB2">
            <w:pPr>
              <w:jc w:val="right"/>
              <w:rPr>
                <w:rFonts w:eastAsia="Times New Roman"/>
                <w:sz w:val="20"/>
              </w:rPr>
            </w:pPr>
            <w:r>
              <w:t>36,060.77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F90CC">
            <w:pPr>
              <w:jc w:val="right"/>
              <w:rPr>
                <w:rFonts w:eastAsia="Times New Roman"/>
                <w:sz w:val="20"/>
              </w:rPr>
            </w:pPr>
            <w:r>
              <w:t>1.78</w:t>
            </w:r>
          </w:p>
        </w:tc>
      </w:tr>
      <w:tr w14:paraId="1B2CE3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A064B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A46FF">
            <w:pPr>
              <w:rPr>
                <w:sz w:val="20"/>
              </w:rPr>
            </w:pPr>
            <w:r>
              <w:rPr>
                <w:szCs w:val="21"/>
              </w:rPr>
              <w:t>24商城Y2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B0A6E">
            <w:pPr>
              <w:jc w:val="right"/>
              <w:rPr>
                <w:rFonts w:eastAsia="Times New Roman"/>
                <w:sz w:val="20"/>
              </w:rPr>
            </w:pPr>
            <w:r>
              <w:t>35,283.19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248FC">
            <w:pPr>
              <w:jc w:val="right"/>
              <w:rPr>
                <w:rFonts w:eastAsia="Times New Roman"/>
                <w:sz w:val="20"/>
              </w:rPr>
            </w:pPr>
            <w:r>
              <w:t>1.74</w:t>
            </w:r>
          </w:p>
        </w:tc>
      </w:tr>
      <w:tr w14:paraId="3CF0D0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ADC51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9DA2D">
            <w:pPr>
              <w:rPr>
                <w:sz w:val="20"/>
              </w:rPr>
            </w:pPr>
            <w:r>
              <w:rPr>
                <w:szCs w:val="21"/>
              </w:rPr>
              <w:t>24胶州湾PPN003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759FD">
            <w:pPr>
              <w:jc w:val="right"/>
              <w:rPr>
                <w:rFonts w:eastAsia="Times New Roman"/>
                <w:sz w:val="20"/>
              </w:rPr>
            </w:pPr>
            <w:r>
              <w:t>35,235.65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AF61">
            <w:pPr>
              <w:jc w:val="right"/>
              <w:rPr>
                <w:rFonts w:eastAsia="Times New Roman"/>
                <w:sz w:val="20"/>
              </w:rPr>
            </w:pPr>
            <w:r>
              <w:t>1.74</w:t>
            </w:r>
          </w:p>
        </w:tc>
      </w:tr>
      <w:tr w14:paraId="64D23A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44480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33C41">
            <w:pPr>
              <w:rPr>
                <w:sz w:val="20"/>
              </w:rPr>
            </w:pPr>
            <w:r>
              <w:rPr>
                <w:szCs w:val="21"/>
              </w:rPr>
              <w:t>24广信01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3E6FA">
            <w:pPr>
              <w:jc w:val="right"/>
              <w:rPr>
                <w:rFonts w:eastAsia="Times New Roman"/>
                <w:sz w:val="20"/>
              </w:rPr>
            </w:pPr>
            <w:r>
              <w:t>35,214.67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FA02">
            <w:pPr>
              <w:jc w:val="right"/>
              <w:rPr>
                <w:rFonts w:eastAsia="Times New Roman"/>
                <w:sz w:val="20"/>
              </w:rPr>
            </w:pPr>
            <w:r>
              <w:t>1.74</w:t>
            </w:r>
          </w:p>
        </w:tc>
      </w:tr>
      <w:tr w14:paraId="27B439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D9C5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88744">
            <w:pPr>
              <w:rPr>
                <w:sz w:val="20"/>
              </w:rPr>
            </w:pPr>
            <w:r>
              <w:rPr>
                <w:szCs w:val="21"/>
              </w:rPr>
              <w:t>24四面01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3389">
            <w:pPr>
              <w:jc w:val="right"/>
              <w:rPr>
                <w:rFonts w:eastAsia="Times New Roman"/>
                <w:sz w:val="20"/>
              </w:rPr>
            </w:pPr>
            <w:r>
              <w:t>35,152.83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6259">
            <w:pPr>
              <w:jc w:val="right"/>
              <w:rPr>
                <w:rFonts w:eastAsia="Times New Roman"/>
                <w:sz w:val="20"/>
              </w:rPr>
            </w:pPr>
            <w:r>
              <w:t>1.73</w:t>
            </w:r>
          </w:p>
        </w:tc>
      </w:tr>
    </w:tbl>
    <w:p w14:paraId="63FB9D7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0607D9B3">
      <w:pPr>
        <w:pStyle w:val="40"/>
      </w:pPr>
      <w:r>
        <w:t>托管人报告</w:t>
      </w:r>
    </w:p>
    <w:p w14:paraId="0C3EBA7C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294CCAB4">
      <w:pPr>
        <w:jc w:val="left"/>
        <w:rPr>
          <w:rFonts w:asciiTheme="minorEastAsia" w:hAnsiTheme="minorEastAsia" w:eastAsiaTheme="minorEastAsia"/>
          <w:szCs w:val="21"/>
        </w:rPr>
      </w:pPr>
    </w:p>
    <w:p w14:paraId="6A12F787">
      <w:pPr>
        <w:jc w:val="right"/>
        <w:rPr>
          <w:rFonts w:ascii="宋体" w:hAnsi="宋体"/>
          <w:sz w:val="24"/>
        </w:rPr>
      </w:pPr>
    </w:p>
    <w:p w14:paraId="705EA4C2">
      <w:pPr>
        <w:jc w:val="right"/>
        <w:rPr>
          <w:rFonts w:ascii="宋体" w:hAnsi="宋体"/>
          <w:sz w:val="24"/>
        </w:rPr>
      </w:pPr>
    </w:p>
    <w:p w14:paraId="7CF7B49A">
      <w:pPr>
        <w:jc w:val="right"/>
        <w:rPr>
          <w:rFonts w:ascii="宋体" w:hAnsi="宋体"/>
          <w:sz w:val="24"/>
        </w:rPr>
      </w:pPr>
    </w:p>
    <w:p w14:paraId="59B177E2">
      <w:pPr>
        <w:jc w:val="right"/>
        <w:rPr>
          <w:rFonts w:ascii="宋体" w:hAnsi="宋体"/>
          <w:sz w:val="24"/>
        </w:rPr>
      </w:pPr>
    </w:p>
    <w:p w14:paraId="6AEAB273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7E372C37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r>
        <w:rPr>
          <w:rFonts w:hint="eastAsia" w:ascii="宋体" w:hAnsi="宋体"/>
          <w:sz w:val="28"/>
          <w:szCs w:val="28"/>
        </w:rPr>
        <w:t xml:space="preserve"> 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A24BF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32637D55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9CD54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384D95C9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43051B8D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998</Words>
  <Characters>1424</Characters>
  <Lines>14</Lines>
  <Paragraphs>4</Paragraphs>
  <TotalTime>0</TotalTime>
  <ScaleCrop>false</ScaleCrop>
  <LinksUpToDate>false</LinksUpToDate>
  <CharactersWithSpaces>1461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2024-10-25T08:30:53Z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