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4EDBC72C">
      <w:pPr>
        <w:rPr>
          <w:sz w:val="48"/>
        </w:rPr>
      </w:pPr>
    </w:p>
    <w:p w14:paraId="32F02ED8">
      <w:pPr>
        <w:rPr>
          <w:sz w:val="48"/>
        </w:rPr>
      </w:pPr>
    </w:p>
    <w:p w14:paraId="7CDBC6B9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hint="eastAsia" w:ascii="宋体" w:hAnsi="宋体"/>
          <w:b/>
          <w:bCs/>
          <w:sz w:val="48"/>
          <w:szCs w:val="30"/>
        </w:rPr>
        <w:t>桐庐农商银行丰收信福封闭净值型2024年第9期理财产品</w:t>
      </w:r>
    </w:p>
    <w:p w14:paraId="54CED4AD">
      <w:pPr>
        <w:jc w:val="center"/>
        <w:rPr>
          <w:rFonts w:ascii="宋体" w:hAnsi="宋体"/>
          <w:b/>
          <w:bCs/>
          <w:sz w:val="48"/>
          <w:szCs w:val="30"/>
        </w:rPr>
      </w:pPr>
      <w:r>
        <w:rPr>
          <w:rFonts w:ascii="宋体" w:hAnsi="宋体"/>
          <w:b/>
          <w:bCs/>
          <w:sz w:val="48"/>
          <w:szCs w:val="30"/>
        </w:rPr>
        <w:t>2024年第3季度</w:t>
      </w:r>
      <w:r>
        <w:rPr>
          <w:rFonts w:hint="eastAsia" w:ascii="宋体" w:hAnsi="宋体"/>
          <w:b/>
          <w:bCs/>
          <w:sz w:val="48"/>
          <w:szCs w:val="30"/>
        </w:rPr>
        <w:t>报告</w:t>
      </w:r>
    </w:p>
    <w:p w14:paraId="79D02D24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41F95035">
      <w:pPr>
        <w:jc w:val="center"/>
        <w:rPr>
          <w:rFonts w:ascii="宋体" w:hAnsi="宋体"/>
          <w:sz w:val="28"/>
          <w:szCs w:val="30"/>
        </w:rPr>
      </w:pPr>
    </w:p>
    <w:p w14:paraId="5DD3FFE7">
      <w:pPr>
        <w:jc w:val="center"/>
        <w:rPr>
          <w:rFonts w:ascii="宋体" w:hAnsi="宋体"/>
          <w:sz w:val="28"/>
          <w:szCs w:val="30"/>
        </w:rPr>
      </w:pPr>
    </w:p>
    <w:p w14:paraId="12A8D9DE">
      <w:pPr>
        <w:jc w:val="center"/>
        <w:rPr>
          <w:rFonts w:ascii="宋体" w:hAnsi="宋体"/>
          <w:sz w:val="28"/>
          <w:szCs w:val="30"/>
        </w:rPr>
      </w:pPr>
    </w:p>
    <w:p w14:paraId="64EB012F">
      <w:pPr>
        <w:jc w:val="center"/>
        <w:rPr>
          <w:rFonts w:ascii="宋体" w:hAnsi="宋体"/>
          <w:sz w:val="28"/>
          <w:szCs w:val="30"/>
        </w:rPr>
      </w:pPr>
    </w:p>
    <w:p w14:paraId="3E041C61">
      <w:pPr>
        <w:jc w:val="center"/>
        <w:rPr>
          <w:rFonts w:ascii="宋体" w:hAnsi="宋体"/>
          <w:sz w:val="28"/>
          <w:szCs w:val="30"/>
        </w:rPr>
      </w:pPr>
    </w:p>
    <w:p w14:paraId="4A67DE26">
      <w:pPr>
        <w:jc w:val="center"/>
        <w:rPr>
          <w:rFonts w:ascii="宋体" w:hAnsi="宋体"/>
          <w:sz w:val="28"/>
          <w:szCs w:val="30"/>
        </w:rPr>
      </w:pPr>
    </w:p>
    <w:p w14:paraId="104A1918">
      <w:pPr>
        <w:jc w:val="center"/>
        <w:rPr>
          <w:rFonts w:ascii="宋体" w:hAnsi="宋体"/>
          <w:sz w:val="28"/>
          <w:szCs w:val="30"/>
        </w:rPr>
      </w:pPr>
    </w:p>
    <w:p w14:paraId="2C675F03">
      <w:pPr>
        <w:jc w:val="center"/>
        <w:rPr>
          <w:rFonts w:ascii="宋体" w:hAnsi="宋体"/>
          <w:sz w:val="28"/>
          <w:szCs w:val="30"/>
        </w:rPr>
      </w:pPr>
    </w:p>
    <w:p w14:paraId="186E6F7D">
      <w:pPr>
        <w:jc w:val="center"/>
        <w:rPr>
          <w:rFonts w:ascii="宋体" w:hAnsi="宋体"/>
          <w:sz w:val="28"/>
          <w:szCs w:val="30"/>
        </w:rPr>
      </w:pPr>
    </w:p>
    <w:p w14:paraId="69C8FA9E">
      <w:pPr>
        <w:jc w:val="center"/>
        <w:rPr>
          <w:rFonts w:ascii="宋体" w:hAnsi="宋体"/>
          <w:sz w:val="28"/>
          <w:szCs w:val="30"/>
        </w:rPr>
      </w:pPr>
    </w:p>
    <w:p w14:paraId="069EC780">
      <w:pPr>
        <w:jc w:val="center"/>
        <w:rPr>
          <w:rFonts w:ascii="宋体" w:hAnsi="宋体"/>
          <w:sz w:val="28"/>
          <w:szCs w:val="30"/>
        </w:rPr>
      </w:pPr>
    </w:p>
    <w:p w14:paraId="6FA0A4EB">
      <w:pPr>
        <w:ind w:firstLine="1687" w:firstLineChars="600"/>
        <w:jc w:val="left"/>
        <w:rPr>
          <w:rFonts w:ascii="宋体" w:hAnsi="宋体"/>
          <w:b/>
          <w:bCs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产品管理人：浙江桐庐农村商业银行股份有限公司</w:t>
      </w:r>
    </w:p>
    <w:p w14:paraId="0A111CCB">
      <w:pPr>
        <w:ind w:firstLine="1687" w:firstLineChars="600"/>
        <w:jc w:val="left"/>
        <w:rPr>
          <w:rFonts w:ascii="宋体" w:hAnsi="宋体"/>
          <w:sz w:val="28"/>
          <w:szCs w:val="30"/>
        </w:rPr>
      </w:pPr>
      <w:r>
        <w:rPr>
          <w:rFonts w:ascii="宋体" w:hAnsi="宋体"/>
          <w:b/>
          <w:bCs/>
          <w:sz w:val="28"/>
          <w:szCs w:val="30"/>
        </w:rPr>
        <w:t>产品托管人：</w:t>
      </w:r>
      <w:r>
        <w:rPr>
          <w:rFonts w:hint="eastAsia" w:ascii="宋体" w:hAnsi="宋体"/>
          <w:b/>
          <w:bCs/>
          <w:sz w:val="28"/>
          <w:szCs w:val="30"/>
        </w:rPr>
        <w:t>招商银行股份有限公司杭州分行</w:t>
      </w:r>
    </w:p>
    <w:p w14:paraId="7E280678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3EF8C64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74C7A057">
      <w:pPr>
        <w:ind w:firstLine="1680" w:firstLineChars="600"/>
        <w:jc w:val="left"/>
        <w:rPr>
          <w:rFonts w:ascii="宋体" w:hAnsi="宋体"/>
          <w:sz w:val="28"/>
          <w:szCs w:val="30"/>
        </w:rPr>
      </w:pPr>
    </w:p>
    <w:p w14:paraId="44A10BD8">
      <w:pPr>
        <w:rPr>
          <w:rFonts w:ascii="宋体" w:hAnsi="宋体"/>
          <w:sz w:val="28"/>
          <w:szCs w:val="30"/>
        </w:rPr>
      </w:pPr>
    </w:p>
    <w:p w14:paraId="40AF53DC">
      <w:pPr>
        <w:jc w:val="center"/>
        <w:rPr>
          <w:rFonts w:ascii="宋体" w:hAnsi="宋体"/>
          <w:b/>
          <w:bCs/>
          <w:sz w:val="28"/>
          <w:szCs w:val="30"/>
        </w:rPr>
      </w:pPr>
    </w:p>
    <w:p w14:paraId="5DD9AAB6">
      <w:pPr>
        <w:jc w:val="center"/>
        <w:rPr>
          <w:rFonts w:ascii="宋体" w:hAnsi="宋体"/>
          <w:b/>
          <w:bCs/>
          <w:sz w:val="28"/>
          <w:szCs w:val="30"/>
        </w:rPr>
      </w:pPr>
      <w:r>
        <w:rPr>
          <w:rFonts w:hint="eastAsia" w:ascii="宋体" w:hAnsi="宋体"/>
          <w:b/>
          <w:bCs/>
          <w:sz w:val="28"/>
          <w:szCs w:val="30"/>
        </w:rPr>
        <w:t>重要提示</w:t>
      </w:r>
    </w:p>
    <w:p w14:paraId="3AFCD0DA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产品托管人</w:t>
      </w:r>
      <w:r>
        <w:rPr>
          <w:rFonts w:ascii="宋体" w:hAnsi="宋体"/>
          <w:szCs w:val="21"/>
        </w:rPr>
        <w:t>招商银行股份有限公司杭州分行</w:t>
      </w:r>
      <w:r>
        <w:rPr>
          <w:rFonts w:hint="eastAsia" w:ascii="宋体" w:hAnsi="宋体"/>
          <w:szCs w:val="21"/>
        </w:rPr>
        <w:t>根据《商业银行理财业务监督管理办法》规定，复核了本报告中的产品收益表现、主要财务指标、投资组合情况等内容，保证复核内容不存在虚假记载、误导性陈述或者重大遗漏。</w:t>
      </w:r>
    </w:p>
    <w:p w14:paraId="7C6EB8F2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产品管理人承诺以诚实信用、勤勉尽责的原则管理和运用理财资产，但不保证一定盈利。产品的过往业绩并不代表其未来表现。投资有风险，投资者在作出投资决策前应仔细阅读本产品的发行文件。</w:t>
      </w:r>
    </w:p>
    <w:p w14:paraId="185F852A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本报告中财务资料未经审计。</w:t>
      </w:r>
    </w:p>
    <w:p w14:paraId="4BEADA04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本</w:t>
      </w:r>
      <w:r>
        <w:rPr>
          <w:rFonts w:ascii="宋体" w:hAnsi="宋体"/>
          <w:szCs w:val="21"/>
        </w:rPr>
        <w:t>报告期</w:t>
      </w:r>
      <w:r>
        <w:rPr>
          <w:rFonts w:hint="eastAsia" w:ascii="宋体" w:hAnsi="宋体"/>
          <w:szCs w:val="21"/>
        </w:rPr>
        <w:t>自2024-07-01起至2024-09-30</w:t>
      </w:r>
      <w:r>
        <w:rPr>
          <w:rFonts w:ascii="宋体" w:hAnsi="宋体"/>
          <w:szCs w:val="21"/>
        </w:rPr>
        <w:t>止。</w:t>
      </w:r>
    </w:p>
    <w:p w14:paraId="2899DEC3">
      <w:pPr>
        <w:pStyle w:val="40"/>
      </w:pPr>
      <w:r>
        <w:rPr>
          <w:rFonts w:hint="eastAsia"/>
          <w:lang w:eastAsia="zh-CN"/>
        </w:rPr>
        <w:t>产品</w:t>
      </w:r>
      <w:r>
        <w:rPr>
          <w:rFonts w:hint="eastAsia"/>
        </w:rPr>
        <w:t>基本情况</w:t>
      </w:r>
      <w:r>
        <w:rPr>
          <w:rFonts w:hint="eastAsia"/>
          <w:lang w:eastAsia="zh-CN"/>
        </w:rPr>
        <w:t xml:space="preserve"> 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542869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04" w:hRule="atLeast"/>
        </w:trPr>
        <w:tc>
          <w:tcPr>
            <w:tcW w:w="3838" w:type="dxa"/>
            <w:vAlign w:val="center"/>
          </w:tcPr>
          <w:p w14:paraId="1DDEEAEF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5027" w:type="dxa"/>
            <w:vAlign w:val="center"/>
          </w:tcPr>
          <w:p w14:paraId="3A8BD872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 w:ascii="宋体" w:hAnsi="宋体"/>
                <w:b/>
              </w:rPr>
              <w:t>信息</w:t>
            </w:r>
          </w:p>
        </w:tc>
      </w:tr>
      <w:tr w14:paraId="50419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5FFF8BF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产品名称</w:t>
            </w:r>
          </w:p>
        </w:tc>
        <w:tc>
          <w:tcPr>
            <w:tcW w:w="5027" w:type="dxa"/>
            <w:vAlign w:val="center"/>
          </w:tcPr>
          <w:p w14:paraId="6B9572B1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桐庐农商银行丰收信福封闭净值型2024年第9期理财产品</w:t>
            </w:r>
          </w:p>
        </w:tc>
      </w:tr>
      <w:tr w14:paraId="143827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BF8C2E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产品登记编码</w:t>
            </w:r>
          </w:p>
        </w:tc>
        <w:tc>
          <w:tcPr>
            <w:tcW w:w="5027" w:type="dxa"/>
            <w:vAlign w:val="center"/>
          </w:tcPr>
          <w:p w14:paraId="452A22A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C1123124000008</w:t>
            </w:r>
          </w:p>
        </w:tc>
      </w:tr>
      <w:tr w14:paraId="5B087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6F47386">
            <w:pPr>
              <w:ind w:right="-107" w:rightChars="-51"/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产品管理人</w:t>
            </w:r>
          </w:p>
        </w:tc>
        <w:tc>
          <w:tcPr>
            <w:tcW w:w="5027" w:type="dxa"/>
            <w:vAlign w:val="center"/>
          </w:tcPr>
          <w:p w14:paraId="10DAE5B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浙江桐庐农村商业银行股份有限公司</w:t>
            </w:r>
          </w:p>
        </w:tc>
      </w:tr>
      <w:tr w14:paraId="051252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D90481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产品托管人</w:t>
            </w:r>
          </w:p>
        </w:tc>
        <w:tc>
          <w:tcPr>
            <w:tcW w:w="5027" w:type="dxa"/>
            <w:vAlign w:val="center"/>
          </w:tcPr>
          <w:p w14:paraId="076080E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招商银行股份有限公司杭州分行</w:t>
            </w:r>
          </w:p>
        </w:tc>
      </w:tr>
      <w:tr w14:paraId="15EF6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49A4448D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产品运作方式</w:t>
            </w:r>
          </w:p>
        </w:tc>
        <w:tc>
          <w:tcPr>
            <w:tcW w:w="5027" w:type="dxa"/>
            <w:vAlign w:val="center"/>
          </w:tcPr>
          <w:p w14:paraId="3E0178D6">
            <w:pPr>
              <w:jc w:val="left"/>
              <w:rPr>
                <w:rFonts w:ascii="宋体" w:hAnsi="宋体"/>
              </w:rPr>
            </w:pPr>
          </w:p>
        </w:tc>
      </w:tr>
      <w:tr w14:paraId="766BB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0564F634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产品成立日</w:t>
            </w:r>
          </w:p>
        </w:tc>
        <w:tc>
          <w:tcPr>
            <w:tcW w:w="5027" w:type="dxa"/>
            <w:vAlign w:val="center"/>
          </w:tcPr>
          <w:p w14:paraId="204ADCA9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2024-03-06</w:t>
            </w:r>
          </w:p>
        </w:tc>
      </w:tr>
      <w:tr w14:paraId="780EE1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894B7C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产品到期日</w:t>
            </w:r>
          </w:p>
        </w:tc>
        <w:tc>
          <w:tcPr>
            <w:tcW w:w="5027" w:type="dxa"/>
            <w:vAlign w:val="center"/>
          </w:tcPr>
          <w:p w14:paraId="7CF77E1E">
            <w:pPr>
              <w:jc w:val="left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2025-03-06</w:t>
            </w:r>
          </w:p>
        </w:tc>
      </w:tr>
      <w:tr w14:paraId="37400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</w:trPr>
        <w:tc>
          <w:tcPr>
            <w:tcW w:w="3838" w:type="dxa"/>
            <w:vAlign w:val="center"/>
          </w:tcPr>
          <w:p w14:paraId="188C14C9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报告期末产品份额总额</w:t>
            </w:r>
          </w:p>
        </w:tc>
        <w:tc>
          <w:tcPr>
            <w:tcW w:w="5027" w:type="dxa"/>
            <w:vAlign w:val="center"/>
          </w:tcPr>
          <w:p w14:paraId="1739671E">
            <w:pPr>
              <w:jc w:val="left"/>
              <w:rPr>
                <w:rFonts w:ascii="宋体" w:hAnsi="宋体"/>
              </w:rPr>
            </w:pPr>
            <w:bookmarkStart w:id="0" w:name="OLE_LINK1"/>
            <w:r>
              <w:rPr>
                <w:rFonts w:hint="eastAsia" w:ascii="宋体" w:hAnsi="宋体"/>
              </w:rPr>
              <w:t>2,050,000.00</w:t>
            </w:r>
            <w:bookmarkEnd w:id="0"/>
          </w:p>
        </w:tc>
      </w:tr>
      <w:tr w14:paraId="7BECA0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7D34358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业绩比较基准（如有）</w:t>
            </w:r>
          </w:p>
        </w:tc>
        <w:tc>
          <w:tcPr>
            <w:tcW w:w="5027" w:type="dxa"/>
            <w:vAlign w:val="center"/>
          </w:tcPr>
          <w:p w14:paraId="1B9A31C0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>[3%-4.1%]/年</w:t>
            </w:r>
          </w:p>
        </w:tc>
      </w:tr>
      <w:tr w14:paraId="4380BE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2813639B">
            <w:pPr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估值方法</w:t>
            </w:r>
          </w:p>
        </w:tc>
        <w:tc>
          <w:tcPr>
            <w:tcW w:w="5027" w:type="dxa"/>
            <w:vAlign w:val="center"/>
          </w:tcPr>
          <w:p w14:paraId="536DB002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</w:t>
            </w:r>
          </w:p>
        </w:tc>
      </w:tr>
    </w:tbl>
    <w:p w14:paraId="0F4D338B">
      <w:pPr>
        <w:pStyle w:val="40"/>
        <w:rPr>
          <w:lang w:eastAsia="zh-CN"/>
        </w:rPr>
      </w:pPr>
      <w:r>
        <w:rPr>
          <w:rFonts w:hint="eastAsia"/>
        </w:rPr>
        <w:t>产品</w:t>
      </w:r>
      <w:r>
        <w:rPr>
          <w:rFonts w:hint="eastAsia"/>
          <w:lang w:eastAsia="zh-CN"/>
        </w:rPr>
        <w:t>收益</w:t>
      </w:r>
      <w:r>
        <w:rPr>
          <w:rFonts w:hint="eastAsia"/>
        </w:rPr>
        <w:t>表现</w:t>
      </w:r>
    </w:p>
    <w:tbl>
      <w:tblPr>
        <w:tblStyle w:val="17"/>
        <w:tblW w:w="8956" w:type="dxa"/>
        <w:tblInd w:w="8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53"/>
        <w:gridCol w:w="5103"/>
      </w:tblGrid>
      <w:tr w14:paraId="12B18D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3853" w:type="dxa"/>
            <w:shd w:val="clear" w:color="auto" w:fill="D9D9D9"/>
            <w:vAlign w:val="center"/>
          </w:tcPr>
          <w:p w14:paraId="21DDE495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阶段</w:t>
            </w:r>
          </w:p>
        </w:tc>
        <w:tc>
          <w:tcPr>
            <w:tcW w:w="5103" w:type="dxa"/>
            <w:shd w:val="clear" w:color="auto" w:fill="D9D9D9"/>
            <w:vAlign w:val="center"/>
          </w:tcPr>
          <w:p w14:paraId="380A9B04">
            <w:pPr>
              <w:jc w:val="center"/>
              <w:rPr>
                <w:rFonts w:ascii="宋体" w:hAnsi="宋体"/>
                <w:b/>
              </w:rPr>
            </w:pPr>
            <w:r>
              <w:rPr>
                <w:rFonts w:hint="eastAsia"/>
                <w:b/>
              </w:rPr>
              <w:t>净值增长率（%）</w:t>
            </w:r>
          </w:p>
        </w:tc>
      </w:tr>
      <w:tr w14:paraId="176771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695090BB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当期（</w:t>
            </w:r>
            <w:r>
              <w:rPr>
                <w:rFonts w:ascii="宋体" w:hAnsi="宋体"/>
              </w:rPr>
              <w:t>2024-07-01</w:t>
            </w:r>
            <w:r>
              <w:rPr>
                <w:rFonts w:hint="eastAsia" w:ascii="宋体" w:hAnsi="宋体"/>
              </w:rPr>
              <w:t>至</w:t>
            </w:r>
            <w:r>
              <w:rPr>
                <w:rFonts w:ascii="宋体" w:hAnsi="宋体"/>
              </w:rPr>
              <w:t>2024-09-30</w:t>
            </w:r>
            <w:r>
              <w:rPr>
                <w:rFonts w:hint="eastAsia" w:ascii="宋体" w:hAnsi="宋体"/>
              </w:rPr>
              <w:t>）</w:t>
            </w:r>
          </w:p>
        </w:tc>
        <w:tc>
          <w:tcPr>
            <w:tcW w:w="5103" w:type="dxa"/>
            <w:vAlign w:val="center"/>
          </w:tcPr>
          <w:p w14:paraId="34EF9BC4">
            <w:pPr>
              <w:jc w:val="right"/>
            </w:pPr>
            <w:r>
              <w:t>0.30</w:t>
            </w:r>
          </w:p>
        </w:tc>
      </w:tr>
      <w:tr w14:paraId="14FAD1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3853" w:type="dxa"/>
            <w:vAlign w:val="center"/>
          </w:tcPr>
          <w:p w14:paraId="14376551">
            <w:pPr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自产品成立日至今</w:t>
            </w:r>
          </w:p>
        </w:tc>
        <w:tc>
          <w:tcPr>
            <w:tcW w:w="5103" w:type="dxa"/>
            <w:vAlign w:val="center"/>
          </w:tcPr>
          <w:p w14:paraId="1A11C5D0">
            <w:pPr>
              <w:jc w:val="right"/>
            </w:pPr>
            <w:r>
              <w:rPr>
                <w:rFonts w:hint="eastAsia"/>
              </w:rPr>
              <w:t>1.83</w:t>
            </w:r>
            <w:bookmarkStart w:id="1" w:name="OLE_LINK4"/>
            <w:bookmarkEnd w:id="1"/>
            <w:bookmarkStart w:id="2" w:name="OLE_LINK7"/>
            <w:bookmarkEnd w:id="2"/>
          </w:p>
        </w:tc>
      </w:tr>
    </w:tbl>
    <w:p w14:paraId="791A4C7F">
      <w:pPr>
        <w:spacing w:line="360" w:lineRule="auto"/>
        <w:ind w:left="420" w:leftChars="200"/>
        <w:jc w:val="left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</w:p>
    <w:p w14:paraId="6F1DC29B">
      <w:pPr>
        <w:pStyle w:val="40"/>
      </w:pPr>
      <w:r>
        <w:rPr>
          <w:rFonts w:hint="eastAsia"/>
        </w:rPr>
        <w:t>主要财务指标</w:t>
      </w:r>
    </w:p>
    <w:p w14:paraId="0A68CA88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8865" w:type="dxa"/>
        <w:tblInd w:w="9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38"/>
        <w:gridCol w:w="5027"/>
      </w:tblGrid>
      <w:tr w14:paraId="631991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8" w:hRule="atLeast"/>
        </w:trPr>
        <w:tc>
          <w:tcPr>
            <w:tcW w:w="3838" w:type="dxa"/>
            <w:shd w:val="clear" w:color="auto" w:fill="D9D9D9"/>
            <w:vAlign w:val="center"/>
          </w:tcPr>
          <w:p w14:paraId="7342AD27">
            <w:pPr>
              <w:jc w:val="left"/>
              <w:rPr>
                <w:rFonts w:ascii="宋体" w:hAnsi="宋体"/>
                <w:b/>
              </w:rPr>
            </w:pPr>
            <w:r>
              <w:rPr>
                <w:rFonts w:hint="eastAsia"/>
                <w:b/>
                <w:bCs/>
              </w:rPr>
              <w:t>项目</w:t>
            </w:r>
          </w:p>
        </w:tc>
        <w:tc>
          <w:tcPr>
            <w:tcW w:w="5027" w:type="dxa"/>
            <w:shd w:val="clear" w:color="auto" w:fill="D9D9D9"/>
            <w:vAlign w:val="center"/>
          </w:tcPr>
          <w:p w14:paraId="32D25C45">
            <w:pPr>
              <w:jc w:val="left"/>
              <w:rPr>
                <w:b/>
              </w:rPr>
            </w:pPr>
            <w:r>
              <w:rPr>
                <w:b/>
              </w:rPr>
              <w:t>2024-07-01</w:t>
            </w:r>
            <w:r>
              <w:rPr>
                <w:rFonts w:hint="eastAsia"/>
                <w:b/>
              </w:rPr>
              <w:t xml:space="preserve">至 </w:t>
            </w:r>
            <w:r>
              <w:rPr>
                <w:b/>
              </w:rPr>
              <w:t>2024-09-30</w:t>
            </w:r>
          </w:p>
        </w:tc>
      </w:tr>
      <w:tr w14:paraId="17E2F0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F3AA162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本期已实现收益</w:t>
            </w:r>
          </w:p>
        </w:tc>
        <w:tc>
          <w:tcPr>
            <w:tcW w:w="5027" w:type="dxa"/>
            <w:vAlign w:val="center"/>
          </w:tcPr>
          <w:p w14:paraId="43867124">
            <w:pPr>
              <w:jc w:val="right"/>
            </w:pPr>
            <w:r>
              <w:t>-79.12</w:t>
            </w:r>
          </w:p>
        </w:tc>
      </w:tr>
      <w:tr w14:paraId="375101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2DBCE9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本期利润</w:t>
            </w:r>
          </w:p>
        </w:tc>
        <w:tc>
          <w:tcPr>
            <w:tcW w:w="5027" w:type="dxa"/>
            <w:vAlign w:val="center"/>
          </w:tcPr>
          <w:p w14:paraId="18CCA462">
            <w:pPr>
              <w:jc w:val="right"/>
            </w:pPr>
            <w:r>
              <w:t>6,248.04</w:t>
            </w:r>
          </w:p>
        </w:tc>
      </w:tr>
      <w:tr w14:paraId="7F826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59C1A37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期末产品资产净值</w:t>
            </w:r>
          </w:p>
        </w:tc>
        <w:tc>
          <w:tcPr>
            <w:tcW w:w="5027" w:type="dxa"/>
            <w:vAlign w:val="center"/>
          </w:tcPr>
          <w:p w14:paraId="637ACAA5">
            <w:pPr>
              <w:jc w:val="right"/>
            </w:pPr>
            <w:r>
              <w:t>2,087,593.82</w:t>
            </w:r>
          </w:p>
        </w:tc>
      </w:tr>
      <w:tr w14:paraId="79FD9F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4" w:hRule="atLeast"/>
        </w:trPr>
        <w:tc>
          <w:tcPr>
            <w:tcW w:w="3838" w:type="dxa"/>
            <w:vAlign w:val="center"/>
          </w:tcPr>
          <w:p w14:paraId="3D0AC4A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期末产品份额净值</w:t>
            </w:r>
          </w:p>
        </w:tc>
        <w:tc>
          <w:tcPr>
            <w:tcW w:w="5027" w:type="dxa"/>
            <w:vAlign w:val="center"/>
          </w:tcPr>
          <w:p w14:paraId="689D83C6">
            <w:pPr>
              <w:jc w:val="right"/>
            </w:pPr>
            <w:r>
              <w:t>1.01833844</w:t>
            </w:r>
          </w:p>
        </w:tc>
      </w:tr>
    </w:tbl>
    <w:p w14:paraId="10A5AC20">
      <w:pPr>
        <w:tabs>
          <w:tab w:val="left" w:pos="3135"/>
        </w:tabs>
        <w:ind w:left="420" w:leftChars="200"/>
      </w:pPr>
    </w:p>
    <w:p w14:paraId="214D5EA2">
      <w:pPr>
        <w:pStyle w:val="40"/>
      </w:pPr>
      <w:r>
        <w:rPr>
          <w:rFonts w:hint="eastAsia"/>
        </w:rPr>
        <w:t>投资组合情况及</w:t>
      </w:r>
      <w:r>
        <w:t>流动性风险分析</w:t>
      </w:r>
    </w:p>
    <w:p w14:paraId="1405B39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197EB7B5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28EC1BA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325915D7">
      <w:pPr>
        <w:pStyle w:val="49"/>
        <w:keepNext/>
        <w:keepLines/>
        <w:numPr>
          <w:ilvl w:val="0"/>
          <w:numId w:val="2"/>
        </w:numPr>
        <w:spacing w:before="156" w:beforeLines="50" w:after="156" w:afterLines="50"/>
        <w:ind w:firstLineChars="0"/>
        <w:jc w:val="left"/>
        <w:outlineLvl w:val="1"/>
        <w:rPr>
          <w:rFonts w:ascii="Cambria" w:hAnsi="Cambria"/>
          <w:bCs/>
          <w:vanish/>
          <w:kern w:val="28"/>
          <w:sz w:val="24"/>
          <w:szCs w:val="32"/>
          <w:lang w:val="zh-CN" w:eastAsia="zh-CN"/>
        </w:rPr>
      </w:pPr>
    </w:p>
    <w:p w14:paraId="66E31E8D">
      <w:pPr>
        <w:pStyle w:val="41"/>
        <w:spacing w:before="156" w:after="156"/>
      </w:pPr>
      <w:r>
        <w:rPr>
          <w:rFonts w:hint="eastAsia"/>
          <w:b w:val="0"/>
        </w:rPr>
        <w:t>期末资产组合情况</w:t>
      </w:r>
    </w:p>
    <w:p w14:paraId="6B491B86">
      <w:pPr>
        <w:jc w:val="right"/>
      </w:pPr>
    </w:p>
    <w:p w14:paraId="14E79209">
      <w:pPr>
        <w:jc w:val="right"/>
      </w:pPr>
    </w:p>
    <w:p w14:paraId="34F02278">
      <w:pPr>
        <w:jc w:val="right"/>
      </w:pPr>
      <w:r>
        <w:rPr>
          <w:rFonts w:hint="eastAsia"/>
        </w:rPr>
        <w:t>金额单位：元</w:t>
      </w:r>
    </w:p>
    <w:tbl>
      <w:tblPr>
        <w:tblStyle w:val="17"/>
        <w:tblW w:w="886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1"/>
        <w:gridCol w:w="1447"/>
        <w:gridCol w:w="1697"/>
        <w:gridCol w:w="1749"/>
        <w:gridCol w:w="1653"/>
        <w:gridCol w:w="1705"/>
      </w:tblGrid>
      <w:tr w14:paraId="37598E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restart"/>
            <w:shd w:val="clear" w:color="auto" w:fill="D9D9D9"/>
            <w:vAlign w:val="center"/>
          </w:tcPr>
          <w:p w14:paraId="0C0E6336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1447" w:type="dxa"/>
            <w:vMerge w:val="restart"/>
            <w:shd w:val="clear" w:color="auto" w:fill="D9D9D9"/>
            <w:vAlign w:val="center"/>
          </w:tcPr>
          <w:p w14:paraId="5F4C7E8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项目</w:t>
            </w:r>
          </w:p>
        </w:tc>
        <w:tc>
          <w:tcPr>
            <w:tcW w:w="3446" w:type="dxa"/>
            <w:gridSpan w:val="2"/>
            <w:shd w:val="clear" w:color="auto" w:fill="D9D9D9"/>
            <w:vAlign w:val="center"/>
          </w:tcPr>
          <w:p w14:paraId="41113A41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  <w:tc>
          <w:tcPr>
            <w:tcW w:w="3358" w:type="dxa"/>
            <w:gridSpan w:val="2"/>
            <w:shd w:val="clear" w:color="auto" w:fill="D9D9D9"/>
            <w:vAlign w:val="center"/>
          </w:tcPr>
          <w:p w14:paraId="4DEE4F20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间接</w:t>
            </w:r>
            <w:r>
              <w:rPr>
                <w:rFonts w:ascii="宋体" w:hAnsi="宋体"/>
                <w:b/>
                <w:szCs w:val="21"/>
              </w:rPr>
              <w:t>投资</w:t>
            </w:r>
          </w:p>
        </w:tc>
      </w:tr>
      <w:tr w14:paraId="396875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  <w:jc w:val="center"/>
        </w:trPr>
        <w:tc>
          <w:tcPr>
            <w:tcW w:w="611" w:type="dxa"/>
            <w:vMerge w:val="continue"/>
            <w:shd w:val="clear" w:color="auto" w:fill="D9D9D9"/>
            <w:vAlign w:val="center"/>
          </w:tcPr>
          <w:p w14:paraId="1AF091FF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447" w:type="dxa"/>
            <w:vMerge w:val="continue"/>
            <w:shd w:val="clear" w:color="auto" w:fill="D9D9D9"/>
            <w:vAlign w:val="center"/>
          </w:tcPr>
          <w:p w14:paraId="502708D5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97" w:type="dxa"/>
            <w:shd w:val="clear" w:color="auto" w:fill="D9D9D9"/>
            <w:vAlign w:val="center"/>
          </w:tcPr>
          <w:p w14:paraId="3F72F9C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49" w:type="dxa"/>
            <w:shd w:val="clear" w:color="auto" w:fill="D9D9D9"/>
            <w:vAlign w:val="center"/>
          </w:tcPr>
          <w:p w14:paraId="48EDFD7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  <w:tc>
          <w:tcPr>
            <w:tcW w:w="1653" w:type="dxa"/>
            <w:shd w:val="clear" w:color="auto" w:fill="D9D9D9"/>
            <w:vAlign w:val="center"/>
          </w:tcPr>
          <w:p w14:paraId="00A02E8B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1705" w:type="dxa"/>
            <w:shd w:val="clear" w:color="auto" w:fill="D9D9D9"/>
          </w:tcPr>
          <w:p w14:paraId="677B4EEC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占产品总资产的比例（%）</w:t>
            </w:r>
          </w:p>
        </w:tc>
      </w:tr>
      <w:tr w14:paraId="2E9897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C3448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1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1DAA4C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权益投资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0F5E503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0DC435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2A3B705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2B981F22">
            <w:pPr>
              <w:jc w:val="right"/>
            </w:pPr>
            <w:r>
              <w:t>0.00</w:t>
            </w:r>
          </w:p>
        </w:tc>
      </w:tr>
      <w:tr w14:paraId="282831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5BA227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6892BA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其中：普通股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6C9758B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B1A5975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7FF0DC8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C51BFA4">
            <w:pPr>
              <w:jc w:val="right"/>
            </w:pPr>
            <w:r>
              <w:t>0.00</w:t>
            </w:r>
          </w:p>
        </w:tc>
      </w:tr>
      <w:tr w14:paraId="187D38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D26E3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5FB39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存托凭证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E6C8AC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04B3915E">
            <w:pPr>
              <w:jc w:val="right"/>
            </w:pPr>
          </w:p>
        </w:tc>
        <w:tc>
          <w:tcPr>
            <w:tcW w:w="1653" w:type="dxa"/>
            <w:vAlign w:val="center"/>
          </w:tcPr>
          <w:p w14:paraId="5D9BF0A3">
            <w:pPr>
              <w:jc w:val="right"/>
            </w:pPr>
          </w:p>
        </w:tc>
        <w:tc>
          <w:tcPr>
            <w:tcW w:w="1705" w:type="dxa"/>
            <w:vAlign w:val="center"/>
          </w:tcPr>
          <w:p w14:paraId="678F9F94">
            <w:pPr>
              <w:jc w:val="right"/>
            </w:pPr>
          </w:p>
        </w:tc>
      </w:tr>
      <w:tr w14:paraId="335702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E588E82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2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E45AC4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基金投资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8E995D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9AC705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5427DE9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4EC8FBE">
            <w:pPr>
              <w:jc w:val="right"/>
            </w:pPr>
            <w:r>
              <w:t>0.00</w:t>
            </w:r>
          </w:p>
        </w:tc>
      </w:tr>
      <w:tr w14:paraId="4D2BFC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658455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3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1822C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固定收益投资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9334A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B404D37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86462A4">
            <w:pPr>
              <w:jc w:val="right"/>
            </w:pPr>
            <w:r>
              <w:t>2,425,172.81</w:t>
            </w:r>
          </w:p>
        </w:tc>
        <w:tc>
          <w:tcPr>
            <w:tcW w:w="1705" w:type="dxa"/>
            <w:vAlign w:val="center"/>
          </w:tcPr>
          <w:p w14:paraId="41E61301">
            <w:pPr>
              <w:jc w:val="right"/>
            </w:pPr>
            <w:r>
              <w:t>116.16</w:t>
            </w:r>
          </w:p>
        </w:tc>
      </w:tr>
      <w:tr w14:paraId="68CC3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4BD0336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15C5533E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其中：债券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410A2FC9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CFCE5E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74923EC6">
            <w:pPr>
              <w:jc w:val="right"/>
            </w:pPr>
            <w:r>
              <w:t>2,275,979.53</w:t>
            </w:r>
          </w:p>
        </w:tc>
        <w:tc>
          <w:tcPr>
            <w:tcW w:w="1705" w:type="dxa"/>
            <w:vAlign w:val="center"/>
          </w:tcPr>
          <w:p w14:paraId="6A97EBAA">
            <w:pPr>
              <w:jc w:val="right"/>
            </w:pPr>
            <w:r>
              <w:t>109.01</w:t>
            </w:r>
          </w:p>
        </w:tc>
      </w:tr>
      <w:tr w14:paraId="014995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3377A8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F703D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资产支持证券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63C1C9A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99EB42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6DD2154F">
            <w:pPr>
              <w:jc w:val="right"/>
            </w:pPr>
            <w:r>
              <w:t>149,193.28</w:t>
            </w:r>
          </w:p>
        </w:tc>
        <w:tc>
          <w:tcPr>
            <w:tcW w:w="1705" w:type="dxa"/>
            <w:vAlign w:val="center"/>
          </w:tcPr>
          <w:p w14:paraId="74F4D3AE">
            <w:pPr>
              <w:jc w:val="right"/>
            </w:pPr>
            <w:r>
              <w:t>7.15</w:t>
            </w:r>
          </w:p>
        </w:tc>
      </w:tr>
      <w:tr w14:paraId="3D62FE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334C5B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4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50839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金融衍生品投资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AAA382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0FA05766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099FD9B0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0CB213FF">
            <w:pPr>
              <w:jc w:val="right"/>
            </w:pPr>
            <w:r>
              <w:t>0.00</w:t>
            </w:r>
          </w:p>
        </w:tc>
      </w:tr>
      <w:tr w14:paraId="1CFAF1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2853C0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08164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其中：远期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1D96839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63F34DE">
            <w:pPr>
              <w:jc w:val="right"/>
            </w:pPr>
          </w:p>
        </w:tc>
        <w:tc>
          <w:tcPr>
            <w:tcW w:w="1653" w:type="dxa"/>
            <w:vAlign w:val="center"/>
          </w:tcPr>
          <w:p w14:paraId="3294BA55">
            <w:pPr>
              <w:jc w:val="right"/>
            </w:pPr>
          </w:p>
        </w:tc>
        <w:tc>
          <w:tcPr>
            <w:tcW w:w="1705" w:type="dxa"/>
            <w:vAlign w:val="center"/>
          </w:tcPr>
          <w:p w14:paraId="03EA5AE2">
            <w:pPr>
              <w:jc w:val="right"/>
            </w:pPr>
          </w:p>
        </w:tc>
      </w:tr>
      <w:tr w14:paraId="4E121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E7711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F49245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EAE5104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269AD239">
            <w:pPr>
              <w:jc w:val="right"/>
            </w:pPr>
          </w:p>
        </w:tc>
        <w:tc>
          <w:tcPr>
            <w:tcW w:w="1653" w:type="dxa"/>
            <w:vAlign w:val="center"/>
          </w:tcPr>
          <w:p w14:paraId="69AA91B6">
            <w:pPr>
              <w:jc w:val="right"/>
            </w:pPr>
          </w:p>
        </w:tc>
        <w:tc>
          <w:tcPr>
            <w:tcW w:w="1705" w:type="dxa"/>
            <w:vAlign w:val="center"/>
          </w:tcPr>
          <w:p w14:paraId="18A75D0E">
            <w:pPr>
              <w:jc w:val="right"/>
            </w:pPr>
          </w:p>
        </w:tc>
      </w:tr>
      <w:tr w14:paraId="071FF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27E21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8099A6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期权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F484C81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A434BF0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0F507AA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EA14651">
            <w:pPr>
              <w:jc w:val="right"/>
            </w:pPr>
            <w:r>
              <w:t>0.00</w:t>
            </w:r>
          </w:p>
        </w:tc>
      </w:tr>
      <w:tr w14:paraId="7F7AA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D3050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4D3CBB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 xml:space="preserve">      权证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241F8010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3EC45BF">
            <w:pPr>
              <w:jc w:val="right"/>
            </w:pPr>
          </w:p>
        </w:tc>
        <w:tc>
          <w:tcPr>
            <w:tcW w:w="1653" w:type="dxa"/>
            <w:vAlign w:val="center"/>
          </w:tcPr>
          <w:p w14:paraId="5E7AB604">
            <w:pPr>
              <w:jc w:val="right"/>
            </w:pPr>
          </w:p>
        </w:tc>
        <w:tc>
          <w:tcPr>
            <w:tcW w:w="1705" w:type="dxa"/>
            <w:vAlign w:val="center"/>
          </w:tcPr>
          <w:p w14:paraId="7467F328">
            <w:pPr>
              <w:jc w:val="right"/>
            </w:pPr>
          </w:p>
        </w:tc>
      </w:tr>
      <w:tr w14:paraId="0F9A8B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C474A8C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5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1AFD3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4DB2C45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CDA8E84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FA4EEB6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C370E0C">
            <w:pPr>
              <w:jc w:val="right"/>
            </w:pPr>
            <w:r>
              <w:t>0.00</w:t>
            </w:r>
          </w:p>
        </w:tc>
      </w:tr>
      <w:tr w14:paraId="49B61F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1B494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FF7CB2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其中：买断式回购的买入返售金融资产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6E7205FF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78DBE3ED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4669F0E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35FE72D0">
            <w:pPr>
              <w:jc w:val="right"/>
            </w:pPr>
            <w:r>
              <w:t>0.00</w:t>
            </w:r>
          </w:p>
        </w:tc>
      </w:tr>
      <w:tr w14:paraId="6FA63E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EFF637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6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8A4DE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货币市场工具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08B6EF41">
            <w:pPr>
              <w:jc w:val="right"/>
            </w:pPr>
          </w:p>
        </w:tc>
        <w:tc>
          <w:tcPr>
            <w:tcW w:w="1749" w:type="dxa"/>
            <w:shd w:val="clear" w:color="auto" w:fill="auto"/>
            <w:vAlign w:val="center"/>
          </w:tcPr>
          <w:p w14:paraId="38ACAD62">
            <w:pPr>
              <w:jc w:val="right"/>
            </w:pPr>
          </w:p>
        </w:tc>
        <w:tc>
          <w:tcPr>
            <w:tcW w:w="1653" w:type="dxa"/>
            <w:vAlign w:val="center"/>
          </w:tcPr>
          <w:p w14:paraId="4A64BA57">
            <w:pPr>
              <w:jc w:val="right"/>
            </w:pPr>
          </w:p>
        </w:tc>
        <w:tc>
          <w:tcPr>
            <w:tcW w:w="1705" w:type="dxa"/>
            <w:vAlign w:val="center"/>
          </w:tcPr>
          <w:p w14:paraId="20176515">
            <w:pPr>
              <w:jc w:val="right"/>
            </w:pPr>
          </w:p>
        </w:tc>
      </w:tr>
      <w:tr w14:paraId="60178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81DCF9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7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23363F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银行存款和结算备付金合计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564DA67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5DD7A8B1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34C1284A">
            <w:pPr>
              <w:jc w:val="right"/>
            </w:pPr>
            <w:r>
              <w:t>41,980.90</w:t>
            </w:r>
          </w:p>
        </w:tc>
        <w:tc>
          <w:tcPr>
            <w:tcW w:w="1705" w:type="dxa"/>
            <w:vAlign w:val="center"/>
          </w:tcPr>
          <w:p w14:paraId="30A39BDB">
            <w:pPr>
              <w:jc w:val="right"/>
            </w:pPr>
            <w:r>
              <w:t>2.01</w:t>
            </w:r>
          </w:p>
        </w:tc>
      </w:tr>
      <w:tr w14:paraId="23A865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02E1DE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8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7C864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拆放同业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11EA011D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4F1DE8A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11409E87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DC87BEC">
            <w:pPr>
              <w:jc w:val="right"/>
            </w:pPr>
            <w:r>
              <w:t>0.00</w:t>
            </w:r>
          </w:p>
        </w:tc>
      </w:tr>
      <w:tr w14:paraId="5B0336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25E7305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9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4C973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资管</w:t>
            </w:r>
            <w:r>
              <w:rPr>
                <w:rFonts w:ascii="宋体" w:hAnsi="宋体" w:cs="宋体"/>
                <w:kern w:val="0"/>
                <w:sz w:val="22"/>
                <w:szCs w:val="22"/>
              </w:rPr>
              <w:t>产品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37693016">
            <w:pPr>
              <w:jc w:val="right"/>
            </w:pPr>
            <w:r>
              <w:t>2,087,771.23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12D1698C">
            <w:pPr>
              <w:jc w:val="right"/>
            </w:pPr>
            <w:r>
              <w:t>100.00</w:t>
            </w:r>
          </w:p>
        </w:tc>
        <w:tc>
          <w:tcPr>
            <w:tcW w:w="1653" w:type="dxa"/>
            <w:vAlign w:val="center"/>
          </w:tcPr>
          <w:p w14:paraId="7E5DD703">
            <w:pPr>
              <w:jc w:val="right"/>
            </w:pPr>
            <w:r>
              <w:t>0.00</w:t>
            </w:r>
          </w:p>
        </w:tc>
        <w:tc>
          <w:tcPr>
            <w:tcW w:w="1705" w:type="dxa"/>
            <w:vAlign w:val="center"/>
          </w:tcPr>
          <w:p w14:paraId="53DA8126">
            <w:pPr>
              <w:jc w:val="right"/>
            </w:pPr>
            <w:r>
              <w:t>0.00</w:t>
            </w:r>
          </w:p>
        </w:tc>
      </w:tr>
      <w:tr w14:paraId="3ECCF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C543A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4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32F788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hint="eastAsia" w:ascii="宋体" w:hAnsi="宋体" w:cs="宋体"/>
                <w:kern w:val="0"/>
                <w:sz w:val="22"/>
                <w:szCs w:val="22"/>
              </w:rPr>
              <w:t>其他资产</w:t>
            </w:r>
          </w:p>
        </w:tc>
        <w:tc>
          <w:tcPr>
            <w:tcW w:w="1697" w:type="dxa"/>
            <w:shd w:val="clear" w:color="auto" w:fill="auto"/>
            <w:vAlign w:val="center"/>
          </w:tcPr>
          <w:p w14:paraId="795B7C46">
            <w:pPr>
              <w:jc w:val="right"/>
            </w:pPr>
            <w:r>
              <w:t>0.00</w:t>
            </w:r>
          </w:p>
        </w:tc>
        <w:tc>
          <w:tcPr>
            <w:tcW w:w="1749" w:type="dxa"/>
            <w:shd w:val="clear" w:color="auto" w:fill="auto"/>
            <w:vAlign w:val="center"/>
          </w:tcPr>
          <w:p w14:paraId="2220918B">
            <w:pPr>
              <w:jc w:val="right"/>
            </w:pPr>
            <w:r>
              <w:t>0.00</w:t>
            </w:r>
          </w:p>
        </w:tc>
        <w:tc>
          <w:tcPr>
            <w:tcW w:w="1653" w:type="dxa"/>
            <w:vAlign w:val="center"/>
          </w:tcPr>
          <w:p w14:paraId="2433EDDA">
            <w:pPr>
              <w:jc w:val="right"/>
            </w:pPr>
            <w:r>
              <w:t>3,166.39</w:t>
            </w:r>
          </w:p>
        </w:tc>
        <w:tc>
          <w:tcPr>
            <w:tcW w:w="1705" w:type="dxa"/>
            <w:vAlign w:val="center"/>
          </w:tcPr>
          <w:p w14:paraId="47BEE6D5">
            <w:pPr>
              <w:jc w:val="right"/>
            </w:pPr>
            <w:r>
              <w:t>0.15</w:t>
            </w:r>
          </w:p>
        </w:tc>
      </w:tr>
      <w:tr w14:paraId="72C72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11" w:type="dxa"/>
            <w:shd w:val="clear" w:color="auto" w:fill="auto"/>
          </w:tcPr>
          <w:p w14:paraId="4867309E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1447" w:type="dxa"/>
            <w:shd w:val="clear" w:color="auto" w:fill="auto"/>
          </w:tcPr>
          <w:p w14:paraId="1A9847A4">
            <w:pPr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697" w:type="dxa"/>
            <w:shd w:val="clear" w:color="auto" w:fill="auto"/>
          </w:tcPr>
          <w:p w14:paraId="5DA4CB4A">
            <w:pPr>
              <w:jc w:val="right"/>
            </w:pPr>
            <w:r>
              <w:t>2,087,771.23</w:t>
            </w:r>
          </w:p>
        </w:tc>
        <w:tc>
          <w:tcPr>
            <w:tcW w:w="1749" w:type="dxa"/>
            <w:shd w:val="clear" w:color="auto" w:fill="auto"/>
          </w:tcPr>
          <w:p w14:paraId="5510B58D">
            <w:pPr>
              <w:jc w:val="right"/>
            </w:pPr>
            <w:r>
              <w:t>100.00</w:t>
            </w:r>
          </w:p>
        </w:tc>
        <w:tc>
          <w:tcPr>
            <w:tcW w:w="1653" w:type="dxa"/>
          </w:tcPr>
          <w:p w14:paraId="1C4ED5D8">
            <w:pPr>
              <w:jc w:val="right"/>
            </w:pPr>
            <w:r>
              <w:t>2,470,320.10</w:t>
            </w:r>
          </w:p>
        </w:tc>
        <w:tc>
          <w:tcPr>
            <w:tcW w:w="1705" w:type="dxa"/>
          </w:tcPr>
          <w:p w14:paraId="588D34DE">
            <w:pPr>
              <w:jc w:val="right"/>
            </w:pPr>
            <w:r>
              <w:t>118.32</w:t>
            </w:r>
          </w:p>
        </w:tc>
      </w:tr>
    </w:tbl>
    <w:p w14:paraId="7EFC4879">
      <w:pPr>
        <w:ind w:left="420" w:leftChars="200"/>
        <w:jc w:val="left"/>
        <w:rPr>
          <w:rFonts w:ascii="宋体" w:hAnsi="宋体"/>
          <w:sz w:val="24"/>
        </w:rPr>
      </w:pPr>
    </w:p>
    <w:p w14:paraId="5099BBA9">
      <w:pPr>
        <w:ind w:left="420" w:leftChars="200"/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zCs w:val="21"/>
        </w:rPr>
        <w:t>注1：间接投资占产品总资产的比例（%）为占本产品总资产的比例（%）。</w:t>
      </w:r>
    </w:p>
    <w:p w14:paraId="133DE52A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投资</w:t>
      </w:r>
      <w:r>
        <w:rPr>
          <w:b w:val="0"/>
        </w:rPr>
        <w:t>组合流动</w:t>
      </w:r>
      <w:r>
        <w:rPr>
          <w:rFonts w:hint="eastAsia"/>
          <w:b w:val="0"/>
          <w:lang w:eastAsia="zh-CN"/>
        </w:rPr>
        <w:t>性</w:t>
      </w:r>
      <w:r>
        <w:rPr>
          <w:b w:val="0"/>
        </w:rPr>
        <w:t>风险分析</w:t>
      </w:r>
    </w:p>
    <w:p w14:paraId="6F8E97C9">
      <w:pPr>
        <w:jc w:val="left"/>
        <w:rPr>
          <w:rFonts w:asciiTheme="minorEastAsia" w:hAnsiTheme="minorEastAsia" w:eastAsiaTheme="minorEastAsia"/>
          <w:sz w:val="24"/>
        </w:rPr>
      </w:pPr>
      <w:r>
        <w:rPr>
          <w:rFonts w:hint="eastAsia" w:ascii="宋体" w:hAnsi="宋体"/>
          <w:sz w:val="24"/>
        </w:rPr>
        <w:t xml:space="preserve">   </w:t>
      </w:r>
      <w:r>
        <w:rPr>
          <w:rFonts w:hint="eastAsia" w:ascii="宋体" w:hAnsi="宋体" w:eastAsia="宋体"/>
          <w:szCs w:val="21"/>
        </w:rPr>
        <w:t>报告期内管理人合理安排资产结构，严格按照产品说明书约定的投资范围、比例等要求进行投资管理，流动性风险可控。</w:t>
      </w:r>
    </w:p>
    <w:p w14:paraId="3C5D4815">
      <w:pPr>
        <w:widowControl/>
        <w:jc w:val="left"/>
        <w:rPr>
          <w:rFonts w:ascii="宋体" w:hAnsi="宋体"/>
          <w:sz w:val="24"/>
        </w:rPr>
      </w:pPr>
    </w:p>
    <w:p w14:paraId="057739B0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</w:t>
      </w:r>
      <w:r>
        <w:rPr>
          <w:b w:val="0"/>
        </w:rPr>
        <w:t>明细</w:t>
      </w:r>
    </w:p>
    <w:p w14:paraId="58A8D5BA">
      <w:pPr>
        <w:jc w:val="right"/>
        <w:rPr>
          <w:rFonts w:ascii="宋体" w:hAnsi="宋体"/>
        </w:rPr>
      </w:pPr>
      <w:r>
        <w:rPr>
          <w:rFonts w:hint="eastAsia" w:ascii="宋体" w:hAnsi="宋体"/>
        </w:rPr>
        <w:t>金额单位：元</w:t>
      </w:r>
    </w:p>
    <w:tbl>
      <w:tblPr>
        <w:tblStyle w:val="17"/>
        <w:tblW w:w="90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7"/>
        <w:gridCol w:w="3159"/>
        <w:gridCol w:w="2693"/>
        <w:gridCol w:w="2431"/>
      </w:tblGrid>
      <w:tr w14:paraId="163C83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777" w:type="dxa"/>
            <w:shd w:val="clear" w:color="auto" w:fill="D9D9D9"/>
            <w:vAlign w:val="center"/>
          </w:tcPr>
          <w:p w14:paraId="62D4B722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序号</w:t>
            </w:r>
          </w:p>
        </w:tc>
        <w:tc>
          <w:tcPr>
            <w:tcW w:w="3159" w:type="dxa"/>
            <w:shd w:val="clear" w:color="auto" w:fill="D9D9D9"/>
            <w:vAlign w:val="center"/>
          </w:tcPr>
          <w:p w14:paraId="24CA534B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资产名称</w:t>
            </w:r>
          </w:p>
        </w:tc>
        <w:tc>
          <w:tcPr>
            <w:tcW w:w="2693" w:type="dxa"/>
            <w:shd w:val="clear" w:color="auto" w:fill="D9D9D9"/>
            <w:vAlign w:val="center"/>
          </w:tcPr>
          <w:p w14:paraId="20F4BC7A">
            <w:pPr>
              <w:jc w:val="left"/>
              <w:rPr>
                <w:rFonts w:ascii="宋体" w:hAnsi="宋体"/>
                <w:b/>
                <w:szCs w:val="21"/>
              </w:rPr>
            </w:pPr>
            <w:r>
              <w:rPr>
                <w:rFonts w:hint="eastAsia" w:ascii="宋体" w:hAnsi="宋体"/>
                <w:b/>
                <w:szCs w:val="21"/>
              </w:rPr>
              <w:t>金额</w:t>
            </w:r>
          </w:p>
        </w:tc>
        <w:tc>
          <w:tcPr>
            <w:tcW w:w="2431" w:type="dxa"/>
            <w:shd w:val="clear" w:color="auto" w:fill="D9D9D9"/>
            <w:vAlign w:val="center"/>
          </w:tcPr>
          <w:p w14:paraId="42CDDA5E">
            <w:pPr>
              <w:jc w:val="left"/>
              <w:rPr>
                <w:rFonts w:hint="eastAsia" w:ascii="宋体" w:hAnsi="宋体" w:eastAsia="宋体"/>
                <w:b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szCs w:val="21"/>
                <w:lang w:val="en-US" w:eastAsia="zh-CN"/>
              </w:rPr>
              <w:t>占产品资产净值比例（%）</w:t>
            </w:r>
          </w:p>
        </w:tc>
      </w:tr>
      <w:tr w14:paraId="3664A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77" w:type="dxa"/>
            <w:shd w:val="clear" w:color="auto" w:fill="auto"/>
            <w:vAlign w:val="center"/>
          </w:tcPr>
          <w:p w14:paraId="44FE00B1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1</w:t>
            </w:r>
          </w:p>
        </w:tc>
        <w:tc>
          <w:tcPr>
            <w:tcW w:w="3159" w:type="dxa"/>
            <w:shd w:val="clear" w:color="auto" w:fill="auto"/>
            <w:vAlign w:val="center"/>
          </w:tcPr>
          <w:p w14:paraId="01F7C66E">
            <w:pPr>
              <w:rPr>
                <w:szCs w:val="21"/>
              </w:rPr>
            </w:pPr>
            <w:r>
              <w:rPr>
                <w:szCs w:val="21"/>
              </w:rPr>
              <w:t>永安期货安丰1号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508FAD9E">
            <w:pPr>
              <w:jc w:val="right"/>
            </w:pPr>
            <w:r>
              <w:t>2,087,771.23</w:t>
            </w:r>
          </w:p>
        </w:tc>
        <w:tc>
          <w:tcPr>
            <w:tcW w:w="2431" w:type="dxa"/>
            <w:shd w:val="clear" w:color="auto" w:fill="auto"/>
            <w:vAlign w:val="center"/>
          </w:tcPr>
          <w:p w14:paraId="161AF905">
            <w:pPr>
              <w:jc w:val="right"/>
            </w:pPr>
            <w:bookmarkStart w:id="3" w:name="OLE_LINK6"/>
            <w:bookmarkStart w:id="4" w:name="OLE_LINK5"/>
            <w:r>
              <w:t>100.01</w:t>
            </w:r>
            <w:bookmarkEnd w:id="3"/>
            <w:bookmarkEnd w:id="4"/>
          </w:p>
        </w:tc>
      </w:tr>
    </w:tbl>
    <w:p w14:paraId="325ABB00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</w:t>
      </w:r>
    </w:p>
    <w:p w14:paraId="65CD0F75">
      <w:pPr>
        <w:ind w:left="424" w:leftChars="202"/>
        <w:jc w:val="left"/>
        <w:rPr>
          <w:rFonts w:asciiTheme="minorEastAsia" w:hAnsiTheme="minorEastAsia" w:eastAsiaTheme="minorEastAsia"/>
          <w:szCs w:val="21"/>
        </w:rPr>
      </w:pPr>
      <w:r>
        <w:rPr>
          <w:rFonts w:hint="eastAsia" w:asciiTheme="minorEastAsia" w:hAnsiTheme="minorEastAsia" w:eastAsiaTheme="minorEastAsia"/>
          <w:szCs w:val="21"/>
        </w:rPr>
        <w:t>注：前十项资产明细仅包含证券投资、场外投资，不包含银行活期存款、存出保证金、清算备付金等资产。</w:t>
      </w:r>
    </w:p>
    <w:p w14:paraId="4C4EF5AD">
      <w:pPr>
        <w:pStyle w:val="41"/>
        <w:spacing w:before="156" w:after="156"/>
        <w:rPr>
          <w:b w:val="0"/>
        </w:rPr>
      </w:pPr>
      <w:r>
        <w:rPr>
          <w:rFonts w:hint="eastAsia"/>
          <w:b w:val="0"/>
        </w:rPr>
        <w:t>报告期末占资产净值比例大小排序的前十项资产明细（穿透后）</w:t>
      </w:r>
    </w:p>
    <w:p w14:paraId="5C88C8F9">
      <w:pPr>
        <w:spacing w:before="100" w:beforeAutospacing="1" w:after="100" w:afterAutospacing="1"/>
        <w:jc w:val="right"/>
      </w:pPr>
      <w:r>
        <w:rPr>
          <w:rFonts w:hint="eastAsia"/>
        </w:rPr>
        <w:t>金额单位：元</w:t>
      </w:r>
    </w:p>
    <w:tbl>
      <w:tblPr>
        <w:tblStyle w:val="17"/>
        <w:tblW w:w="9060" w:type="dxa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77"/>
        <w:gridCol w:w="3159"/>
        <w:gridCol w:w="2693"/>
        <w:gridCol w:w="2431"/>
      </w:tblGrid>
      <w:tr w14:paraId="6E4C7E2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4" w:hRule="atLeast"/>
          <w:jc w:val="center"/>
        </w:trPr>
        <w:tc>
          <w:tcPr>
            <w:tcW w:w="77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D0062">
            <w:pPr>
              <w:spacing w:before="100" w:beforeAutospacing="1" w:after="100" w:afterAutospacing="1"/>
              <w:jc w:val="center"/>
            </w:pPr>
            <w:r>
              <w:rPr>
                <w:rFonts w:hint="eastAsia"/>
                <w:b/>
                <w:bCs/>
              </w:rPr>
              <w:t>序号</w:t>
            </w:r>
          </w:p>
        </w:tc>
        <w:tc>
          <w:tcPr>
            <w:tcW w:w="3159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619F96">
            <w:pPr>
              <w:spacing w:before="100" w:beforeAutospacing="1" w:after="100" w:afterAutospacing="1"/>
              <w:jc w:val="left"/>
            </w:pPr>
            <w:r>
              <w:rPr>
                <w:rFonts w:hint="eastAsia"/>
                <w:b/>
                <w:bCs/>
              </w:rPr>
              <w:t>资产名称</w:t>
            </w:r>
          </w:p>
        </w:tc>
        <w:tc>
          <w:tcPr>
            <w:tcW w:w="2693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6D20A1">
            <w:pPr>
              <w:spacing w:before="100" w:beforeAutospacing="1" w:after="100" w:afterAutospacing="1"/>
            </w:pPr>
            <w:r>
              <w:rPr>
                <w:rFonts w:hint="eastAsia"/>
                <w:b/>
                <w:bCs/>
              </w:rPr>
              <w:t>金额</w:t>
            </w:r>
          </w:p>
        </w:tc>
        <w:tc>
          <w:tcPr>
            <w:tcW w:w="2431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D9D9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F66FD">
            <w:pPr>
              <w:spacing w:before="100" w:beforeAutospacing="1" w:after="100" w:afterAutospacing="1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占产品资产净值比例（%）</w:t>
            </w:r>
          </w:p>
        </w:tc>
      </w:tr>
      <w:tr w14:paraId="214394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2B1E03">
            <w:pPr>
              <w:spacing w:before="100" w:beforeAutospacing="1" w:after="100" w:afterAutospacing="1"/>
            </w:pPr>
            <w:r>
              <w:t>1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99BD51">
            <w:pPr>
              <w:rPr>
                <w:sz w:val="20"/>
              </w:rPr>
            </w:pPr>
            <w:r>
              <w:rPr>
                <w:szCs w:val="21"/>
              </w:rPr>
              <w:t>22二商肉食MTN001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7082E">
            <w:pPr>
              <w:jc w:val="right"/>
              <w:rPr>
                <w:rFonts w:eastAsia="Times New Roman"/>
                <w:sz w:val="20"/>
              </w:rPr>
            </w:pPr>
            <w:r>
              <w:t>205,258.25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5258B2">
            <w:pPr>
              <w:jc w:val="right"/>
              <w:rPr>
                <w:rFonts w:eastAsia="Times New Roman"/>
                <w:sz w:val="20"/>
              </w:rPr>
            </w:pPr>
            <w:r>
              <w:t>9.83</w:t>
            </w:r>
          </w:p>
        </w:tc>
      </w:tr>
      <w:tr w14:paraId="696F90E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69C125">
            <w:pPr>
              <w:spacing w:before="100" w:beforeAutospacing="1" w:after="100" w:afterAutospacing="1"/>
            </w:pPr>
            <w:r>
              <w:t>2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BF64B9">
            <w:pPr>
              <w:rPr>
                <w:sz w:val="20"/>
              </w:rPr>
            </w:pPr>
            <w:r>
              <w:rPr>
                <w:szCs w:val="21"/>
              </w:rPr>
              <w:t>23南京新港MTN002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02D64">
            <w:pPr>
              <w:jc w:val="right"/>
              <w:rPr>
                <w:rFonts w:eastAsia="Times New Roman"/>
                <w:sz w:val="20"/>
              </w:rPr>
            </w:pPr>
            <w:r>
              <w:t>182,305.05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24EC3A">
            <w:pPr>
              <w:jc w:val="right"/>
              <w:rPr>
                <w:rFonts w:eastAsia="Times New Roman"/>
                <w:sz w:val="20"/>
              </w:rPr>
            </w:pPr>
            <w:r>
              <w:t>8.73</w:t>
            </w:r>
          </w:p>
        </w:tc>
      </w:tr>
      <w:tr w14:paraId="1D690C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7C6B2C">
            <w:pPr>
              <w:spacing w:before="100" w:beforeAutospacing="1" w:after="100" w:afterAutospacing="1"/>
            </w:pPr>
            <w:r>
              <w:t>3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4939BA">
            <w:pPr>
              <w:rPr>
                <w:sz w:val="20"/>
              </w:rPr>
            </w:pPr>
            <w:r>
              <w:rPr>
                <w:szCs w:val="21"/>
              </w:rPr>
              <w:t>22苏州高新MTN004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A69F9">
            <w:pPr>
              <w:jc w:val="right"/>
              <w:rPr>
                <w:rFonts w:eastAsia="Times New Roman"/>
                <w:sz w:val="20"/>
              </w:rPr>
            </w:pPr>
            <w:r>
              <w:t>181,508.49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A98F3">
            <w:pPr>
              <w:jc w:val="right"/>
              <w:rPr>
                <w:rFonts w:eastAsia="Times New Roman"/>
                <w:sz w:val="20"/>
              </w:rPr>
            </w:pPr>
            <w:r>
              <w:t>8.69</w:t>
            </w:r>
          </w:p>
        </w:tc>
      </w:tr>
      <w:tr w14:paraId="0D95609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12E0E8">
            <w:pPr>
              <w:spacing w:before="100" w:beforeAutospacing="1" w:after="100" w:afterAutospacing="1"/>
            </w:pPr>
            <w:r>
              <w:t>4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D174E">
            <w:pPr>
              <w:rPr>
                <w:sz w:val="20"/>
              </w:rPr>
            </w:pPr>
            <w:r>
              <w:rPr>
                <w:szCs w:val="21"/>
              </w:rPr>
              <w:t>23宿迁城投MTN001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97E83">
            <w:pPr>
              <w:jc w:val="right"/>
              <w:rPr>
                <w:rFonts w:eastAsia="Times New Roman"/>
                <w:sz w:val="20"/>
              </w:rPr>
            </w:pPr>
            <w:r>
              <w:t>177,982.19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D22A3">
            <w:pPr>
              <w:jc w:val="right"/>
              <w:rPr>
                <w:rFonts w:eastAsia="Times New Roman"/>
                <w:sz w:val="20"/>
              </w:rPr>
            </w:pPr>
            <w:r>
              <w:t>8.53</w:t>
            </w:r>
          </w:p>
        </w:tc>
      </w:tr>
      <w:tr w14:paraId="6A3C45F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ED4BE8">
            <w:pPr>
              <w:spacing w:before="100" w:beforeAutospacing="1" w:after="100" w:afterAutospacing="1"/>
            </w:pPr>
            <w:r>
              <w:t>5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6D597">
            <w:pPr>
              <w:rPr>
                <w:sz w:val="20"/>
              </w:rPr>
            </w:pPr>
            <w:r>
              <w:rPr>
                <w:szCs w:val="21"/>
              </w:rPr>
              <w:t>G天成1A2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DEF8F">
            <w:pPr>
              <w:jc w:val="right"/>
              <w:rPr>
                <w:rFonts w:eastAsia="Times New Roman"/>
                <w:sz w:val="20"/>
              </w:rPr>
            </w:pPr>
            <w:r>
              <w:t>149,193.28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4C9B6B">
            <w:pPr>
              <w:jc w:val="right"/>
              <w:rPr>
                <w:rFonts w:eastAsia="Times New Roman"/>
                <w:sz w:val="20"/>
              </w:rPr>
            </w:pPr>
            <w:r>
              <w:t>7.15</w:t>
            </w:r>
          </w:p>
        </w:tc>
      </w:tr>
      <w:tr w14:paraId="4CD4D93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6A0E5">
            <w:pPr>
              <w:spacing w:before="100" w:beforeAutospacing="1" w:after="100" w:afterAutospacing="1"/>
            </w:pPr>
            <w:r>
              <w:t>6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F871F9">
            <w:pPr>
              <w:rPr>
                <w:sz w:val="20"/>
              </w:rPr>
            </w:pPr>
            <w:r>
              <w:rPr>
                <w:szCs w:val="21"/>
              </w:rPr>
              <w:t>22闽漳龙MTN003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F6F69D">
            <w:pPr>
              <w:jc w:val="right"/>
              <w:rPr>
                <w:rFonts w:eastAsia="Times New Roman"/>
                <w:sz w:val="20"/>
              </w:rPr>
            </w:pPr>
            <w:r>
              <w:t>130,968.04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692E6">
            <w:pPr>
              <w:jc w:val="right"/>
              <w:rPr>
                <w:rFonts w:eastAsia="Times New Roman"/>
                <w:sz w:val="20"/>
              </w:rPr>
            </w:pPr>
            <w:r>
              <w:t>6.27</w:t>
            </w:r>
          </w:p>
        </w:tc>
      </w:tr>
      <w:tr w14:paraId="565DDB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459C">
            <w:pPr>
              <w:spacing w:before="100" w:beforeAutospacing="1" w:after="100" w:afterAutospacing="1"/>
            </w:pPr>
            <w:r>
              <w:t>7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B8A5BB">
            <w:pPr>
              <w:rPr>
                <w:sz w:val="20"/>
              </w:rPr>
            </w:pPr>
            <w:r>
              <w:rPr>
                <w:szCs w:val="21"/>
              </w:rPr>
              <w:t>22青岛城投MTN002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07DDF">
            <w:pPr>
              <w:jc w:val="right"/>
              <w:rPr>
                <w:rFonts w:eastAsia="Times New Roman"/>
                <w:sz w:val="20"/>
              </w:rPr>
            </w:pPr>
            <w:r>
              <w:t>129,809.51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CC9C">
            <w:pPr>
              <w:jc w:val="right"/>
              <w:rPr>
                <w:rFonts w:eastAsia="Times New Roman"/>
                <w:sz w:val="20"/>
              </w:rPr>
            </w:pPr>
            <w:r>
              <w:t>6.22</w:t>
            </w:r>
          </w:p>
        </w:tc>
      </w:tr>
      <w:tr w14:paraId="7B642C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1E09D">
            <w:pPr>
              <w:spacing w:before="100" w:beforeAutospacing="1" w:after="100" w:afterAutospacing="1"/>
            </w:pPr>
            <w:r>
              <w:t>8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BE00D">
            <w:pPr>
              <w:rPr>
                <w:sz w:val="20"/>
              </w:rPr>
            </w:pPr>
            <w:r>
              <w:rPr>
                <w:szCs w:val="21"/>
              </w:rPr>
              <w:t>21青岛海创PPN001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9E7CC">
            <w:pPr>
              <w:jc w:val="right"/>
              <w:rPr>
                <w:rFonts w:eastAsia="Times New Roman"/>
                <w:sz w:val="20"/>
              </w:rPr>
            </w:pPr>
            <w:r>
              <w:t>129,371.00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ECB42">
            <w:pPr>
              <w:jc w:val="right"/>
              <w:rPr>
                <w:rFonts w:eastAsia="Times New Roman"/>
                <w:sz w:val="20"/>
              </w:rPr>
            </w:pPr>
            <w:r>
              <w:t>6.20</w:t>
            </w:r>
          </w:p>
        </w:tc>
      </w:tr>
      <w:tr w14:paraId="60954BE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0E30C">
            <w:pPr>
              <w:spacing w:before="100" w:beforeAutospacing="1" w:after="100" w:afterAutospacing="1"/>
            </w:pPr>
            <w:r>
              <w:t>9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E3422">
            <w:pPr>
              <w:rPr>
                <w:sz w:val="20"/>
              </w:rPr>
            </w:pPr>
            <w:r>
              <w:rPr>
                <w:szCs w:val="21"/>
              </w:rPr>
              <w:t>22西岸旅游PPN001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24448">
            <w:pPr>
              <w:jc w:val="right"/>
              <w:rPr>
                <w:rFonts w:eastAsia="Times New Roman"/>
                <w:sz w:val="20"/>
              </w:rPr>
            </w:pPr>
            <w:r>
              <w:t>128,893.72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5E89B2">
            <w:pPr>
              <w:jc w:val="right"/>
              <w:rPr>
                <w:rFonts w:eastAsia="Times New Roman"/>
                <w:sz w:val="20"/>
              </w:rPr>
            </w:pPr>
            <w:r>
              <w:t>6.17</w:t>
            </w:r>
          </w:p>
        </w:tc>
      </w:tr>
      <w:tr w14:paraId="7E27D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jc w:val="center"/>
        </w:trPr>
        <w:tc>
          <w:tcPr>
            <w:tcW w:w="777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1C9DE4">
            <w:pPr>
              <w:spacing w:before="100" w:beforeAutospacing="1" w:after="100" w:afterAutospacing="1"/>
            </w:pPr>
            <w:r>
              <w:t>10</w:t>
            </w:r>
          </w:p>
        </w:tc>
        <w:tc>
          <w:tcPr>
            <w:tcW w:w="3159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3D15C">
            <w:pPr>
              <w:rPr>
                <w:sz w:val="20"/>
              </w:rPr>
            </w:pPr>
            <w:r>
              <w:rPr>
                <w:szCs w:val="21"/>
              </w:rPr>
              <w:t>24胶州湾PPN001B</w:t>
            </w:r>
          </w:p>
        </w:tc>
        <w:tc>
          <w:tcPr>
            <w:tcW w:w="2693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4B9F4A">
            <w:pPr>
              <w:jc w:val="right"/>
              <w:rPr>
                <w:rFonts w:eastAsia="Times New Roman"/>
                <w:sz w:val="20"/>
              </w:rPr>
            </w:pPr>
            <w:r>
              <w:t>128,656.81</w:t>
            </w:r>
          </w:p>
        </w:tc>
        <w:tc>
          <w:tcPr>
            <w:tcW w:w="2431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510AA">
            <w:pPr>
              <w:jc w:val="right"/>
              <w:rPr>
                <w:rFonts w:eastAsia="Times New Roman"/>
                <w:sz w:val="20"/>
              </w:rPr>
            </w:pPr>
            <w:r>
              <w:t>6.16</w:t>
            </w:r>
          </w:p>
        </w:tc>
      </w:tr>
    </w:tbl>
    <w:p w14:paraId="2B9580E5">
      <w:pPr>
        <w:spacing w:before="100" w:beforeAutospacing="1" w:after="100" w:afterAutospacing="1"/>
      </w:pPr>
      <w:r>
        <w:rPr>
          <w:rFonts w:hint="eastAsia"/>
        </w:rPr>
        <w:t>注：前十项资产明细仅包含证券投资、场外投资，不包含银行活期存款、存出保证金、清算备付金等资产。</w:t>
      </w:r>
    </w:p>
    <w:p w14:paraId="0CE557C1">
      <w:pPr>
        <w:pStyle w:val="40"/>
      </w:pPr>
      <w:r>
        <w:t>托管人报告</w:t>
      </w:r>
    </w:p>
    <w:p w14:paraId="19F731BC">
      <w:pPr>
        <w:spacing w:line="360" w:lineRule="auto"/>
        <w:ind w:right="-107" w:rightChars="-51" w:firstLine="420" w:firstLineChars="200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招商银行具备完善的公司治理结构、内部稽核监控制度和风险控制制度，我行在履行托管职责中，严格遵守有关法律法规、托管协议的规定，尽职尽责地履行托管义务并安全保管托管资产。</w:t>
      </w:r>
    </w:p>
    <w:p w14:paraId="2D71F00F">
      <w:pPr>
        <w:jc w:val="left"/>
        <w:rPr>
          <w:rFonts w:asciiTheme="minorEastAsia" w:hAnsiTheme="minorEastAsia" w:eastAsiaTheme="minorEastAsia"/>
          <w:szCs w:val="21"/>
        </w:rPr>
      </w:pPr>
    </w:p>
    <w:p w14:paraId="1BDFECD8">
      <w:pPr>
        <w:jc w:val="right"/>
        <w:rPr>
          <w:rFonts w:ascii="宋体" w:hAnsi="宋体"/>
          <w:sz w:val="24"/>
        </w:rPr>
      </w:pPr>
    </w:p>
    <w:p w14:paraId="1D993CAF">
      <w:pPr>
        <w:jc w:val="right"/>
        <w:rPr>
          <w:rFonts w:ascii="宋体" w:hAnsi="宋体"/>
          <w:sz w:val="24"/>
        </w:rPr>
      </w:pPr>
    </w:p>
    <w:p w14:paraId="0E49F3A6">
      <w:pPr>
        <w:jc w:val="right"/>
        <w:rPr>
          <w:rFonts w:ascii="宋体" w:hAnsi="宋体"/>
          <w:sz w:val="24"/>
        </w:rPr>
      </w:pPr>
    </w:p>
    <w:p w14:paraId="6430CD6C">
      <w:pPr>
        <w:jc w:val="right"/>
        <w:rPr>
          <w:rFonts w:ascii="宋体" w:hAnsi="宋体"/>
          <w:sz w:val="24"/>
        </w:rPr>
      </w:pPr>
    </w:p>
    <w:p w14:paraId="65AFF4D3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浙江桐庐农村商业银行股份有限公司</w:t>
      </w:r>
    </w:p>
    <w:p w14:paraId="76F4C859">
      <w:pPr>
        <w:jc w:val="righ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t>2024-10-15</w:t>
      </w:r>
      <w:bookmarkStart w:id="5" w:name="_GoBack"/>
      <w:bookmarkEnd w:id="5"/>
      <w:r>
        <w:rPr>
          <w:rFonts w:hint="eastAsia" w:ascii="宋体" w:hAnsi="宋体"/>
          <w:sz w:val="28"/>
          <w:szCs w:val="28"/>
        </w:rPr>
        <w:t xml:space="preserve">                   </w:t>
      </w:r>
    </w:p>
    <w:sectPr>
      <w:footerReference r:id="rId3" w:type="default"/>
      <w:footerReference r:id="rId4" w:type="even"/>
      <w:pgSz w:w="11906" w:h="16838"/>
      <w:pgMar w:top="1440" w:right="1531" w:bottom="1134" w:left="1531" w:header="851" w:footer="992" w:gutter="0"/>
      <w:pgNumType w:fmt="decimal" w:start="1" w:chapSep="hyphen"/>
      <w:cols w:space="720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55C920">
    <w:pPr>
      <w:pStyle w:val="10"/>
      <w:framePr w:wrap="around" w:vAnchor="text" w:hAnchor="margin" w:xAlign="right"/>
      <w:rPr>
        <w:rStyle w:val="20"/>
      </w:rPr>
    </w:pPr>
    <w:r>
      <w:rPr>
        <w:rStyle w:val="20"/>
        <w:rFonts w:hint="eastAsia"/>
      </w:rPr>
      <w:t xml:space="preserve"> </w:t>
    </w:r>
  </w:p>
  <w:p w14:paraId="632E08D5">
    <w:pPr>
      <w:pStyle w:val="10"/>
      <w:ind w:right="108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6DACF5">
    <w:pPr>
      <w:pStyle w:val="10"/>
      <w:framePr w:wrap="around" w:vAnchor="text" w:hAnchor="margin" w:xAlign="right"/>
      <w:rPr>
        <w:rStyle w:val="20"/>
      </w:rPr>
    </w:pPr>
    <w:r>
      <w:rPr>
        <w:rStyle w:val="20"/>
      </w:rPr>
      <w:fldChar w:fldCharType="begin"/>
    </w:r>
    <w:r>
      <w:rPr>
        <w:rStyle w:val="20"/>
      </w:rPr>
      <w:instrText xml:space="preserve">PAGE  </w:instrText>
    </w:r>
    <w:r>
      <w:rPr>
        <w:rStyle w:val="20"/>
      </w:rPr>
      <w:fldChar w:fldCharType="end"/>
    </w:r>
  </w:p>
  <w:p w14:paraId="56123AE0">
    <w:pPr>
      <w:pStyle w:val="10"/>
      <w:ind w:right="360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47D73EE"/>
    <w:multiLevelType w:val="multilevel"/>
    <w:tmpl w:val="547D73EE"/>
    <w:lvl w:ilvl="0" w:tentative="0">
      <w:start w:val="1"/>
      <w:numFmt w:val="decimal"/>
      <w:lvlText w:val="%1、"/>
      <w:lvlJc w:val="left"/>
      <w:pPr>
        <w:ind w:left="420" w:hanging="420"/>
      </w:pPr>
      <w:rPr>
        <w:rFonts w:hint="eastAsia"/>
      </w:rPr>
    </w:lvl>
    <w:lvl w:ilvl="1" w:tentative="0">
      <w:start w:val="1"/>
      <w:numFmt w:val="decimal"/>
      <w:pStyle w:val="41"/>
      <w:suff w:val="space"/>
      <w:lvlText w:val="%1.%2"/>
      <w:lvlJc w:val="left"/>
      <w:pPr>
        <w:ind w:left="454" w:hanging="454"/>
      </w:pPr>
      <w:rPr>
        <w:rFonts w:hint="eastAsia"/>
      </w:rPr>
    </w:lvl>
    <w:lvl w:ilvl="2" w:tentative="0">
      <w:start w:val="1"/>
      <w:numFmt w:val="decimal"/>
      <w:pStyle w:val="42"/>
      <w:suff w:val="space"/>
      <w:lvlText w:val="%1.%2.%3"/>
      <w:lvlJc w:val="left"/>
      <w:pPr>
        <w:ind w:left="1050" w:hanging="624"/>
      </w:pPr>
      <w:rPr>
        <w:rFonts w:hint="eastAsia"/>
      </w:rPr>
    </w:lvl>
    <w:lvl w:ilvl="3" w:tentative="0">
      <w:start w:val="1"/>
      <w:numFmt w:val="decimal"/>
      <w:pStyle w:val="43"/>
      <w:suff w:val="space"/>
      <w:lvlText w:val="%1.%2.%3.%4"/>
      <w:lvlJc w:val="left"/>
      <w:pPr>
        <w:ind w:left="794" w:hanging="794"/>
      </w:pPr>
      <w:rPr>
        <w:rFonts w:hint="eastAsia"/>
      </w:rPr>
    </w:lvl>
    <w:lvl w:ilvl="4" w:tentative="0">
      <w:start w:val="1"/>
      <w:numFmt w:val="decimal"/>
      <w:pStyle w:val="44"/>
      <w:suff w:val="space"/>
      <w:lvlText w:val="%1.%2.%3.%4.%5"/>
      <w:lvlJc w:val="left"/>
      <w:pPr>
        <w:ind w:left="1021" w:hanging="1021"/>
      </w:pPr>
      <w:rPr>
        <w:rFonts w:hint="eastAsia"/>
      </w:rPr>
    </w:lvl>
    <w:lvl w:ilvl="5" w:tentative="0">
      <w:start w:val="1"/>
      <w:numFmt w:val="decimal"/>
      <w:pStyle w:val="45"/>
      <w:suff w:val="space"/>
      <w:lvlText w:val="%1.%2.%3.%4.%5.%6"/>
      <w:lvlJc w:val="left"/>
      <w:pPr>
        <w:ind w:left="1021" w:hanging="1021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">
    <w:nsid w:val="7E1B1D2A"/>
    <w:multiLevelType w:val="multilevel"/>
    <w:tmpl w:val="7E1B1D2A"/>
    <w:lvl w:ilvl="0" w:tentative="0">
      <w:start w:val="1"/>
      <w:numFmt w:val="decimal"/>
      <w:pStyle w:val="40"/>
      <w:lvlText w:val="%1、"/>
      <w:lvlJc w:val="left"/>
      <w:pPr>
        <w:ind w:left="420" w:hanging="420"/>
      </w:pPr>
      <w:rPr>
        <w:rFonts w:hint="eastAsia"/>
        <w:spacing w:val="-20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IxZTQ0Y2U3OTQ2NWY3NzMxNjc2MWQ1NzU0NTVlYmMifQ=="/>
  </w:docVars>
  <w:rsids>
    <w:rsidRoot w:val="00172A27"/>
    <w:rsid w:val="00001A36"/>
    <w:rsid w:val="00011E30"/>
    <w:rsid w:val="00011E76"/>
    <w:rsid w:val="000167A6"/>
    <w:rsid w:val="00017B7D"/>
    <w:rsid w:val="000224FE"/>
    <w:rsid w:val="00024803"/>
    <w:rsid w:val="00024FA2"/>
    <w:rsid w:val="00025E0C"/>
    <w:rsid w:val="0002761E"/>
    <w:rsid w:val="00027C34"/>
    <w:rsid w:val="00035197"/>
    <w:rsid w:val="00036749"/>
    <w:rsid w:val="00036CDC"/>
    <w:rsid w:val="00037456"/>
    <w:rsid w:val="0003799B"/>
    <w:rsid w:val="00047F36"/>
    <w:rsid w:val="00055BE3"/>
    <w:rsid w:val="0006004E"/>
    <w:rsid w:val="0006022E"/>
    <w:rsid w:val="00062D58"/>
    <w:rsid w:val="000666E4"/>
    <w:rsid w:val="000739FE"/>
    <w:rsid w:val="00074396"/>
    <w:rsid w:val="000745C5"/>
    <w:rsid w:val="00074778"/>
    <w:rsid w:val="000811DB"/>
    <w:rsid w:val="00081814"/>
    <w:rsid w:val="000825DB"/>
    <w:rsid w:val="00083139"/>
    <w:rsid w:val="00084444"/>
    <w:rsid w:val="00091668"/>
    <w:rsid w:val="000954BC"/>
    <w:rsid w:val="000957D7"/>
    <w:rsid w:val="00096252"/>
    <w:rsid w:val="000A0247"/>
    <w:rsid w:val="000A1C35"/>
    <w:rsid w:val="000B049B"/>
    <w:rsid w:val="000B12F7"/>
    <w:rsid w:val="000B65EC"/>
    <w:rsid w:val="000C0357"/>
    <w:rsid w:val="000C13BD"/>
    <w:rsid w:val="000C5B47"/>
    <w:rsid w:val="000D078C"/>
    <w:rsid w:val="000D4CEA"/>
    <w:rsid w:val="000D5DDE"/>
    <w:rsid w:val="000E103E"/>
    <w:rsid w:val="000E2280"/>
    <w:rsid w:val="000E5BF4"/>
    <w:rsid w:val="000E7303"/>
    <w:rsid w:val="000E7594"/>
    <w:rsid w:val="000E7EE4"/>
    <w:rsid w:val="000F1CA3"/>
    <w:rsid w:val="000F1EB8"/>
    <w:rsid w:val="000F79B4"/>
    <w:rsid w:val="001003A8"/>
    <w:rsid w:val="001178EF"/>
    <w:rsid w:val="00123DCF"/>
    <w:rsid w:val="001241D2"/>
    <w:rsid w:val="00127EE5"/>
    <w:rsid w:val="00130058"/>
    <w:rsid w:val="001304CE"/>
    <w:rsid w:val="00130B97"/>
    <w:rsid w:val="00131F63"/>
    <w:rsid w:val="001321D3"/>
    <w:rsid w:val="001367E6"/>
    <w:rsid w:val="0013763A"/>
    <w:rsid w:val="00137F13"/>
    <w:rsid w:val="00142BF7"/>
    <w:rsid w:val="001438D5"/>
    <w:rsid w:val="001505C2"/>
    <w:rsid w:val="0015110C"/>
    <w:rsid w:val="0015418C"/>
    <w:rsid w:val="001546E3"/>
    <w:rsid w:val="00156CE7"/>
    <w:rsid w:val="001634F8"/>
    <w:rsid w:val="00172A27"/>
    <w:rsid w:val="00175535"/>
    <w:rsid w:val="00182115"/>
    <w:rsid w:val="0019201F"/>
    <w:rsid w:val="00193840"/>
    <w:rsid w:val="00196688"/>
    <w:rsid w:val="001A6A60"/>
    <w:rsid w:val="001A6DCE"/>
    <w:rsid w:val="001B0D81"/>
    <w:rsid w:val="001B2258"/>
    <w:rsid w:val="001B3575"/>
    <w:rsid w:val="001B43F0"/>
    <w:rsid w:val="001C4ACD"/>
    <w:rsid w:val="001C5999"/>
    <w:rsid w:val="001D364E"/>
    <w:rsid w:val="001E12D4"/>
    <w:rsid w:val="001E1A37"/>
    <w:rsid w:val="001E27AF"/>
    <w:rsid w:val="001E2A08"/>
    <w:rsid w:val="001E4B7A"/>
    <w:rsid w:val="001E7354"/>
    <w:rsid w:val="001E73F7"/>
    <w:rsid w:val="001E7E3E"/>
    <w:rsid w:val="001F28F0"/>
    <w:rsid w:val="001F4ADC"/>
    <w:rsid w:val="001F5BAE"/>
    <w:rsid w:val="001F7D68"/>
    <w:rsid w:val="00203F6A"/>
    <w:rsid w:val="00210223"/>
    <w:rsid w:val="0021036E"/>
    <w:rsid w:val="00212735"/>
    <w:rsid w:val="00212AC6"/>
    <w:rsid w:val="00217B81"/>
    <w:rsid w:val="00222DFB"/>
    <w:rsid w:val="00226962"/>
    <w:rsid w:val="00226D1D"/>
    <w:rsid w:val="00227C89"/>
    <w:rsid w:val="0024340D"/>
    <w:rsid w:val="00246E06"/>
    <w:rsid w:val="002520E6"/>
    <w:rsid w:val="00254241"/>
    <w:rsid w:val="002543ED"/>
    <w:rsid w:val="002550F8"/>
    <w:rsid w:val="00256F99"/>
    <w:rsid w:val="00261703"/>
    <w:rsid w:val="00265F21"/>
    <w:rsid w:val="002709E9"/>
    <w:rsid w:val="0027180C"/>
    <w:rsid w:val="00285198"/>
    <w:rsid w:val="0028673C"/>
    <w:rsid w:val="00291837"/>
    <w:rsid w:val="00293CED"/>
    <w:rsid w:val="002A1060"/>
    <w:rsid w:val="002A5581"/>
    <w:rsid w:val="002A6967"/>
    <w:rsid w:val="002B18D0"/>
    <w:rsid w:val="002B1BF7"/>
    <w:rsid w:val="002B2425"/>
    <w:rsid w:val="002B5C75"/>
    <w:rsid w:val="002B6AB0"/>
    <w:rsid w:val="002B6D92"/>
    <w:rsid w:val="002C0D52"/>
    <w:rsid w:val="002D2E99"/>
    <w:rsid w:val="002D3143"/>
    <w:rsid w:val="002D50E0"/>
    <w:rsid w:val="002D70F8"/>
    <w:rsid w:val="002E15C2"/>
    <w:rsid w:val="002E2A8D"/>
    <w:rsid w:val="002E366D"/>
    <w:rsid w:val="002E37D7"/>
    <w:rsid w:val="002E6930"/>
    <w:rsid w:val="002F1904"/>
    <w:rsid w:val="002F1EBF"/>
    <w:rsid w:val="002F244E"/>
    <w:rsid w:val="002F2A39"/>
    <w:rsid w:val="002F73B7"/>
    <w:rsid w:val="003017B8"/>
    <w:rsid w:val="00302E0B"/>
    <w:rsid w:val="0030728E"/>
    <w:rsid w:val="003140F2"/>
    <w:rsid w:val="003170E3"/>
    <w:rsid w:val="003176DF"/>
    <w:rsid w:val="003217E4"/>
    <w:rsid w:val="003245FC"/>
    <w:rsid w:val="003350C8"/>
    <w:rsid w:val="00336953"/>
    <w:rsid w:val="0034174F"/>
    <w:rsid w:val="00347E59"/>
    <w:rsid w:val="0035009E"/>
    <w:rsid w:val="00351099"/>
    <w:rsid w:val="00352670"/>
    <w:rsid w:val="0035379B"/>
    <w:rsid w:val="003545C4"/>
    <w:rsid w:val="00354AB0"/>
    <w:rsid w:val="00355798"/>
    <w:rsid w:val="00355F58"/>
    <w:rsid w:val="00362921"/>
    <w:rsid w:val="003629D6"/>
    <w:rsid w:val="0036621F"/>
    <w:rsid w:val="00370236"/>
    <w:rsid w:val="00370D1C"/>
    <w:rsid w:val="0037107A"/>
    <w:rsid w:val="0037163C"/>
    <w:rsid w:val="00372961"/>
    <w:rsid w:val="00373861"/>
    <w:rsid w:val="0037574C"/>
    <w:rsid w:val="00380B72"/>
    <w:rsid w:val="00386349"/>
    <w:rsid w:val="00386B5A"/>
    <w:rsid w:val="00391B1F"/>
    <w:rsid w:val="00392524"/>
    <w:rsid w:val="0039364C"/>
    <w:rsid w:val="00394EF9"/>
    <w:rsid w:val="00397112"/>
    <w:rsid w:val="00397200"/>
    <w:rsid w:val="003A0970"/>
    <w:rsid w:val="003A7C09"/>
    <w:rsid w:val="003B436D"/>
    <w:rsid w:val="003B7836"/>
    <w:rsid w:val="003C0A61"/>
    <w:rsid w:val="003C24AD"/>
    <w:rsid w:val="003C5071"/>
    <w:rsid w:val="003D0E86"/>
    <w:rsid w:val="003D15A3"/>
    <w:rsid w:val="003D39AE"/>
    <w:rsid w:val="003D4200"/>
    <w:rsid w:val="003D7D84"/>
    <w:rsid w:val="003E15D9"/>
    <w:rsid w:val="003E460E"/>
    <w:rsid w:val="003E7218"/>
    <w:rsid w:val="0040013A"/>
    <w:rsid w:val="0040127C"/>
    <w:rsid w:val="00402216"/>
    <w:rsid w:val="00415C27"/>
    <w:rsid w:val="004169FD"/>
    <w:rsid w:val="00420876"/>
    <w:rsid w:val="0042283D"/>
    <w:rsid w:val="00430538"/>
    <w:rsid w:val="004332EF"/>
    <w:rsid w:val="00436399"/>
    <w:rsid w:val="004405BC"/>
    <w:rsid w:val="0044179E"/>
    <w:rsid w:val="004422DD"/>
    <w:rsid w:val="00442C23"/>
    <w:rsid w:val="00442E16"/>
    <w:rsid w:val="0044354B"/>
    <w:rsid w:val="00444430"/>
    <w:rsid w:val="00445B1D"/>
    <w:rsid w:val="00445B84"/>
    <w:rsid w:val="00445B9F"/>
    <w:rsid w:val="00450537"/>
    <w:rsid w:val="00451D7B"/>
    <w:rsid w:val="0045697B"/>
    <w:rsid w:val="00457E70"/>
    <w:rsid w:val="0046347F"/>
    <w:rsid w:val="0046369D"/>
    <w:rsid w:val="00464A4B"/>
    <w:rsid w:val="00465827"/>
    <w:rsid w:val="00466631"/>
    <w:rsid w:val="00467018"/>
    <w:rsid w:val="0047019A"/>
    <w:rsid w:val="00475C49"/>
    <w:rsid w:val="00477FEC"/>
    <w:rsid w:val="00482F15"/>
    <w:rsid w:val="004864F2"/>
    <w:rsid w:val="00487E77"/>
    <w:rsid w:val="004925AF"/>
    <w:rsid w:val="00493D46"/>
    <w:rsid w:val="004976C7"/>
    <w:rsid w:val="00497AFF"/>
    <w:rsid w:val="004A7E27"/>
    <w:rsid w:val="004B02F2"/>
    <w:rsid w:val="004B6EF6"/>
    <w:rsid w:val="004C126D"/>
    <w:rsid w:val="004C2C74"/>
    <w:rsid w:val="004C439A"/>
    <w:rsid w:val="004C56A8"/>
    <w:rsid w:val="004C689C"/>
    <w:rsid w:val="004D2B6B"/>
    <w:rsid w:val="004D2D2A"/>
    <w:rsid w:val="004E2CFE"/>
    <w:rsid w:val="004E344E"/>
    <w:rsid w:val="004E4E80"/>
    <w:rsid w:val="004E53DD"/>
    <w:rsid w:val="004E5C17"/>
    <w:rsid w:val="004F0ECB"/>
    <w:rsid w:val="004F50D0"/>
    <w:rsid w:val="004F55AB"/>
    <w:rsid w:val="004F5803"/>
    <w:rsid w:val="004F64A1"/>
    <w:rsid w:val="00500777"/>
    <w:rsid w:val="00501D92"/>
    <w:rsid w:val="00503B75"/>
    <w:rsid w:val="005066A6"/>
    <w:rsid w:val="00511DB9"/>
    <w:rsid w:val="00513688"/>
    <w:rsid w:val="00513763"/>
    <w:rsid w:val="00524F71"/>
    <w:rsid w:val="005272CD"/>
    <w:rsid w:val="00527A49"/>
    <w:rsid w:val="005310A6"/>
    <w:rsid w:val="0053595B"/>
    <w:rsid w:val="00537901"/>
    <w:rsid w:val="00540DE6"/>
    <w:rsid w:val="00542A91"/>
    <w:rsid w:val="0054387B"/>
    <w:rsid w:val="005465B6"/>
    <w:rsid w:val="00552EA5"/>
    <w:rsid w:val="00554065"/>
    <w:rsid w:val="00555D8D"/>
    <w:rsid w:val="00560EAF"/>
    <w:rsid w:val="00572059"/>
    <w:rsid w:val="00573E83"/>
    <w:rsid w:val="005775FA"/>
    <w:rsid w:val="00583550"/>
    <w:rsid w:val="00591622"/>
    <w:rsid w:val="005947ED"/>
    <w:rsid w:val="00596277"/>
    <w:rsid w:val="005B6C71"/>
    <w:rsid w:val="005C208D"/>
    <w:rsid w:val="005C50DF"/>
    <w:rsid w:val="005C6300"/>
    <w:rsid w:val="005D0C97"/>
    <w:rsid w:val="005D13A8"/>
    <w:rsid w:val="005D2052"/>
    <w:rsid w:val="005D22EB"/>
    <w:rsid w:val="005D3D05"/>
    <w:rsid w:val="005E1666"/>
    <w:rsid w:val="005E1A2D"/>
    <w:rsid w:val="005E31BD"/>
    <w:rsid w:val="005E3ECA"/>
    <w:rsid w:val="005E4AD5"/>
    <w:rsid w:val="005E5183"/>
    <w:rsid w:val="005F4FA6"/>
    <w:rsid w:val="005F6FF9"/>
    <w:rsid w:val="005F71F6"/>
    <w:rsid w:val="00600E89"/>
    <w:rsid w:val="00603880"/>
    <w:rsid w:val="00603FEA"/>
    <w:rsid w:val="00604956"/>
    <w:rsid w:val="006108E0"/>
    <w:rsid w:val="00612615"/>
    <w:rsid w:val="00612ABC"/>
    <w:rsid w:val="00620EA2"/>
    <w:rsid w:val="00625E1C"/>
    <w:rsid w:val="00632039"/>
    <w:rsid w:val="00641758"/>
    <w:rsid w:val="00643676"/>
    <w:rsid w:val="006436D6"/>
    <w:rsid w:val="006458E3"/>
    <w:rsid w:val="006464AD"/>
    <w:rsid w:val="00647545"/>
    <w:rsid w:val="00647AB1"/>
    <w:rsid w:val="00655059"/>
    <w:rsid w:val="00660553"/>
    <w:rsid w:val="00663245"/>
    <w:rsid w:val="00663DE1"/>
    <w:rsid w:val="00664C86"/>
    <w:rsid w:val="00664F5A"/>
    <w:rsid w:val="00665902"/>
    <w:rsid w:val="006664D5"/>
    <w:rsid w:val="00667384"/>
    <w:rsid w:val="00667447"/>
    <w:rsid w:val="0067267E"/>
    <w:rsid w:val="00675178"/>
    <w:rsid w:val="006761C2"/>
    <w:rsid w:val="006771FF"/>
    <w:rsid w:val="00682943"/>
    <w:rsid w:val="00683D3B"/>
    <w:rsid w:val="006876F4"/>
    <w:rsid w:val="00692A30"/>
    <w:rsid w:val="00693EF1"/>
    <w:rsid w:val="006955BF"/>
    <w:rsid w:val="00697DB7"/>
    <w:rsid w:val="006A307A"/>
    <w:rsid w:val="006B0B91"/>
    <w:rsid w:val="006B24E7"/>
    <w:rsid w:val="006B554E"/>
    <w:rsid w:val="006B5B87"/>
    <w:rsid w:val="006C21A8"/>
    <w:rsid w:val="006C483B"/>
    <w:rsid w:val="006C49D3"/>
    <w:rsid w:val="006C742E"/>
    <w:rsid w:val="006D78DE"/>
    <w:rsid w:val="006E2B12"/>
    <w:rsid w:val="006E3BE7"/>
    <w:rsid w:val="006E5986"/>
    <w:rsid w:val="006E5F79"/>
    <w:rsid w:val="006E6073"/>
    <w:rsid w:val="006E7D51"/>
    <w:rsid w:val="006F01F5"/>
    <w:rsid w:val="006F05AC"/>
    <w:rsid w:val="006F1E99"/>
    <w:rsid w:val="006F26FB"/>
    <w:rsid w:val="006F2A9A"/>
    <w:rsid w:val="006F33DF"/>
    <w:rsid w:val="006F7150"/>
    <w:rsid w:val="00710788"/>
    <w:rsid w:val="00710F9C"/>
    <w:rsid w:val="00711860"/>
    <w:rsid w:val="00714D1B"/>
    <w:rsid w:val="00717029"/>
    <w:rsid w:val="00720312"/>
    <w:rsid w:val="0072202C"/>
    <w:rsid w:val="0072288E"/>
    <w:rsid w:val="007229F0"/>
    <w:rsid w:val="00730BF8"/>
    <w:rsid w:val="007313AE"/>
    <w:rsid w:val="00735E33"/>
    <w:rsid w:val="0073667E"/>
    <w:rsid w:val="00740012"/>
    <w:rsid w:val="00741F34"/>
    <w:rsid w:val="00745B3A"/>
    <w:rsid w:val="0074780F"/>
    <w:rsid w:val="007502BB"/>
    <w:rsid w:val="007520B7"/>
    <w:rsid w:val="00752D2E"/>
    <w:rsid w:val="007539EE"/>
    <w:rsid w:val="00756CFF"/>
    <w:rsid w:val="00761A28"/>
    <w:rsid w:val="00762F4A"/>
    <w:rsid w:val="007633CA"/>
    <w:rsid w:val="007663F0"/>
    <w:rsid w:val="00767B4B"/>
    <w:rsid w:val="00774DB3"/>
    <w:rsid w:val="00777511"/>
    <w:rsid w:val="00782BD3"/>
    <w:rsid w:val="00783A2D"/>
    <w:rsid w:val="00783C30"/>
    <w:rsid w:val="00786516"/>
    <w:rsid w:val="0078701B"/>
    <w:rsid w:val="0079003D"/>
    <w:rsid w:val="00790F54"/>
    <w:rsid w:val="00792C55"/>
    <w:rsid w:val="0079349C"/>
    <w:rsid w:val="007957D3"/>
    <w:rsid w:val="007963A4"/>
    <w:rsid w:val="007A3942"/>
    <w:rsid w:val="007A41FE"/>
    <w:rsid w:val="007A4FF1"/>
    <w:rsid w:val="007A5C4C"/>
    <w:rsid w:val="007A6008"/>
    <w:rsid w:val="007A66E8"/>
    <w:rsid w:val="007A67A8"/>
    <w:rsid w:val="007A6D6E"/>
    <w:rsid w:val="007B5B14"/>
    <w:rsid w:val="007C00B5"/>
    <w:rsid w:val="007C271F"/>
    <w:rsid w:val="007D4695"/>
    <w:rsid w:val="007D5F69"/>
    <w:rsid w:val="007D7D2D"/>
    <w:rsid w:val="007E24A8"/>
    <w:rsid w:val="007E6BBB"/>
    <w:rsid w:val="007F0CC4"/>
    <w:rsid w:val="007F261A"/>
    <w:rsid w:val="007F4389"/>
    <w:rsid w:val="00805841"/>
    <w:rsid w:val="008067E9"/>
    <w:rsid w:val="00810BDB"/>
    <w:rsid w:val="008138C2"/>
    <w:rsid w:val="008207FC"/>
    <w:rsid w:val="00824A1A"/>
    <w:rsid w:val="0082723D"/>
    <w:rsid w:val="00830FB1"/>
    <w:rsid w:val="008318D4"/>
    <w:rsid w:val="00832C2D"/>
    <w:rsid w:val="00835C56"/>
    <w:rsid w:val="00835F60"/>
    <w:rsid w:val="0083628C"/>
    <w:rsid w:val="00840509"/>
    <w:rsid w:val="00840E2A"/>
    <w:rsid w:val="00841B85"/>
    <w:rsid w:val="0084484A"/>
    <w:rsid w:val="00845EAD"/>
    <w:rsid w:val="008509BD"/>
    <w:rsid w:val="008518FE"/>
    <w:rsid w:val="00856079"/>
    <w:rsid w:val="008631C4"/>
    <w:rsid w:val="00863246"/>
    <w:rsid w:val="008647E2"/>
    <w:rsid w:val="00865A3B"/>
    <w:rsid w:val="00867C1C"/>
    <w:rsid w:val="00871807"/>
    <w:rsid w:val="0087458E"/>
    <w:rsid w:val="00874F4C"/>
    <w:rsid w:val="00877005"/>
    <w:rsid w:val="0088112D"/>
    <w:rsid w:val="0088245D"/>
    <w:rsid w:val="00886D81"/>
    <w:rsid w:val="00893B6A"/>
    <w:rsid w:val="008A0C31"/>
    <w:rsid w:val="008A1EE5"/>
    <w:rsid w:val="008A2F62"/>
    <w:rsid w:val="008B10B5"/>
    <w:rsid w:val="008B3EC8"/>
    <w:rsid w:val="008B6C92"/>
    <w:rsid w:val="008B7CE7"/>
    <w:rsid w:val="008C3A26"/>
    <w:rsid w:val="008C42A4"/>
    <w:rsid w:val="008C53F1"/>
    <w:rsid w:val="008C5FF0"/>
    <w:rsid w:val="008D1AF9"/>
    <w:rsid w:val="008D2226"/>
    <w:rsid w:val="008E4405"/>
    <w:rsid w:val="008E4839"/>
    <w:rsid w:val="008E5D81"/>
    <w:rsid w:val="008E656C"/>
    <w:rsid w:val="008E704C"/>
    <w:rsid w:val="008F39A1"/>
    <w:rsid w:val="00902772"/>
    <w:rsid w:val="00903665"/>
    <w:rsid w:val="0090419E"/>
    <w:rsid w:val="00904C28"/>
    <w:rsid w:val="009053AC"/>
    <w:rsid w:val="00910979"/>
    <w:rsid w:val="00913FA1"/>
    <w:rsid w:val="00916263"/>
    <w:rsid w:val="00916B1E"/>
    <w:rsid w:val="00916CF7"/>
    <w:rsid w:val="00916F72"/>
    <w:rsid w:val="00917EB0"/>
    <w:rsid w:val="009200D9"/>
    <w:rsid w:val="00924290"/>
    <w:rsid w:val="0093136C"/>
    <w:rsid w:val="009361E0"/>
    <w:rsid w:val="00940851"/>
    <w:rsid w:val="0094353A"/>
    <w:rsid w:val="00950E79"/>
    <w:rsid w:val="00953DC8"/>
    <w:rsid w:val="009541DC"/>
    <w:rsid w:val="00954DED"/>
    <w:rsid w:val="00957FBC"/>
    <w:rsid w:val="0096288A"/>
    <w:rsid w:val="0096360D"/>
    <w:rsid w:val="00963665"/>
    <w:rsid w:val="009647CE"/>
    <w:rsid w:val="00964DCE"/>
    <w:rsid w:val="009661C0"/>
    <w:rsid w:val="009713B5"/>
    <w:rsid w:val="0097695A"/>
    <w:rsid w:val="00982515"/>
    <w:rsid w:val="00985C6F"/>
    <w:rsid w:val="00987DA5"/>
    <w:rsid w:val="00996119"/>
    <w:rsid w:val="009A10CD"/>
    <w:rsid w:val="009B1BE6"/>
    <w:rsid w:val="009B2215"/>
    <w:rsid w:val="009B3F2A"/>
    <w:rsid w:val="009B493D"/>
    <w:rsid w:val="009B6017"/>
    <w:rsid w:val="009B77A4"/>
    <w:rsid w:val="009B7B34"/>
    <w:rsid w:val="009C02EB"/>
    <w:rsid w:val="009C263C"/>
    <w:rsid w:val="009C760C"/>
    <w:rsid w:val="009D22C9"/>
    <w:rsid w:val="009D59B1"/>
    <w:rsid w:val="009D6E38"/>
    <w:rsid w:val="009D7798"/>
    <w:rsid w:val="009D7F30"/>
    <w:rsid w:val="009E272C"/>
    <w:rsid w:val="009E7949"/>
    <w:rsid w:val="009F1173"/>
    <w:rsid w:val="009F2CE7"/>
    <w:rsid w:val="009F6300"/>
    <w:rsid w:val="00A03DAA"/>
    <w:rsid w:val="00A04E16"/>
    <w:rsid w:val="00A053A7"/>
    <w:rsid w:val="00A07072"/>
    <w:rsid w:val="00A1398C"/>
    <w:rsid w:val="00A16209"/>
    <w:rsid w:val="00A179D8"/>
    <w:rsid w:val="00A17F78"/>
    <w:rsid w:val="00A217B1"/>
    <w:rsid w:val="00A226D6"/>
    <w:rsid w:val="00A2617B"/>
    <w:rsid w:val="00A326C7"/>
    <w:rsid w:val="00A34E4F"/>
    <w:rsid w:val="00A36005"/>
    <w:rsid w:val="00A36F6E"/>
    <w:rsid w:val="00A40FDD"/>
    <w:rsid w:val="00A43B1A"/>
    <w:rsid w:val="00A476E2"/>
    <w:rsid w:val="00A52E27"/>
    <w:rsid w:val="00A66B88"/>
    <w:rsid w:val="00A7059A"/>
    <w:rsid w:val="00A72258"/>
    <w:rsid w:val="00A73CCB"/>
    <w:rsid w:val="00A754BF"/>
    <w:rsid w:val="00A80900"/>
    <w:rsid w:val="00A9256F"/>
    <w:rsid w:val="00A94073"/>
    <w:rsid w:val="00A95724"/>
    <w:rsid w:val="00A97609"/>
    <w:rsid w:val="00A97CC1"/>
    <w:rsid w:val="00AA0964"/>
    <w:rsid w:val="00AA0D73"/>
    <w:rsid w:val="00AB7956"/>
    <w:rsid w:val="00AB7F1E"/>
    <w:rsid w:val="00AC0253"/>
    <w:rsid w:val="00AC5BD9"/>
    <w:rsid w:val="00AC760B"/>
    <w:rsid w:val="00AD0E90"/>
    <w:rsid w:val="00AD267E"/>
    <w:rsid w:val="00AD5950"/>
    <w:rsid w:val="00AE7B09"/>
    <w:rsid w:val="00AF4B02"/>
    <w:rsid w:val="00AF5C38"/>
    <w:rsid w:val="00B01D6A"/>
    <w:rsid w:val="00B0308C"/>
    <w:rsid w:val="00B10E20"/>
    <w:rsid w:val="00B119E0"/>
    <w:rsid w:val="00B13755"/>
    <w:rsid w:val="00B14EDA"/>
    <w:rsid w:val="00B15B26"/>
    <w:rsid w:val="00B15EA7"/>
    <w:rsid w:val="00B218BF"/>
    <w:rsid w:val="00B27FD9"/>
    <w:rsid w:val="00B30A58"/>
    <w:rsid w:val="00B33E1B"/>
    <w:rsid w:val="00B35FBA"/>
    <w:rsid w:val="00B35FD4"/>
    <w:rsid w:val="00B40022"/>
    <w:rsid w:val="00B40969"/>
    <w:rsid w:val="00B4789A"/>
    <w:rsid w:val="00B51B53"/>
    <w:rsid w:val="00B527C6"/>
    <w:rsid w:val="00B63983"/>
    <w:rsid w:val="00B66459"/>
    <w:rsid w:val="00B7027A"/>
    <w:rsid w:val="00B719FD"/>
    <w:rsid w:val="00B71B7E"/>
    <w:rsid w:val="00B73D60"/>
    <w:rsid w:val="00B7675B"/>
    <w:rsid w:val="00B80918"/>
    <w:rsid w:val="00B81709"/>
    <w:rsid w:val="00B82529"/>
    <w:rsid w:val="00B91227"/>
    <w:rsid w:val="00B94D4D"/>
    <w:rsid w:val="00B9576A"/>
    <w:rsid w:val="00B959E0"/>
    <w:rsid w:val="00B9605D"/>
    <w:rsid w:val="00B96F7F"/>
    <w:rsid w:val="00B97D08"/>
    <w:rsid w:val="00BA2FE9"/>
    <w:rsid w:val="00BB2C8E"/>
    <w:rsid w:val="00BB3836"/>
    <w:rsid w:val="00BC6F6D"/>
    <w:rsid w:val="00BC79AA"/>
    <w:rsid w:val="00BC7BE2"/>
    <w:rsid w:val="00BD01DA"/>
    <w:rsid w:val="00BD1DC0"/>
    <w:rsid w:val="00BD70E0"/>
    <w:rsid w:val="00BE1D4B"/>
    <w:rsid w:val="00BE2BF0"/>
    <w:rsid w:val="00BE491C"/>
    <w:rsid w:val="00BE4F1C"/>
    <w:rsid w:val="00BE6F0A"/>
    <w:rsid w:val="00BE7278"/>
    <w:rsid w:val="00BE7B71"/>
    <w:rsid w:val="00BF2E9E"/>
    <w:rsid w:val="00BF4819"/>
    <w:rsid w:val="00BF5021"/>
    <w:rsid w:val="00BF6960"/>
    <w:rsid w:val="00C00573"/>
    <w:rsid w:val="00C01D6D"/>
    <w:rsid w:val="00C0394B"/>
    <w:rsid w:val="00C101D8"/>
    <w:rsid w:val="00C15724"/>
    <w:rsid w:val="00C16678"/>
    <w:rsid w:val="00C21599"/>
    <w:rsid w:val="00C244B2"/>
    <w:rsid w:val="00C30868"/>
    <w:rsid w:val="00C32403"/>
    <w:rsid w:val="00C34D32"/>
    <w:rsid w:val="00C41372"/>
    <w:rsid w:val="00C41FD7"/>
    <w:rsid w:val="00C6082A"/>
    <w:rsid w:val="00C61509"/>
    <w:rsid w:val="00C62C53"/>
    <w:rsid w:val="00C64768"/>
    <w:rsid w:val="00C71158"/>
    <w:rsid w:val="00C71A97"/>
    <w:rsid w:val="00C736F6"/>
    <w:rsid w:val="00C81FCB"/>
    <w:rsid w:val="00C829CC"/>
    <w:rsid w:val="00C91212"/>
    <w:rsid w:val="00C92BC1"/>
    <w:rsid w:val="00C96435"/>
    <w:rsid w:val="00CA25E8"/>
    <w:rsid w:val="00CA2731"/>
    <w:rsid w:val="00CA4BB0"/>
    <w:rsid w:val="00CA7053"/>
    <w:rsid w:val="00CB4172"/>
    <w:rsid w:val="00CB57AB"/>
    <w:rsid w:val="00CB6D1B"/>
    <w:rsid w:val="00CB77B1"/>
    <w:rsid w:val="00CC2A43"/>
    <w:rsid w:val="00CC36AC"/>
    <w:rsid w:val="00CC5AAE"/>
    <w:rsid w:val="00CC7CB2"/>
    <w:rsid w:val="00CD017B"/>
    <w:rsid w:val="00CD0859"/>
    <w:rsid w:val="00CD2493"/>
    <w:rsid w:val="00CD55EC"/>
    <w:rsid w:val="00CE36B7"/>
    <w:rsid w:val="00CE41F5"/>
    <w:rsid w:val="00CE4391"/>
    <w:rsid w:val="00CF0D9C"/>
    <w:rsid w:val="00CF2FB6"/>
    <w:rsid w:val="00CF4250"/>
    <w:rsid w:val="00CF49DA"/>
    <w:rsid w:val="00CF5AE8"/>
    <w:rsid w:val="00CF67B5"/>
    <w:rsid w:val="00CF67E8"/>
    <w:rsid w:val="00CF7C5F"/>
    <w:rsid w:val="00D02236"/>
    <w:rsid w:val="00D046D2"/>
    <w:rsid w:val="00D06468"/>
    <w:rsid w:val="00D1017D"/>
    <w:rsid w:val="00D11282"/>
    <w:rsid w:val="00D11D55"/>
    <w:rsid w:val="00D14569"/>
    <w:rsid w:val="00D15B0F"/>
    <w:rsid w:val="00D22AEF"/>
    <w:rsid w:val="00D25096"/>
    <w:rsid w:val="00D2614B"/>
    <w:rsid w:val="00D3035E"/>
    <w:rsid w:val="00D30B4B"/>
    <w:rsid w:val="00D31FD3"/>
    <w:rsid w:val="00D3496C"/>
    <w:rsid w:val="00D3643E"/>
    <w:rsid w:val="00D40841"/>
    <w:rsid w:val="00D411DB"/>
    <w:rsid w:val="00D452EA"/>
    <w:rsid w:val="00D53BE1"/>
    <w:rsid w:val="00D57ABE"/>
    <w:rsid w:val="00D60D0A"/>
    <w:rsid w:val="00D63034"/>
    <w:rsid w:val="00D664DF"/>
    <w:rsid w:val="00D72C48"/>
    <w:rsid w:val="00D7572D"/>
    <w:rsid w:val="00D76EC7"/>
    <w:rsid w:val="00D806F7"/>
    <w:rsid w:val="00D84E57"/>
    <w:rsid w:val="00D90E8B"/>
    <w:rsid w:val="00D964B6"/>
    <w:rsid w:val="00DA06CF"/>
    <w:rsid w:val="00DA2107"/>
    <w:rsid w:val="00DA482F"/>
    <w:rsid w:val="00DA4F8D"/>
    <w:rsid w:val="00DA567B"/>
    <w:rsid w:val="00DA700A"/>
    <w:rsid w:val="00DB10DE"/>
    <w:rsid w:val="00DC076C"/>
    <w:rsid w:val="00DC0BCD"/>
    <w:rsid w:val="00DC63EA"/>
    <w:rsid w:val="00DC7755"/>
    <w:rsid w:val="00DD0776"/>
    <w:rsid w:val="00DD2D10"/>
    <w:rsid w:val="00DD493A"/>
    <w:rsid w:val="00DE0BA7"/>
    <w:rsid w:val="00DE6E8C"/>
    <w:rsid w:val="00DF1B60"/>
    <w:rsid w:val="00DF64FE"/>
    <w:rsid w:val="00DF70DD"/>
    <w:rsid w:val="00E05CBD"/>
    <w:rsid w:val="00E0685D"/>
    <w:rsid w:val="00E133C1"/>
    <w:rsid w:val="00E13A22"/>
    <w:rsid w:val="00E22023"/>
    <w:rsid w:val="00E24F4A"/>
    <w:rsid w:val="00E24F6C"/>
    <w:rsid w:val="00E25FBD"/>
    <w:rsid w:val="00E26554"/>
    <w:rsid w:val="00E27C54"/>
    <w:rsid w:val="00E33DFC"/>
    <w:rsid w:val="00E36DC0"/>
    <w:rsid w:val="00E37A28"/>
    <w:rsid w:val="00E40C11"/>
    <w:rsid w:val="00E504F9"/>
    <w:rsid w:val="00E5307C"/>
    <w:rsid w:val="00E5314E"/>
    <w:rsid w:val="00E538A2"/>
    <w:rsid w:val="00E61DCA"/>
    <w:rsid w:val="00E65FF2"/>
    <w:rsid w:val="00E67113"/>
    <w:rsid w:val="00E67390"/>
    <w:rsid w:val="00E71726"/>
    <w:rsid w:val="00E732A5"/>
    <w:rsid w:val="00E757CD"/>
    <w:rsid w:val="00E76293"/>
    <w:rsid w:val="00E773EF"/>
    <w:rsid w:val="00E824E1"/>
    <w:rsid w:val="00E841D0"/>
    <w:rsid w:val="00E84CB6"/>
    <w:rsid w:val="00E8759A"/>
    <w:rsid w:val="00E915A7"/>
    <w:rsid w:val="00E934B9"/>
    <w:rsid w:val="00E9363B"/>
    <w:rsid w:val="00E966EE"/>
    <w:rsid w:val="00EA0D8E"/>
    <w:rsid w:val="00EA4ECB"/>
    <w:rsid w:val="00EA78F0"/>
    <w:rsid w:val="00EB0365"/>
    <w:rsid w:val="00EB1D83"/>
    <w:rsid w:val="00EB210F"/>
    <w:rsid w:val="00EB3AB1"/>
    <w:rsid w:val="00EC2261"/>
    <w:rsid w:val="00ED09EC"/>
    <w:rsid w:val="00ED2B43"/>
    <w:rsid w:val="00EE161E"/>
    <w:rsid w:val="00EE26EB"/>
    <w:rsid w:val="00EE2B73"/>
    <w:rsid w:val="00EF0326"/>
    <w:rsid w:val="00EF0F0F"/>
    <w:rsid w:val="00EF712F"/>
    <w:rsid w:val="00F0048F"/>
    <w:rsid w:val="00F01F55"/>
    <w:rsid w:val="00F141A9"/>
    <w:rsid w:val="00F1772D"/>
    <w:rsid w:val="00F22C55"/>
    <w:rsid w:val="00F270CF"/>
    <w:rsid w:val="00F301E8"/>
    <w:rsid w:val="00F323E3"/>
    <w:rsid w:val="00F33FD6"/>
    <w:rsid w:val="00F34D29"/>
    <w:rsid w:val="00F35C2C"/>
    <w:rsid w:val="00F44F0C"/>
    <w:rsid w:val="00F45974"/>
    <w:rsid w:val="00F45EFD"/>
    <w:rsid w:val="00F51B8A"/>
    <w:rsid w:val="00F53A4B"/>
    <w:rsid w:val="00F64D16"/>
    <w:rsid w:val="00F65B50"/>
    <w:rsid w:val="00F66697"/>
    <w:rsid w:val="00F66D00"/>
    <w:rsid w:val="00F67B3D"/>
    <w:rsid w:val="00F733D2"/>
    <w:rsid w:val="00F867C5"/>
    <w:rsid w:val="00F87CF1"/>
    <w:rsid w:val="00F906DF"/>
    <w:rsid w:val="00F934DE"/>
    <w:rsid w:val="00F941F7"/>
    <w:rsid w:val="00F95832"/>
    <w:rsid w:val="00F9693E"/>
    <w:rsid w:val="00F973AF"/>
    <w:rsid w:val="00F9745A"/>
    <w:rsid w:val="00FA5CE9"/>
    <w:rsid w:val="00FA6695"/>
    <w:rsid w:val="00FA794C"/>
    <w:rsid w:val="00FB1C77"/>
    <w:rsid w:val="00FB3E54"/>
    <w:rsid w:val="00FB3F6A"/>
    <w:rsid w:val="00FB6F1F"/>
    <w:rsid w:val="00FC749F"/>
    <w:rsid w:val="00FD2905"/>
    <w:rsid w:val="00FE1CEA"/>
    <w:rsid w:val="00FE3C8E"/>
    <w:rsid w:val="00FE3E86"/>
    <w:rsid w:val="00FE4490"/>
    <w:rsid w:val="00FE51F2"/>
    <w:rsid w:val="00FE52AD"/>
    <w:rsid w:val="00FE5547"/>
    <w:rsid w:val="00FE5CB2"/>
    <w:rsid w:val="00FF15E9"/>
    <w:rsid w:val="00FF6973"/>
    <w:rsid w:val="1DD13355"/>
    <w:rsid w:val="1F246194"/>
    <w:rsid w:val="30D863E3"/>
    <w:rsid w:val="35844C1F"/>
    <w:rsid w:val="378A66D0"/>
    <w:rsid w:val="3D9835AF"/>
    <w:rsid w:val="63BE4DA7"/>
    <w:rsid w:val="6CB6511A"/>
    <w:rsid w:val="72A65BB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iPriority="22" w:name="Strong"/>
    <w:lsdException w:qFormat="1" w:uiPriority="2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2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  <w:lang w:val="zh-CN" w:eastAsia="zh-CN"/>
    </w:rPr>
  </w:style>
  <w:style w:type="paragraph" w:styleId="3">
    <w:name w:val="heading 2"/>
    <w:basedOn w:val="1"/>
    <w:next w:val="1"/>
    <w:link w:val="27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  <w:lang w:val="zh-CN" w:eastAsia="zh-CN"/>
    </w:rPr>
  </w:style>
  <w:style w:type="paragraph" w:styleId="4">
    <w:name w:val="heading 3"/>
    <w:basedOn w:val="1"/>
    <w:next w:val="1"/>
    <w:link w:val="23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kern w:val="0"/>
      <w:sz w:val="32"/>
      <w:szCs w:val="32"/>
      <w:lang w:val="zh-CN" w:eastAsia="zh-CN"/>
    </w:rPr>
  </w:style>
  <w:style w:type="paragraph" w:styleId="5">
    <w:name w:val="heading 4"/>
    <w:basedOn w:val="1"/>
    <w:next w:val="1"/>
    <w:link w:val="33"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kern w:val="0"/>
      <w:sz w:val="28"/>
      <w:szCs w:val="28"/>
      <w:lang w:val="zh-CN" w:eastAsia="zh-CN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Document Map"/>
    <w:basedOn w:val="1"/>
    <w:qFormat/>
    <w:uiPriority w:val="0"/>
    <w:pPr>
      <w:shd w:val="clear" w:color="auto" w:fill="000080"/>
    </w:pPr>
  </w:style>
  <w:style w:type="paragraph" w:styleId="7">
    <w:name w:val="annotation text"/>
    <w:basedOn w:val="1"/>
    <w:qFormat/>
    <w:uiPriority w:val="0"/>
    <w:pPr>
      <w:jc w:val="left"/>
    </w:pPr>
  </w:style>
  <w:style w:type="paragraph" w:styleId="8">
    <w:name w:val="Date"/>
    <w:basedOn w:val="1"/>
    <w:next w:val="1"/>
    <w:link w:val="48"/>
    <w:qFormat/>
    <w:uiPriority w:val="0"/>
    <w:rPr>
      <w:rFonts w:ascii="宋体"/>
      <w:sz w:val="32"/>
      <w:lang w:val="zh-CN" w:eastAsia="zh-CN"/>
    </w:rPr>
  </w:style>
  <w:style w:type="paragraph" w:styleId="9">
    <w:name w:val="Balloon Text"/>
    <w:basedOn w:val="1"/>
    <w:qFormat/>
    <w:uiPriority w:val="0"/>
    <w:rPr>
      <w:sz w:val="18"/>
      <w:szCs w:val="18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Subtitle"/>
    <w:basedOn w:val="3"/>
    <w:next w:val="4"/>
    <w:link w:val="25"/>
    <w:qFormat/>
    <w:uiPriority w:val="0"/>
    <w:pPr>
      <w:spacing w:before="240" w:after="60" w:line="312" w:lineRule="auto"/>
      <w:jc w:val="left"/>
    </w:pPr>
    <w:rPr>
      <w:bCs w:val="0"/>
      <w:kern w:val="28"/>
      <w:sz w:val="24"/>
    </w:rPr>
  </w:style>
  <w:style w:type="paragraph" w:styleId="13">
    <w:name w:val="footnote text"/>
    <w:basedOn w:val="1"/>
    <w:link w:val="47"/>
    <w:qFormat/>
    <w:uiPriority w:val="0"/>
    <w:pPr>
      <w:snapToGrid w:val="0"/>
      <w:jc w:val="left"/>
    </w:pPr>
    <w:rPr>
      <w:sz w:val="18"/>
      <w:szCs w:val="18"/>
      <w:lang w:val="zh-CN" w:eastAsia="zh-CN"/>
    </w:rPr>
  </w:style>
  <w:style w:type="paragraph" w:styleId="1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15">
    <w:name w:val="Title"/>
    <w:basedOn w:val="2"/>
    <w:next w:val="3"/>
    <w:link w:val="28"/>
    <w:qFormat/>
    <w:uiPriority w:val="10"/>
    <w:pPr>
      <w:keepNext w:val="0"/>
      <w:keepLines w:val="0"/>
      <w:spacing w:before="240" w:after="60" w:line="240" w:lineRule="auto"/>
      <w:jc w:val="center"/>
    </w:pPr>
    <w:rPr>
      <w:rFonts w:ascii="Cambria" w:hAnsi="Cambria"/>
      <w:kern w:val="0"/>
      <w:sz w:val="32"/>
      <w:szCs w:val="32"/>
    </w:rPr>
  </w:style>
  <w:style w:type="paragraph" w:styleId="16">
    <w:name w:val="annotation subject"/>
    <w:basedOn w:val="7"/>
    <w:next w:val="7"/>
    <w:qFormat/>
    <w:uiPriority w:val="0"/>
    <w:rPr>
      <w:b/>
      <w:bCs/>
    </w:rPr>
  </w:style>
  <w:style w:type="table" w:styleId="18">
    <w:name w:val="Table Grid"/>
    <w:basedOn w:val="1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qFormat/>
    <w:uiPriority w:val="0"/>
  </w:style>
  <w:style w:type="character" w:styleId="21">
    <w:name w:val="annotation reference"/>
    <w:qFormat/>
    <w:uiPriority w:val="0"/>
    <w:rPr>
      <w:sz w:val="21"/>
      <w:szCs w:val="21"/>
    </w:rPr>
  </w:style>
  <w:style w:type="character" w:styleId="22">
    <w:name w:val="footnote reference"/>
    <w:qFormat/>
    <w:uiPriority w:val="0"/>
    <w:rPr>
      <w:vertAlign w:val="superscript"/>
    </w:rPr>
  </w:style>
  <w:style w:type="character" w:customStyle="1" w:styleId="23">
    <w:name w:val="标题 3 Char"/>
    <w:link w:val="4"/>
    <w:qFormat/>
    <w:uiPriority w:val="9"/>
    <w:rPr>
      <w:b/>
      <w:bCs/>
      <w:sz w:val="32"/>
      <w:szCs w:val="32"/>
    </w:rPr>
  </w:style>
  <w:style w:type="character" w:customStyle="1" w:styleId="24">
    <w:name w:val="CODE"/>
    <w:qFormat/>
    <w:uiPriority w:val="0"/>
    <w:rPr>
      <w:rFonts w:ascii="Courier New" w:hAnsi="Courier New"/>
      <w:spacing w:val="-10"/>
      <w:sz w:val="20"/>
      <w:lang w:val="en-GB" w:eastAsia="zh-CN"/>
    </w:rPr>
  </w:style>
  <w:style w:type="character" w:customStyle="1" w:styleId="25">
    <w:name w:val="副标题 Char"/>
    <w:link w:val="12"/>
    <w:qFormat/>
    <w:uiPriority w:val="0"/>
    <w:rPr>
      <w:rFonts w:ascii="Cambria" w:hAnsi="Cambria" w:eastAsia="宋体" w:cs="Times New Roman"/>
      <w:b/>
      <w:kern w:val="28"/>
      <w:sz w:val="24"/>
      <w:szCs w:val="32"/>
    </w:rPr>
  </w:style>
  <w:style w:type="character" w:customStyle="1" w:styleId="26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27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8">
    <w:name w:val="标题 Char"/>
    <w:link w:val="15"/>
    <w:qFormat/>
    <w:uiPriority w:val="10"/>
    <w:rPr>
      <w:rFonts w:ascii="Cambria" w:hAnsi="Cambria" w:cs="Times New Roman"/>
      <w:b/>
      <w:bCs/>
      <w:sz w:val="32"/>
      <w:szCs w:val="32"/>
    </w:rPr>
  </w:style>
  <w:style w:type="paragraph" w:customStyle="1" w:styleId="29">
    <w:name w:val="xl33"/>
    <w:basedOn w:val="1"/>
    <w:qFormat/>
    <w:uiPriority w:val="0"/>
    <w:pPr>
      <w:widowControl/>
      <w:pBdr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Arial Unicode MS" w:hAnsi="Arial Unicode MS" w:eastAsia="Arial Unicode MS" w:cs="Arial Unicode MS"/>
      <w:kern w:val="0"/>
      <w:sz w:val="24"/>
    </w:rPr>
  </w:style>
  <w:style w:type="paragraph" w:customStyle="1" w:styleId="30">
    <w:name w:val="Char Char Char Char Char Char1 Char Char Char"/>
    <w:basedOn w:val="1"/>
    <w:qFormat/>
    <w:uiPriority w:val="0"/>
    <w:pPr>
      <w:autoSpaceDE w:val="0"/>
      <w:autoSpaceDN w:val="0"/>
      <w:adjustRightInd w:val="0"/>
      <w:jc w:val="left"/>
      <w:textAlignment w:val="baseline"/>
    </w:pPr>
    <w:rPr>
      <w:rFonts w:ascii="宋体"/>
      <w:kern w:val="0"/>
      <w:sz w:val="34"/>
    </w:rPr>
  </w:style>
  <w:style w:type="paragraph" w:customStyle="1" w:styleId="31">
    <w:name w:val="次标题"/>
    <w:basedOn w:val="4"/>
    <w:next w:val="1"/>
    <w:qFormat/>
    <w:uiPriority w:val="0"/>
    <w:pPr>
      <w:jc w:val="left"/>
    </w:pPr>
    <w:rPr>
      <w:rFonts w:ascii="宋体" w:hAnsi="宋体"/>
      <w:sz w:val="24"/>
      <w:szCs w:val="24"/>
    </w:rPr>
  </w:style>
  <w:style w:type="paragraph" w:customStyle="1" w:styleId="32">
    <w:name w:val="Char"/>
    <w:basedOn w:val="1"/>
    <w:qFormat/>
    <w:uiPriority w:val="0"/>
  </w:style>
  <w:style w:type="character" w:customStyle="1" w:styleId="33">
    <w:name w:val="标题 4 Char"/>
    <w:link w:val="5"/>
    <w:semiHidden/>
    <w:qFormat/>
    <w:uiPriority w:val="0"/>
    <w:rPr>
      <w:rFonts w:ascii="Cambria" w:hAnsi="Cambria" w:eastAsia="宋体" w:cs="Times New Roman"/>
      <w:b/>
      <w:bCs/>
      <w:sz w:val="28"/>
      <w:szCs w:val="28"/>
    </w:rPr>
  </w:style>
  <w:style w:type="paragraph" w:customStyle="1" w:styleId="34">
    <w:name w:val="XBRL标题1"/>
    <w:basedOn w:val="2"/>
    <w:next w:val="3"/>
    <w:qFormat/>
    <w:uiPriority w:val="0"/>
    <w:pPr>
      <w:spacing w:beforeLines="50" w:afterLines="50" w:line="240" w:lineRule="auto"/>
      <w:jc w:val="center"/>
    </w:pPr>
    <w:rPr>
      <w:rFonts w:ascii="Cambria" w:hAnsi="Cambria"/>
      <w:sz w:val="28"/>
    </w:rPr>
  </w:style>
  <w:style w:type="paragraph" w:customStyle="1" w:styleId="35">
    <w:name w:val="XBRL标题2"/>
    <w:basedOn w:val="12"/>
    <w:next w:val="5"/>
    <w:qFormat/>
    <w:uiPriority w:val="0"/>
    <w:pPr>
      <w:spacing w:beforeLines="50" w:afterLines="50" w:line="240" w:lineRule="auto"/>
    </w:pPr>
    <w:rPr>
      <w:bCs/>
    </w:rPr>
  </w:style>
  <w:style w:type="paragraph" w:customStyle="1" w:styleId="36">
    <w:name w:val="XBRL标题3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7">
    <w:name w:val="XBRL标题4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8">
    <w:name w:val="XBRL标题5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39">
    <w:name w:val="XBRL标题6"/>
    <w:basedOn w:val="12"/>
    <w:next w:val="5"/>
    <w:qFormat/>
    <w:uiPriority w:val="0"/>
    <w:pPr>
      <w:spacing w:beforeLines="50" w:afterLines="50" w:line="240" w:lineRule="auto"/>
      <w:outlineLvl w:val="9"/>
    </w:pPr>
    <w:rPr>
      <w:bCs/>
    </w:rPr>
  </w:style>
  <w:style w:type="paragraph" w:customStyle="1" w:styleId="40">
    <w:name w:val="XBRLTitle1"/>
    <w:basedOn w:val="2"/>
    <w:next w:val="3"/>
    <w:qFormat/>
    <w:uiPriority w:val="0"/>
    <w:pPr>
      <w:numPr>
        <w:ilvl w:val="0"/>
        <w:numId w:val="1"/>
      </w:numPr>
      <w:spacing w:before="156" w:beforeLines="50" w:after="156" w:afterLines="50" w:line="240" w:lineRule="auto"/>
      <w:jc w:val="left"/>
    </w:pPr>
    <w:rPr>
      <w:rFonts w:ascii="Cambria" w:hAnsi="Cambria"/>
      <w:sz w:val="28"/>
    </w:rPr>
  </w:style>
  <w:style w:type="paragraph" w:customStyle="1" w:styleId="41">
    <w:name w:val="XBRLTitle2"/>
    <w:basedOn w:val="12"/>
    <w:next w:val="5"/>
    <w:qFormat/>
    <w:uiPriority w:val="0"/>
    <w:pPr>
      <w:numPr>
        <w:ilvl w:val="1"/>
        <w:numId w:val="2"/>
      </w:numPr>
      <w:spacing w:beforeLines="50" w:afterLines="50" w:line="240" w:lineRule="auto"/>
    </w:pPr>
    <w:rPr>
      <w:bCs/>
    </w:rPr>
  </w:style>
  <w:style w:type="paragraph" w:customStyle="1" w:styleId="42">
    <w:name w:val="XBRLTitle3"/>
    <w:basedOn w:val="12"/>
    <w:next w:val="5"/>
    <w:qFormat/>
    <w:uiPriority w:val="0"/>
    <w:pPr>
      <w:numPr>
        <w:ilvl w:val="2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3">
    <w:name w:val="XBRLTitle4"/>
    <w:basedOn w:val="12"/>
    <w:next w:val="5"/>
    <w:qFormat/>
    <w:uiPriority w:val="0"/>
    <w:pPr>
      <w:numPr>
        <w:ilvl w:val="3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4">
    <w:name w:val="XBRLTitle5"/>
    <w:basedOn w:val="12"/>
    <w:next w:val="5"/>
    <w:qFormat/>
    <w:uiPriority w:val="0"/>
    <w:pPr>
      <w:numPr>
        <w:ilvl w:val="4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5">
    <w:name w:val="XBRLTitle6"/>
    <w:basedOn w:val="12"/>
    <w:next w:val="5"/>
    <w:qFormat/>
    <w:uiPriority w:val="0"/>
    <w:pPr>
      <w:numPr>
        <w:ilvl w:val="5"/>
        <w:numId w:val="2"/>
      </w:numPr>
      <w:spacing w:beforeLines="50" w:afterLines="50" w:line="240" w:lineRule="auto"/>
      <w:outlineLvl w:val="9"/>
    </w:pPr>
    <w:rPr>
      <w:bCs/>
    </w:rPr>
  </w:style>
  <w:style w:type="paragraph" w:customStyle="1" w:styleId="46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character" w:customStyle="1" w:styleId="47">
    <w:name w:val="脚注文本 Char"/>
    <w:link w:val="13"/>
    <w:qFormat/>
    <w:uiPriority w:val="0"/>
    <w:rPr>
      <w:kern w:val="2"/>
      <w:sz w:val="18"/>
      <w:szCs w:val="18"/>
    </w:rPr>
  </w:style>
  <w:style w:type="character" w:customStyle="1" w:styleId="48">
    <w:name w:val="日期 Char"/>
    <w:link w:val="8"/>
    <w:qFormat/>
    <w:uiPriority w:val="0"/>
    <w:rPr>
      <w:rFonts w:ascii="宋体"/>
      <w:kern w:val="2"/>
      <w:sz w:val="32"/>
    </w:rPr>
  </w:style>
  <w:style w:type="paragraph" w:styleId="49">
    <w:name w:val="List Paragraph"/>
    <w:basedOn w:val="1"/>
    <w:qFormat/>
    <w:uiPriority w:val="34"/>
    <w:pPr>
      <w:ind w:firstLine="420" w:firstLineChars="200"/>
    </w:pPr>
  </w:style>
  <w:style w:type="paragraph" w:customStyle="1" w:styleId="50">
    <w:name w:val="Char1"/>
    <w:basedOn w:val="1"/>
    <w:qFormat/>
    <w:uiPriority w:val="0"/>
  </w:style>
  <w:style w:type="paragraph" w:customStyle="1" w:styleId="51">
    <w:name w:val="xbrltitle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EB689-16BA-4565-9A6E-625CBFB7C1C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Company>Lenovo</Company>
  <Pages>5</Pages>
  <Words>971</Words>
  <Characters>1403</Characters>
  <Lines>14</Lines>
  <Paragraphs>4</Paragraphs>
  <TotalTime>0</TotalTime>
  <ScaleCrop>false</ScaleCrop>
  <LinksUpToDate>false</LinksUpToDate>
  <CharactersWithSpaces>1441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2021-04-23T07:42:00Z</dcterms:created>
  <dc:creator>yss</dc:creator>
  <cp:lastModifiedBy>叶淑珊</cp:lastModifiedBy>
  <cp:lastPrinted>2411-12-31T16:00:00Z</cp:lastPrinted>
  <dcterms:modified xsi:type="dcterms:W3CDTF">2024-10-25T08:31:54Z</dcterms:modified>
  <dc:title>gongGaoMingCheng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Generator">
    <vt:lpwstr>NPOI</vt:lpwstr>
  </property>
  <property fmtid="{D5CDD505-2E9C-101B-9397-08002B2CF9AE}" pid="4" name="Generator Version">
    <vt:lpwstr>2.2.1</vt:lpwstr>
  </property>
  <property fmtid="{D5CDD505-2E9C-101B-9397-08002B2CF9AE}" pid="5" name="ICV">
    <vt:lpwstr>D87577B2AB004D78AF4EDE32973003DC</vt:lpwstr>
  </property>
</Properties>
</file>