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0C2011F">
      <w:pPr>
        <w:rPr>
          <w:sz w:val="48"/>
        </w:rPr>
      </w:pPr>
    </w:p>
    <w:p w14:paraId="7AC636A7">
      <w:pPr>
        <w:rPr>
          <w:sz w:val="48"/>
        </w:rPr>
      </w:pPr>
    </w:p>
    <w:p w14:paraId="77CF249E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桐庐农商银行丰收信福封闭净值型2024年第22期理财产品</w:t>
      </w:r>
    </w:p>
    <w:p w14:paraId="5F28E957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3E06C806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76245ED1">
      <w:pPr>
        <w:jc w:val="center"/>
        <w:rPr>
          <w:rFonts w:ascii="宋体" w:hAnsi="宋体"/>
          <w:sz w:val="28"/>
          <w:szCs w:val="30"/>
        </w:rPr>
      </w:pPr>
    </w:p>
    <w:p w14:paraId="2474F43D">
      <w:pPr>
        <w:jc w:val="center"/>
        <w:rPr>
          <w:rFonts w:ascii="宋体" w:hAnsi="宋体"/>
          <w:sz w:val="28"/>
          <w:szCs w:val="30"/>
        </w:rPr>
      </w:pPr>
    </w:p>
    <w:p w14:paraId="4BACFDE1">
      <w:pPr>
        <w:jc w:val="center"/>
        <w:rPr>
          <w:rFonts w:ascii="宋体" w:hAnsi="宋体"/>
          <w:sz w:val="28"/>
          <w:szCs w:val="30"/>
        </w:rPr>
      </w:pPr>
    </w:p>
    <w:p w14:paraId="58DF105D">
      <w:pPr>
        <w:jc w:val="center"/>
        <w:rPr>
          <w:rFonts w:ascii="宋体" w:hAnsi="宋体"/>
          <w:sz w:val="28"/>
          <w:szCs w:val="30"/>
        </w:rPr>
      </w:pPr>
    </w:p>
    <w:p w14:paraId="56EEC6D0">
      <w:pPr>
        <w:jc w:val="center"/>
        <w:rPr>
          <w:rFonts w:ascii="宋体" w:hAnsi="宋体"/>
          <w:sz w:val="28"/>
          <w:szCs w:val="30"/>
        </w:rPr>
      </w:pPr>
    </w:p>
    <w:p w14:paraId="52049C5A">
      <w:pPr>
        <w:jc w:val="center"/>
        <w:rPr>
          <w:rFonts w:ascii="宋体" w:hAnsi="宋体"/>
          <w:sz w:val="28"/>
          <w:szCs w:val="30"/>
        </w:rPr>
      </w:pPr>
    </w:p>
    <w:p w14:paraId="58AF8436">
      <w:pPr>
        <w:jc w:val="center"/>
        <w:rPr>
          <w:rFonts w:ascii="宋体" w:hAnsi="宋体"/>
          <w:sz w:val="28"/>
          <w:szCs w:val="30"/>
        </w:rPr>
      </w:pPr>
    </w:p>
    <w:p w14:paraId="5382C9E7">
      <w:pPr>
        <w:jc w:val="center"/>
        <w:rPr>
          <w:rFonts w:ascii="宋体" w:hAnsi="宋体"/>
          <w:sz w:val="28"/>
          <w:szCs w:val="30"/>
        </w:rPr>
      </w:pPr>
    </w:p>
    <w:p w14:paraId="5DFBB910">
      <w:pPr>
        <w:jc w:val="center"/>
        <w:rPr>
          <w:rFonts w:ascii="宋体" w:hAnsi="宋体"/>
          <w:sz w:val="28"/>
          <w:szCs w:val="30"/>
        </w:rPr>
      </w:pPr>
    </w:p>
    <w:p w14:paraId="26332FA8">
      <w:pPr>
        <w:jc w:val="center"/>
        <w:rPr>
          <w:rFonts w:ascii="宋体" w:hAnsi="宋体"/>
          <w:sz w:val="28"/>
          <w:szCs w:val="30"/>
        </w:rPr>
      </w:pPr>
    </w:p>
    <w:p w14:paraId="767C6DCD">
      <w:pPr>
        <w:jc w:val="center"/>
        <w:rPr>
          <w:rFonts w:ascii="宋体" w:hAnsi="宋体"/>
          <w:sz w:val="28"/>
          <w:szCs w:val="30"/>
        </w:rPr>
      </w:pPr>
    </w:p>
    <w:p w14:paraId="71BD812E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产品管理人：浙江桐庐农村商业银行股份有限公司</w:t>
      </w:r>
    </w:p>
    <w:p w14:paraId="0E35A6BF"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 w14:paraId="5B56B054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547C6F95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5216B305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6822F951">
      <w:pPr>
        <w:rPr>
          <w:rFonts w:ascii="宋体" w:hAnsi="宋体"/>
          <w:sz w:val="28"/>
          <w:szCs w:val="30"/>
        </w:rPr>
      </w:pPr>
    </w:p>
    <w:p w14:paraId="1FD235C8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7D4C7790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 w14:paraId="25173827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14:paraId="7D147892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 w14:paraId="27BA6730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 w14:paraId="326B0D63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自2024-10-01起至2024-12-31</w:t>
      </w:r>
      <w:r>
        <w:rPr>
          <w:rFonts w:ascii="宋体" w:hAnsi="宋体"/>
          <w:szCs w:val="21"/>
        </w:rPr>
        <w:t>止。</w:t>
      </w:r>
    </w:p>
    <w:p w14:paraId="08CF67C3"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 w14:paraId="03680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18E0430F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14:paraId="5A095C3F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 w14:paraId="7EB2A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5332085E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 w14:paraId="1558B79F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桐庐农商银行丰收信福封闭净值型2024年第22期理财产品</w:t>
            </w:r>
          </w:p>
        </w:tc>
      </w:tr>
      <w:tr w14:paraId="4B0D6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7DB9DFB2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 w14:paraId="46F51D8F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C1123124000021</w:t>
            </w:r>
          </w:p>
        </w:tc>
      </w:tr>
      <w:tr w14:paraId="56F93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7A65D11E"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 w14:paraId="0E8E89E1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浙江桐庐农村商业银行股份有限公司</w:t>
            </w:r>
          </w:p>
        </w:tc>
      </w:tr>
      <w:tr w14:paraId="7CEA3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2A205483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14:paraId="1E3C5C1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 w14:paraId="4D111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7886A758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 w14:paraId="096D311E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  <w:r>
              <w:rPr>
                <w:rFonts w:ascii="宋体" w:hAnsi="宋体"/>
              </w:rPr>
              <w:tab/>
            </w:r>
          </w:p>
        </w:tc>
      </w:tr>
      <w:tr w14:paraId="2841B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7270862C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 w14:paraId="641FFB8E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2024-06-13</w:t>
            </w:r>
          </w:p>
        </w:tc>
      </w:tr>
      <w:tr w14:paraId="277A0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5FB93D49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 w14:paraId="10901536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2025-06-13</w:t>
            </w:r>
          </w:p>
        </w:tc>
      </w:tr>
      <w:tr w14:paraId="41287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 w14:paraId="6A4D9723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 w14:paraId="02484FFE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6,990,000.00</w:t>
            </w:r>
            <w:bookmarkEnd w:id="0"/>
          </w:p>
        </w:tc>
      </w:tr>
      <w:tr w14:paraId="17E0D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50073455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 w14:paraId="5BDD97A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[2.4%-3.9%]/年</w:t>
            </w:r>
          </w:p>
        </w:tc>
      </w:tr>
      <w:tr w14:paraId="54869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7FA83640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14:paraId="1383F4D9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 w14:paraId="68A27571"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 w14:paraId="7923E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 w14:paraId="232025EA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14:paraId="346A689C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 w14:paraId="6D9F7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 w14:paraId="2F8CE74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2024-10-01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2024-12-31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 w14:paraId="5576D7E9">
            <w:pPr>
              <w:jc w:val="right"/>
            </w:pPr>
            <w:r>
              <w:t>1.73</w:t>
            </w:r>
          </w:p>
        </w:tc>
      </w:tr>
      <w:tr w14:paraId="5ABCE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 w14:paraId="038D324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 w14:paraId="026BD931">
            <w:pPr>
              <w:jc w:val="right"/>
            </w:pPr>
            <w:r>
              <w:rPr>
                <w:rFonts w:hint="eastAsia"/>
              </w:rPr>
              <w:t>2.18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 w14:paraId="1BAEE711"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 w14:paraId="184404F7">
      <w:pPr>
        <w:pStyle w:val="40"/>
      </w:pPr>
      <w:r>
        <w:rPr>
          <w:rFonts w:hint="eastAsia"/>
        </w:rPr>
        <w:t>主要财务指标</w:t>
      </w:r>
    </w:p>
    <w:p w14:paraId="514B487C"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 w14:paraId="6FD3A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 w14:paraId="2FD13E87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14:paraId="79FA9C43">
            <w:pPr>
              <w:jc w:val="left"/>
              <w:rPr>
                <w:b/>
              </w:rPr>
            </w:pPr>
            <w:r>
              <w:rPr>
                <w:b/>
              </w:rPr>
              <w:t>2024-10-01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2024-12-31</w:t>
            </w:r>
          </w:p>
        </w:tc>
      </w:tr>
      <w:tr w14:paraId="1D328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682587DE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14:paraId="3892CC0B">
            <w:pPr>
              <w:jc w:val="right"/>
            </w:pPr>
            <w:r>
              <w:t>-267.21</w:t>
            </w:r>
          </w:p>
        </w:tc>
      </w:tr>
      <w:tr w14:paraId="48402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08B67F2E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14:paraId="31DBDF3E">
            <w:pPr>
              <w:jc w:val="right"/>
            </w:pPr>
            <w:r>
              <w:t>121,796.88</w:t>
            </w:r>
          </w:p>
        </w:tc>
      </w:tr>
      <w:tr w14:paraId="5ED7A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46196B21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14:paraId="3644F4C4">
            <w:pPr>
              <w:jc w:val="right"/>
            </w:pPr>
            <w:r>
              <w:t>7,142,607.90</w:t>
            </w:r>
          </w:p>
        </w:tc>
      </w:tr>
      <w:tr w14:paraId="2FF8D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0E606A8F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14:paraId="079FC292">
            <w:pPr>
              <w:jc w:val="right"/>
            </w:pPr>
            <w:r>
              <w:t>1.02183231</w:t>
            </w:r>
          </w:p>
        </w:tc>
      </w:tr>
    </w:tbl>
    <w:p w14:paraId="12572705">
      <w:pPr>
        <w:tabs>
          <w:tab w:val="left" w:pos="3135"/>
        </w:tabs>
        <w:ind w:left="420" w:leftChars="200"/>
      </w:pPr>
    </w:p>
    <w:p w14:paraId="1EF10629"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 w14:paraId="127B3691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0A152B6F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51D1691A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7CA48D00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74EF3AE3"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 w14:paraId="7A614C3A">
      <w:pPr>
        <w:jc w:val="right"/>
      </w:pPr>
    </w:p>
    <w:p w14:paraId="6F3FB9EA">
      <w:pPr>
        <w:jc w:val="right"/>
      </w:pPr>
    </w:p>
    <w:p w14:paraId="2540DCE7"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70689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4214E66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2EF400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38BAC45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4E86864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14:paraId="3EA5D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443CC79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3C2E9DC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37664AD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773A159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06D73E6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3DA6B15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 w14:paraId="08F58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59F1A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E32AB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2CCD4CC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DDE88F7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25A1808A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59183AA5">
            <w:pPr>
              <w:jc w:val="right"/>
            </w:pPr>
            <w:r>
              <w:t>0.00</w:t>
            </w:r>
          </w:p>
        </w:tc>
      </w:tr>
      <w:tr w14:paraId="27839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01A892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FC620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3B0A124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E495AC9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781894D6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1A69EDE2">
            <w:pPr>
              <w:jc w:val="right"/>
            </w:pPr>
            <w:r>
              <w:t>0.00</w:t>
            </w:r>
          </w:p>
        </w:tc>
      </w:tr>
      <w:tr w14:paraId="26F02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6FCC28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24A9B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C611993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09667C8">
            <w:pPr>
              <w:jc w:val="right"/>
            </w:pPr>
          </w:p>
        </w:tc>
        <w:tc>
          <w:tcPr>
            <w:tcW w:w="1653" w:type="dxa"/>
            <w:vAlign w:val="center"/>
          </w:tcPr>
          <w:p w14:paraId="0AAB8F0F">
            <w:pPr>
              <w:jc w:val="right"/>
            </w:pPr>
          </w:p>
        </w:tc>
        <w:tc>
          <w:tcPr>
            <w:tcW w:w="1705" w:type="dxa"/>
            <w:vAlign w:val="center"/>
          </w:tcPr>
          <w:p w14:paraId="6B20FB25">
            <w:pPr>
              <w:jc w:val="right"/>
            </w:pPr>
          </w:p>
        </w:tc>
      </w:tr>
      <w:tr w14:paraId="408AD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32CD3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A3606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3AB26B1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B767162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034B7AC3">
            <w:pPr>
              <w:jc w:val="right"/>
            </w:pPr>
            <w:r>
              <w:t>990,041.11</w:t>
            </w:r>
          </w:p>
        </w:tc>
        <w:tc>
          <w:tcPr>
            <w:tcW w:w="1705" w:type="dxa"/>
            <w:vAlign w:val="center"/>
          </w:tcPr>
          <w:p w14:paraId="574C0A61">
            <w:pPr>
              <w:jc w:val="right"/>
            </w:pPr>
            <w:r>
              <w:t>13.86</w:t>
            </w:r>
          </w:p>
        </w:tc>
      </w:tr>
      <w:tr w14:paraId="7CE3F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51DFD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E79FC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C7CED34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1EA7227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7C034989">
            <w:pPr>
              <w:jc w:val="right"/>
            </w:pPr>
            <w:r>
              <w:t>6,851,278.45</w:t>
            </w:r>
          </w:p>
        </w:tc>
        <w:tc>
          <w:tcPr>
            <w:tcW w:w="1705" w:type="dxa"/>
            <w:vAlign w:val="center"/>
          </w:tcPr>
          <w:p w14:paraId="5BC5A86B">
            <w:pPr>
              <w:jc w:val="right"/>
            </w:pPr>
            <w:r>
              <w:t>95.91</w:t>
            </w:r>
          </w:p>
        </w:tc>
      </w:tr>
      <w:tr w14:paraId="20C03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1A1B0F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22835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1676AE7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2526E42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4A2F85B5">
            <w:pPr>
              <w:jc w:val="right"/>
            </w:pPr>
            <w:r>
              <w:t>6,424,274.68</w:t>
            </w:r>
          </w:p>
        </w:tc>
        <w:tc>
          <w:tcPr>
            <w:tcW w:w="1705" w:type="dxa"/>
            <w:vAlign w:val="center"/>
          </w:tcPr>
          <w:p w14:paraId="3B7942FF">
            <w:pPr>
              <w:jc w:val="right"/>
            </w:pPr>
            <w:r>
              <w:t>89.94</w:t>
            </w:r>
          </w:p>
        </w:tc>
      </w:tr>
      <w:tr w14:paraId="221E9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69A5C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F6747E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2A96206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AD2E169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0BA27C3D">
            <w:pPr>
              <w:jc w:val="right"/>
            </w:pPr>
            <w:r>
              <w:t>427,003.78</w:t>
            </w:r>
          </w:p>
        </w:tc>
        <w:tc>
          <w:tcPr>
            <w:tcW w:w="1705" w:type="dxa"/>
            <w:vAlign w:val="center"/>
          </w:tcPr>
          <w:p w14:paraId="4D82C00D">
            <w:pPr>
              <w:jc w:val="right"/>
            </w:pPr>
            <w:r>
              <w:t>5.98</w:t>
            </w:r>
          </w:p>
        </w:tc>
      </w:tr>
      <w:tr w14:paraId="55AD2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00D2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FF3064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285A5E6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C5D4712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6C888F92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1FEFD928">
            <w:pPr>
              <w:jc w:val="right"/>
            </w:pPr>
            <w:r>
              <w:t>0.00</w:t>
            </w:r>
          </w:p>
        </w:tc>
      </w:tr>
      <w:tr w14:paraId="41A97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B8DAF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593A6B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8672B60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0AC910B">
            <w:pPr>
              <w:jc w:val="right"/>
            </w:pPr>
          </w:p>
        </w:tc>
        <w:tc>
          <w:tcPr>
            <w:tcW w:w="1653" w:type="dxa"/>
            <w:vAlign w:val="center"/>
          </w:tcPr>
          <w:p w14:paraId="2AC0DD9B">
            <w:pPr>
              <w:jc w:val="right"/>
            </w:pPr>
          </w:p>
        </w:tc>
        <w:tc>
          <w:tcPr>
            <w:tcW w:w="1705" w:type="dxa"/>
            <w:vAlign w:val="center"/>
          </w:tcPr>
          <w:p w14:paraId="62BD80DD">
            <w:pPr>
              <w:jc w:val="right"/>
            </w:pPr>
          </w:p>
        </w:tc>
      </w:tr>
      <w:tr w14:paraId="6B036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2F2EC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97CA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25B1E0F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C980003">
            <w:pPr>
              <w:jc w:val="right"/>
            </w:pPr>
          </w:p>
        </w:tc>
        <w:tc>
          <w:tcPr>
            <w:tcW w:w="1653" w:type="dxa"/>
            <w:vAlign w:val="center"/>
          </w:tcPr>
          <w:p w14:paraId="010C7D09">
            <w:pPr>
              <w:jc w:val="right"/>
            </w:pPr>
          </w:p>
        </w:tc>
        <w:tc>
          <w:tcPr>
            <w:tcW w:w="1705" w:type="dxa"/>
            <w:vAlign w:val="center"/>
          </w:tcPr>
          <w:p w14:paraId="6A16F6D5">
            <w:pPr>
              <w:jc w:val="right"/>
            </w:pPr>
          </w:p>
        </w:tc>
      </w:tr>
      <w:tr w14:paraId="009CC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54AFD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CA1DC5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FC24B0B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C7B67DA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6847142A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2501566A">
            <w:pPr>
              <w:jc w:val="right"/>
            </w:pPr>
            <w:r>
              <w:t>0.00</w:t>
            </w:r>
          </w:p>
        </w:tc>
      </w:tr>
      <w:tr w14:paraId="67FD4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257438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90B75A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8651534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EDC0C6C">
            <w:pPr>
              <w:jc w:val="right"/>
            </w:pPr>
          </w:p>
        </w:tc>
        <w:tc>
          <w:tcPr>
            <w:tcW w:w="1653" w:type="dxa"/>
            <w:vAlign w:val="center"/>
          </w:tcPr>
          <w:p w14:paraId="030BDCDD">
            <w:pPr>
              <w:jc w:val="right"/>
            </w:pPr>
          </w:p>
        </w:tc>
        <w:tc>
          <w:tcPr>
            <w:tcW w:w="1705" w:type="dxa"/>
            <w:vAlign w:val="center"/>
          </w:tcPr>
          <w:p w14:paraId="4AB8EA15">
            <w:pPr>
              <w:jc w:val="right"/>
            </w:pPr>
          </w:p>
        </w:tc>
      </w:tr>
      <w:tr w14:paraId="518E3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568E2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6131C0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6AC14F8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72FEF65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1B330329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39287F69">
            <w:pPr>
              <w:jc w:val="right"/>
            </w:pPr>
            <w:r>
              <w:t>0.00</w:t>
            </w:r>
          </w:p>
        </w:tc>
      </w:tr>
      <w:tr w14:paraId="330C8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FF14A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4E1D00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41902F4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9062A83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68395BD6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35C770D9">
            <w:pPr>
              <w:jc w:val="right"/>
            </w:pPr>
            <w:r>
              <w:t>0.00</w:t>
            </w:r>
          </w:p>
        </w:tc>
      </w:tr>
      <w:tr w14:paraId="52479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C1023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2775F2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1582CE2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0D10262">
            <w:pPr>
              <w:jc w:val="right"/>
            </w:pPr>
          </w:p>
        </w:tc>
        <w:tc>
          <w:tcPr>
            <w:tcW w:w="1653" w:type="dxa"/>
            <w:vAlign w:val="center"/>
          </w:tcPr>
          <w:p w14:paraId="5D7AE410">
            <w:pPr>
              <w:jc w:val="right"/>
            </w:pPr>
          </w:p>
        </w:tc>
        <w:tc>
          <w:tcPr>
            <w:tcW w:w="1705" w:type="dxa"/>
            <w:vAlign w:val="center"/>
          </w:tcPr>
          <w:p w14:paraId="60934877">
            <w:pPr>
              <w:jc w:val="right"/>
            </w:pPr>
          </w:p>
        </w:tc>
      </w:tr>
      <w:tr w14:paraId="4775D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326D7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67C62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393823A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CC34587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035AEC44">
            <w:pPr>
              <w:jc w:val="right"/>
            </w:pPr>
            <w:r>
              <w:t>34,801.88</w:t>
            </w:r>
          </w:p>
        </w:tc>
        <w:tc>
          <w:tcPr>
            <w:tcW w:w="1705" w:type="dxa"/>
            <w:vAlign w:val="center"/>
          </w:tcPr>
          <w:p w14:paraId="1965C248">
            <w:pPr>
              <w:jc w:val="right"/>
            </w:pPr>
            <w:r>
              <w:t>0.49</w:t>
            </w:r>
          </w:p>
        </w:tc>
      </w:tr>
      <w:tr w14:paraId="01D72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0D364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BDC452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813C175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75AAC9B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64ADD3C0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39551995">
            <w:pPr>
              <w:jc w:val="right"/>
            </w:pPr>
            <w:r>
              <w:t>0.00</w:t>
            </w:r>
          </w:p>
        </w:tc>
      </w:tr>
      <w:tr w14:paraId="5E9FE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AE506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43498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8075E39">
            <w:pPr>
              <w:jc w:val="right"/>
            </w:pPr>
            <w:r>
              <w:t>7,143,190.43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5F08C2D"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 w14:paraId="59306FD1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2C4288DA">
            <w:pPr>
              <w:jc w:val="right"/>
            </w:pPr>
            <w:r>
              <w:t>0.00</w:t>
            </w:r>
          </w:p>
        </w:tc>
      </w:tr>
      <w:tr w14:paraId="4A759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3166D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47D74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5BAF0B1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138F784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6CABD369">
            <w:pPr>
              <w:jc w:val="right"/>
            </w:pPr>
            <w:r>
              <w:t>715.65</w:t>
            </w:r>
          </w:p>
        </w:tc>
        <w:tc>
          <w:tcPr>
            <w:tcW w:w="1705" w:type="dxa"/>
            <w:vAlign w:val="center"/>
          </w:tcPr>
          <w:p w14:paraId="129E7176">
            <w:pPr>
              <w:jc w:val="right"/>
            </w:pPr>
            <w:r>
              <w:t>0.01</w:t>
            </w:r>
          </w:p>
        </w:tc>
      </w:tr>
      <w:tr w14:paraId="2EB00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13D8D42C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14:paraId="3648E0A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2E77E0F1">
            <w:pPr>
              <w:jc w:val="right"/>
            </w:pPr>
            <w:r>
              <w:t>7,143,190.43</w:t>
            </w:r>
          </w:p>
        </w:tc>
        <w:tc>
          <w:tcPr>
            <w:tcW w:w="1749" w:type="dxa"/>
            <w:shd w:val="clear" w:color="auto" w:fill="auto"/>
          </w:tcPr>
          <w:p w14:paraId="3EFCDC44"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 w14:paraId="23CE834B">
            <w:pPr>
              <w:jc w:val="right"/>
            </w:pPr>
            <w:r>
              <w:t>7,876,837.09</w:t>
            </w:r>
          </w:p>
        </w:tc>
        <w:tc>
          <w:tcPr>
            <w:tcW w:w="1705" w:type="dxa"/>
          </w:tcPr>
          <w:p w14:paraId="3DCFD6BD">
            <w:pPr>
              <w:jc w:val="right"/>
            </w:pPr>
            <w:r>
              <w:t>110.27</w:t>
            </w:r>
          </w:p>
        </w:tc>
      </w:tr>
    </w:tbl>
    <w:p w14:paraId="57978B70">
      <w:pPr>
        <w:ind w:left="420" w:leftChars="200"/>
        <w:jc w:val="left"/>
        <w:rPr>
          <w:rFonts w:ascii="宋体" w:hAnsi="宋体"/>
          <w:sz w:val="24"/>
        </w:rPr>
      </w:pPr>
    </w:p>
    <w:p w14:paraId="02C8B6A1"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 w14:paraId="43AB1872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 w14:paraId="4AB8CEF4"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 w:eastAsia="宋体"/>
          <w:szCs w:val="21"/>
        </w:rPr>
        <w:t>报告期内管理人合理安排资产结构，严格按照产品说明书约定的投资范围、比例等要求进行投资管理，流动性风险可控。</w:t>
      </w:r>
    </w:p>
    <w:p w14:paraId="6DB57BA0">
      <w:pPr>
        <w:widowControl/>
        <w:jc w:val="left"/>
        <w:rPr>
          <w:rFonts w:ascii="宋体" w:hAnsi="宋体"/>
          <w:sz w:val="24"/>
        </w:rPr>
      </w:pPr>
    </w:p>
    <w:p w14:paraId="78E95CA1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 w14:paraId="26FF0F31"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4BB1F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0F9C714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2D129670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25AAAC77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19900BC1">
            <w:pPr>
              <w:jc w:val="left"/>
              <w:rPr>
                <w:rFonts w:hint="eastAsia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占产品资产净值比例（%）</w:t>
            </w:r>
          </w:p>
        </w:tc>
      </w:tr>
      <w:tr w14:paraId="7C595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59007D3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8C821C1">
            <w:pPr>
              <w:rPr>
                <w:szCs w:val="21"/>
              </w:rPr>
            </w:pPr>
            <w:r>
              <w:rPr>
                <w:szCs w:val="21"/>
              </w:rPr>
              <w:t>中信证券丰收信益6号集合资产管理计划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B09C1D7">
            <w:pPr>
              <w:jc w:val="right"/>
            </w:pPr>
            <w:r>
              <w:t>7,143,190.43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B82577D">
            <w:pPr>
              <w:jc w:val="right"/>
            </w:pPr>
            <w:bookmarkStart w:id="3" w:name="OLE_LINK6"/>
            <w:bookmarkStart w:id="4" w:name="OLE_LINK5"/>
            <w:r>
              <w:t>100.01</w:t>
            </w:r>
            <w:bookmarkEnd w:id="3"/>
            <w:bookmarkEnd w:id="4"/>
          </w:p>
        </w:tc>
      </w:tr>
    </w:tbl>
    <w:p w14:paraId="1BC63A28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244ED83D"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 w14:paraId="0CC9F4B6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 w14:paraId="451BD2C6"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 w14:paraId="370F63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8A9F4"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BF92C"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93E6A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6920E">
            <w:pPr>
              <w:spacing w:before="100" w:beforeAutospacing="1" w:after="100" w:afterAutospacing="1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占产品资产净值比例（%）</w:t>
            </w:r>
          </w:p>
        </w:tc>
      </w:tr>
      <w:tr w14:paraId="225D73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BCC5B"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7A84D">
            <w:pPr>
              <w:rPr>
                <w:sz w:val="20"/>
              </w:rPr>
            </w:pPr>
            <w:r>
              <w:rPr>
                <w:szCs w:val="21"/>
              </w:rPr>
              <w:t>财通安瑞短债债券A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2A85D">
            <w:pPr>
              <w:jc w:val="right"/>
              <w:rPr>
                <w:rFonts w:eastAsia="Times New Roman"/>
                <w:sz w:val="20"/>
              </w:rPr>
            </w:pPr>
            <w:r>
              <w:t>341,614.92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B851D">
            <w:pPr>
              <w:jc w:val="right"/>
              <w:rPr>
                <w:rFonts w:eastAsia="Times New Roman"/>
                <w:sz w:val="20"/>
              </w:rPr>
            </w:pPr>
            <w:r>
              <w:t>4.78</w:t>
            </w:r>
          </w:p>
        </w:tc>
      </w:tr>
      <w:tr w14:paraId="57DD69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BFED2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BBF6B">
            <w:pPr>
              <w:rPr>
                <w:sz w:val="20"/>
              </w:rPr>
            </w:pPr>
            <w:r>
              <w:rPr>
                <w:szCs w:val="21"/>
              </w:rPr>
              <w:t>易方达稳健收益债券B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6C06A">
            <w:pPr>
              <w:jc w:val="right"/>
              <w:rPr>
                <w:rFonts w:eastAsia="Times New Roman"/>
                <w:sz w:val="20"/>
              </w:rPr>
            </w:pPr>
            <w:r>
              <w:t>251,130.02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2A878">
            <w:pPr>
              <w:jc w:val="right"/>
              <w:rPr>
                <w:rFonts w:eastAsia="Times New Roman"/>
                <w:sz w:val="20"/>
              </w:rPr>
            </w:pPr>
            <w:r>
              <w:t>3.52</w:t>
            </w:r>
          </w:p>
        </w:tc>
      </w:tr>
      <w:tr w14:paraId="0387C6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09E12"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2F377">
            <w:pPr>
              <w:rPr>
                <w:sz w:val="20"/>
              </w:rPr>
            </w:pPr>
            <w:r>
              <w:rPr>
                <w:szCs w:val="21"/>
              </w:rPr>
              <w:t>易方达双债增强债券C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B9313">
            <w:pPr>
              <w:jc w:val="right"/>
              <w:rPr>
                <w:rFonts w:eastAsia="Times New Roman"/>
                <w:sz w:val="20"/>
              </w:rPr>
            </w:pPr>
            <w:r>
              <w:t>250,888.04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57B98">
            <w:pPr>
              <w:jc w:val="right"/>
              <w:rPr>
                <w:rFonts w:eastAsia="Times New Roman"/>
                <w:sz w:val="20"/>
              </w:rPr>
            </w:pPr>
            <w:r>
              <w:t>3.51</w:t>
            </w:r>
          </w:p>
        </w:tc>
      </w:tr>
      <w:tr w14:paraId="0038BA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B18BE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F528B">
            <w:pPr>
              <w:rPr>
                <w:sz w:val="20"/>
              </w:rPr>
            </w:pPr>
            <w:r>
              <w:rPr>
                <w:szCs w:val="21"/>
              </w:rPr>
              <w:t>土地01优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4ADED">
            <w:pPr>
              <w:jc w:val="right"/>
              <w:rPr>
                <w:rFonts w:eastAsia="Times New Roman"/>
                <w:sz w:val="20"/>
              </w:rPr>
            </w:pPr>
            <w:r>
              <w:t>147,647.69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3F3EB">
            <w:pPr>
              <w:jc w:val="right"/>
              <w:rPr>
                <w:rFonts w:eastAsia="Times New Roman"/>
                <w:sz w:val="20"/>
              </w:rPr>
            </w:pPr>
            <w:r>
              <w:t>2.07</w:t>
            </w:r>
          </w:p>
        </w:tc>
      </w:tr>
      <w:tr w14:paraId="1D6EEC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9D3A8"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78FDE">
            <w:pPr>
              <w:rPr>
                <w:sz w:val="20"/>
              </w:rPr>
            </w:pPr>
            <w:r>
              <w:rPr>
                <w:szCs w:val="21"/>
              </w:rPr>
              <w:t>财通安瑞短债债券C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92E7F">
            <w:pPr>
              <w:jc w:val="right"/>
              <w:rPr>
                <w:rFonts w:eastAsia="Times New Roman"/>
                <w:sz w:val="20"/>
              </w:rPr>
            </w:pPr>
            <w:r>
              <w:t>146,408.13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03845">
            <w:pPr>
              <w:jc w:val="right"/>
              <w:rPr>
                <w:rFonts w:eastAsia="Times New Roman"/>
                <w:sz w:val="20"/>
              </w:rPr>
            </w:pPr>
            <w:r>
              <w:t>2.05</w:t>
            </w:r>
          </w:p>
        </w:tc>
      </w:tr>
      <w:tr w14:paraId="622CC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BF4C5"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0DCAE">
            <w:pPr>
              <w:rPr>
                <w:sz w:val="20"/>
              </w:rPr>
            </w:pPr>
            <w:r>
              <w:rPr>
                <w:szCs w:val="21"/>
              </w:rPr>
              <w:t>21恒丰银行永续债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C03AD">
            <w:pPr>
              <w:jc w:val="right"/>
              <w:rPr>
                <w:rFonts w:eastAsia="Times New Roman"/>
                <w:sz w:val="20"/>
              </w:rPr>
            </w:pPr>
            <w:r>
              <w:t>145,001.88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44ABB">
            <w:pPr>
              <w:jc w:val="right"/>
              <w:rPr>
                <w:rFonts w:eastAsia="Times New Roman"/>
                <w:sz w:val="20"/>
              </w:rPr>
            </w:pPr>
            <w:r>
              <w:t>2.03</w:t>
            </w:r>
          </w:p>
        </w:tc>
      </w:tr>
      <w:tr w14:paraId="0D18E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5DE96"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53744">
            <w:pPr>
              <w:rPr>
                <w:sz w:val="20"/>
              </w:rPr>
            </w:pPr>
            <w:r>
              <w:rPr>
                <w:szCs w:val="21"/>
              </w:rPr>
              <w:t>23唐山银行永续债02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1C864">
            <w:pPr>
              <w:jc w:val="right"/>
              <w:rPr>
                <w:rFonts w:eastAsia="Times New Roman"/>
                <w:sz w:val="20"/>
              </w:rPr>
            </w:pPr>
            <w:r>
              <w:t>134,856.90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497A5">
            <w:pPr>
              <w:jc w:val="right"/>
              <w:rPr>
                <w:rFonts w:eastAsia="Times New Roman"/>
                <w:sz w:val="20"/>
              </w:rPr>
            </w:pPr>
            <w:r>
              <w:t>1.89</w:t>
            </w:r>
          </w:p>
        </w:tc>
      </w:tr>
      <w:tr w14:paraId="78F06F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22033"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85C42">
            <w:pPr>
              <w:rPr>
                <w:sz w:val="20"/>
              </w:rPr>
            </w:pPr>
            <w:r>
              <w:rPr>
                <w:szCs w:val="21"/>
              </w:rPr>
              <w:t>21鄞州农商永续债01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2EB48">
            <w:pPr>
              <w:jc w:val="right"/>
              <w:rPr>
                <w:rFonts w:eastAsia="Times New Roman"/>
                <w:sz w:val="20"/>
              </w:rPr>
            </w:pPr>
            <w:r>
              <w:t>128,375.21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8E313">
            <w:pPr>
              <w:jc w:val="right"/>
              <w:rPr>
                <w:rFonts w:eastAsia="Times New Roman"/>
                <w:sz w:val="20"/>
              </w:rPr>
            </w:pPr>
            <w:r>
              <w:t>1.80</w:t>
            </w:r>
          </w:p>
        </w:tc>
      </w:tr>
      <w:tr w14:paraId="58DF1C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28653"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423B2">
            <w:pPr>
              <w:rPr>
                <w:sz w:val="20"/>
              </w:rPr>
            </w:pPr>
            <w:r>
              <w:rPr>
                <w:szCs w:val="21"/>
              </w:rPr>
              <w:t>22建工Y6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35809">
            <w:pPr>
              <w:jc w:val="right"/>
              <w:rPr>
                <w:rFonts w:eastAsia="Times New Roman"/>
                <w:sz w:val="20"/>
              </w:rPr>
            </w:pPr>
            <w:r>
              <w:t>127,974.36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EB146">
            <w:pPr>
              <w:jc w:val="right"/>
              <w:rPr>
                <w:rFonts w:eastAsia="Times New Roman"/>
                <w:sz w:val="20"/>
              </w:rPr>
            </w:pPr>
            <w:r>
              <w:t>1.79</w:t>
            </w:r>
          </w:p>
        </w:tc>
      </w:tr>
      <w:tr w14:paraId="54B4E3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66C2F"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AEB69">
            <w:pPr>
              <w:rPr>
                <w:sz w:val="20"/>
              </w:rPr>
            </w:pPr>
            <w:r>
              <w:rPr>
                <w:szCs w:val="21"/>
              </w:rPr>
              <w:t>20三峡银行永续债01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980B8">
            <w:pPr>
              <w:jc w:val="right"/>
              <w:rPr>
                <w:rFonts w:eastAsia="Times New Roman"/>
                <w:sz w:val="20"/>
              </w:rPr>
            </w:pPr>
            <w:r>
              <w:t>126,086.29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49C6D">
            <w:pPr>
              <w:jc w:val="right"/>
              <w:rPr>
                <w:rFonts w:eastAsia="Times New Roman"/>
                <w:sz w:val="20"/>
              </w:rPr>
            </w:pPr>
            <w:r>
              <w:t>1.77</w:t>
            </w:r>
          </w:p>
        </w:tc>
      </w:tr>
    </w:tbl>
    <w:p w14:paraId="473DD852"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 w14:paraId="292485CB">
      <w:pPr>
        <w:pStyle w:val="40"/>
      </w:pPr>
      <w:r>
        <w:t>托管人报告</w:t>
      </w:r>
    </w:p>
    <w:p w14:paraId="2ED6FDD7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 w14:paraId="3EE1CB72">
      <w:pPr>
        <w:jc w:val="left"/>
        <w:rPr>
          <w:rFonts w:asciiTheme="minorEastAsia" w:hAnsiTheme="minorEastAsia" w:eastAsiaTheme="minorEastAsia"/>
          <w:szCs w:val="21"/>
        </w:rPr>
      </w:pPr>
    </w:p>
    <w:p w14:paraId="7BA1B8F6">
      <w:pPr>
        <w:jc w:val="right"/>
        <w:rPr>
          <w:rFonts w:ascii="宋体" w:hAnsi="宋体"/>
          <w:sz w:val="24"/>
        </w:rPr>
      </w:pPr>
    </w:p>
    <w:p w14:paraId="724E01B0">
      <w:pPr>
        <w:jc w:val="right"/>
        <w:rPr>
          <w:rFonts w:ascii="宋体" w:hAnsi="宋体"/>
          <w:sz w:val="24"/>
        </w:rPr>
      </w:pPr>
    </w:p>
    <w:p w14:paraId="6AC58B0E">
      <w:pPr>
        <w:jc w:val="right"/>
        <w:rPr>
          <w:rFonts w:ascii="宋体" w:hAnsi="宋体"/>
          <w:sz w:val="24"/>
        </w:rPr>
      </w:pPr>
    </w:p>
    <w:p w14:paraId="6FD6951A">
      <w:pPr>
        <w:jc w:val="right"/>
        <w:rPr>
          <w:rFonts w:ascii="宋体" w:hAnsi="宋体"/>
          <w:sz w:val="24"/>
        </w:rPr>
      </w:pPr>
    </w:p>
    <w:p w14:paraId="1EF483C7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 w14:paraId="6C4EBF6D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2025-01-15</w:t>
      </w:r>
      <w:r>
        <w:rPr>
          <w:rFonts w:hint="eastAsia" w:ascii="宋体" w:hAnsi="宋体"/>
          <w:sz w:val="28"/>
          <w:szCs w:val="28"/>
        </w:rPr>
        <w:t xml:space="preserve">  </w:t>
      </w:r>
      <w:bookmarkStart w:id="5" w:name="_GoBack"/>
      <w:bookmarkEnd w:id="5"/>
      <w:r>
        <w:rPr>
          <w:rFonts w:hint="eastAsia" w:ascii="宋体" w:hAnsi="宋体"/>
          <w:sz w:val="28"/>
          <w:szCs w:val="28"/>
        </w:rPr>
        <w:t xml:space="preserve">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05F61E"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 w14:paraId="3523C350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B6883A"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7CD16A91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1DD13355"/>
    <w:rsid w:val="1F246194"/>
    <w:rsid w:val="30D863E3"/>
    <w:rsid w:val="35844C1F"/>
    <w:rsid w:val="378A66D0"/>
    <w:rsid w:val="4CB160DB"/>
    <w:rsid w:val="63BE4DA7"/>
    <w:rsid w:val="6CB6511A"/>
    <w:rsid w:val="72A65BB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1250</Words>
  <Characters>1814</Characters>
  <Lines>14</Lines>
  <Paragraphs>4</Paragraphs>
  <TotalTime>0</TotalTime>
  <ScaleCrop>false</ScaleCrop>
  <LinksUpToDate>false</LinksUpToDate>
  <CharactersWithSpaces>1871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叶淑珊</cp:lastModifiedBy>
  <cp:lastPrinted>2411-12-31T16:00:00Z</cp:lastPrinted>
  <dcterms:modified xsi:type="dcterms:W3CDTF">2025-01-15T08:52:34Z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D87577B2AB004D78AF4EDE32973003DC</vt:lpwstr>
  </property>
  <property fmtid="{D5CDD505-2E9C-101B-9397-08002B2CF9AE}" pid="6" name="KSOTemplateDocerSaveRecord">
    <vt:lpwstr>eyJoZGlkIjoiOWIxZTQ0Y2U3OTQ2NWY3NzMxNjc2MWQ1NzU0NTVlYmMiLCJ1c2VySWQiOiI0MTk3MDc1NTcifQ==</vt:lpwstr>
  </property>
</Properties>
</file>