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5C9F8E9">
      <w:pPr>
        <w:rPr>
          <w:sz w:val="48"/>
        </w:rPr>
      </w:pPr>
    </w:p>
    <w:p w14:paraId="74B526A3">
      <w:pPr>
        <w:rPr>
          <w:sz w:val="48"/>
        </w:rPr>
      </w:pPr>
    </w:p>
    <w:p w14:paraId="1A864D15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桐庐农商银行丰收信福封闭净值型2024年第24期理财产品</w:t>
      </w:r>
    </w:p>
    <w:p w14:paraId="21BEF547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2024年第4季度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 w14:paraId="602B3006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28B6EEFB">
      <w:pPr>
        <w:jc w:val="center"/>
        <w:rPr>
          <w:rFonts w:ascii="宋体" w:hAnsi="宋体"/>
          <w:sz w:val="28"/>
          <w:szCs w:val="30"/>
        </w:rPr>
      </w:pPr>
    </w:p>
    <w:p w14:paraId="56C41976">
      <w:pPr>
        <w:jc w:val="center"/>
        <w:rPr>
          <w:rFonts w:ascii="宋体" w:hAnsi="宋体"/>
          <w:sz w:val="28"/>
          <w:szCs w:val="30"/>
        </w:rPr>
      </w:pPr>
    </w:p>
    <w:p w14:paraId="74366494">
      <w:pPr>
        <w:jc w:val="center"/>
        <w:rPr>
          <w:rFonts w:ascii="宋体" w:hAnsi="宋体"/>
          <w:sz w:val="28"/>
          <w:szCs w:val="30"/>
        </w:rPr>
      </w:pPr>
    </w:p>
    <w:p w14:paraId="6874B957">
      <w:pPr>
        <w:jc w:val="center"/>
        <w:rPr>
          <w:rFonts w:ascii="宋体" w:hAnsi="宋体"/>
          <w:sz w:val="28"/>
          <w:szCs w:val="30"/>
        </w:rPr>
      </w:pPr>
    </w:p>
    <w:p w14:paraId="07570F62">
      <w:pPr>
        <w:jc w:val="center"/>
        <w:rPr>
          <w:rFonts w:ascii="宋体" w:hAnsi="宋体"/>
          <w:sz w:val="28"/>
          <w:szCs w:val="30"/>
        </w:rPr>
      </w:pPr>
    </w:p>
    <w:p w14:paraId="1AEC2A6F">
      <w:pPr>
        <w:jc w:val="center"/>
        <w:rPr>
          <w:rFonts w:ascii="宋体" w:hAnsi="宋体"/>
          <w:sz w:val="28"/>
          <w:szCs w:val="30"/>
        </w:rPr>
      </w:pPr>
    </w:p>
    <w:p w14:paraId="422A10A1">
      <w:pPr>
        <w:jc w:val="center"/>
        <w:rPr>
          <w:rFonts w:ascii="宋体" w:hAnsi="宋体"/>
          <w:sz w:val="28"/>
          <w:szCs w:val="30"/>
        </w:rPr>
      </w:pPr>
    </w:p>
    <w:p w14:paraId="0AECF612">
      <w:pPr>
        <w:jc w:val="center"/>
        <w:rPr>
          <w:rFonts w:ascii="宋体" w:hAnsi="宋体"/>
          <w:sz w:val="28"/>
          <w:szCs w:val="30"/>
        </w:rPr>
      </w:pPr>
    </w:p>
    <w:p w14:paraId="6D6D54A6">
      <w:pPr>
        <w:jc w:val="center"/>
        <w:rPr>
          <w:rFonts w:ascii="宋体" w:hAnsi="宋体"/>
          <w:sz w:val="28"/>
          <w:szCs w:val="30"/>
        </w:rPr>
      </w:pPr>
    </w:p>
    <w:p w14:paraId="6E7F341F">
      <w:pPr>
        <w:jc w:val="center"/>
        <w:rPr>
          <w:rFonts w:ascii="宋体" w:hAnsi="宋体"/>
          <w:sz w:val="28"/>
          <w:szCs w:val="30"/>
        </w:rPr>
      </w:pPr>
    </w:p>
    <w:p w14:paraId="671A69BA">
      <w:pPr>
        <w:jc w:val="center"/>
        <w:rPr>
          <w:rFonts w:ascii="宋体" w:hAnsi="宋体"/>
          <w:sz w:val="28"/>
          <w:szCs w:val="30"/>
        </w:rPr>
      </w:pPr>
    </w:p>
    <w:p w14:paraId="6176DF7B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产品管理人：浙江桐庐农村商业银行股份有限公司</w:t>
      </w:r>
    </w:p>
    <w:p w14:paraId="47A5CF6E"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 w14:paraId="2329B1C6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73D9CD08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2D28ECF7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157FD0FF">
      <w:pPr>
        <w:rPr>
          <w:rFonts w:ascii="宋体" w:hAnsi="宋体"/>
          <w:sz w:val="28"/>
          <w:szCs w:val="30"/>
        </w:rPr>
      </w:pPr>
    </w:p>
    <w:p w14:paraId="578F1540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6356D379"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 w14:paraId="023C708D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 w14:paraId="230E02DF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 w14:paraId="51FF0A30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 w14:paraId="483D9CCE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自2024-10-01起至2024-12-31</w:t>
      </w:r>
      <w:r>
        <w:rPr>
          <w:rFonts w:ascii="宋体" w:hAnsi="宋体"/>
          <w:szCs w:val="21"/>
        </w:rPr>
        <w:t>止。</w:t>
      </w:r>
    </w:p>
    <w:p w14:paraId="3920D978"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 w14:paraId="2E2BC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29A8845E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 w14:paraId="360EFA71"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 w14:paraId="331C3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6F52BF9F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 w14:paraId="74943020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桐庐农商银行丰收信福封闭净值型2024年第24期理财产品</w:t>
            </w:r>
          </w:p>
        </w:tc>
      </w:tr>
      <w:tr w14:paraId="3ED0A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3E68569C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 w14:paraId="422F132F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C1123124000023</w:t>
            </w:r>
          </w:p>
        </w:tc>
      </w:tr>
      <w:tr w14:paraId="19B79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4F75C4DA"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 w14:paraId="04991A6C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浙江桐庐农村商业银行股份有限公司</w:t>
            </w:r>
          </w:p>
        </w:tc>
      </w:tr>
      <w:tr w14:paraId="3A1D0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74740473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 w14:paraId="3846592B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 w14:paraId="7A05C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1DCB8321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 w14:paraId="5CAE9436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公募封闭式净值型理财产品</w:t>
            </w:r>
            <w:r>
              <w:rPr>
                <w:rFonts w:ascii="宋体" w:hAnsi="宋体"/>
              </w:rPr>
              <w:tab/>
            </w:r>
          </w:p>
        </w:tc>
      </w:tr>
      <w:tr w14:paraId="3868E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13E80458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 w14:paraId="1C2D9995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2024-06-27</w:t>
            </w:r>
          </w:p>
        </w:tc>
      </w:tr>
      <w:tr w14:paraId="26562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3A2B7974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 w14:paraId="2CE61220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2025-06-27</w:t>
            </w:r>
          </w:p>
        </w:tc>
      </w:tr>
      <w:tr w14:paraId="4B532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 w14:paraId="15AD5F16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 w14:paraId="65325488"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7,000,000.00</w:t>
            </w:r>
            <w:bookmarkEnd w:id="0"/>
          </w:p>
        </w:tc>
      </w:tr>
      <w:tr w14:paraId="766AC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755E789E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 w14:paraId="3A837C02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[2.4%-3.9%]/年</w:t>
            </w:r>
          </w:p>
        </w:tc>
      </w:tr>
      <w:tr w14:paraId="31E3A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05558E1F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 w14:paraId="5775874E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 w14:paraId="7348052C"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 w14:paraId="6DDF6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 w14:paraId="41CED5FA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 w14:paraId="2659441E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 w14:paraId="3DE9C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 w14:paraId="5B88D6D1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2024-10-01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2024-12-31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 w14:paraId="5E054F5A">
            <w:pPr>
              <w:jc w:val="right"/>
            </w:pPr>
            <w:r>
              <w:t>1.73</w:t>
            </w:r>
          </w:p>
        </w:tc>
      </w:tr>
      <w:tr w14:paraId="73411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 w14:paraId="33BAB414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 w14:paraId="4BEA7412">
            <w:pPr>
              <w:jc w:val="right"/>
            </w:pPr>
            <w:r>
              <w:rPr>
                <w:rFonts w:hint="eastAsia"/>
              </w:rPr>
              <w:t>1.90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 w14:paraId="73B41AC6"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 w14:paraId="4A6FAF51">
      <w:pPr>
        <w:pStyle w:val="40"/>
      </w:pPr>
      <w:r>
        <w:rPr>
          <w:rFonts w:hint="eastAsia"/>
        </w:rPr>
        <w:t>主要财务指标</w:t>
      </w:r>
    </w:p>
    <w:p w14:paraId="2E89BC6D"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 w14:paraId="5EBBD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 w14:paraId="0B2A5F66"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 w14:paraId="560A61CC">
            <w:pPr>
              <w:jc w:val="left"/>
              <w:rPr>
                <w:b/>
              </w:rPr>
            </w:pPr>
            <w:r>
              <w:rPr>
                <w:b/>
              </w:rPr>
              <w:t>2024-10-01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2024-12-31</w:t>
            </w:r>
          </w:p>
        </w:tc>
      </w:tr>
      <w:tr w14:paraId="42474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72EFEF56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 w14:paraId="7BEC4F12">
            <w:pPr>
              <w:jc w:val="right"/>
            </w:pPr>
            <w:r>
              <w:t>-266.94</w:t>
            </w:r>
          </w:p>
        </w:tc>
      </w:tr>
      <w:tr w14:paraId="42664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35C33CC8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 w14:paraId="00F81437">
            <w:pPr>
              <w:jc w:val="right"/>
            </w:pPr>
            <w:r>
              <w:t>121,631.19</w:t>
            </w:r>
          </w:p>
        </w:tc>
      </w:tr>
      <w:tr w14:paraId="64674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31CC0298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 w14:paraId="4CD5A13C">
            <w:pPr>
              <w:jc w:val="right"/>
            </w:pPr>
            <w:r>
              <w:t>7,132,936.71</w:t>
            </w:r>
          </w:p>
        </w:tc>
      </w:tr>
      <w:tr w14:paraId="763AF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625878E3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 w14:paraId="58165CA0">
            <w:pPr>
              <w:jc w:val="right"/>
            </w:pPr>
            <w:r>
              <w:t>1.01899095</w:t>
            </w:r>
          </w:p>
        </w:tc>
      </w:tr>
    </w:tbl>
    <w:p w14:paraId="39C5FD7E">
      <w:pPr>
        <w:tabs>
          <w:tab w:val="left" w:pos="3135"/>
        </w:tabs>
        <w:ind w:left="420" w:leftChars="200"/>
      </w:pPr>
    </w:p>
    <w:p w14:paraId="3ACD679E"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 w14:paraId="4EE4CDB8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 w14:paraId="5B9B9BBE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 w14:paraId="45576F03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 w14:paraId="787DD3C9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 w14:paraId="600E0E3E"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 w14:paraId="2DF97934">
      <w:pPr>
        <w:jc w:val="right"/>
      </w:pPr>
    </w:p>
    <w:p w14:paraId="463A7F30">
      <w:pPr>
        <w:jc w:val="right"/>
      </w:pPr>
    </w:p>
    <w:p w14:paraId="4160800C"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 w14:paraId="1C4C9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14:paraId="637E201F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14:paraId="2F828DA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14:paraId="6887DA0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14:paraId="7C7442CC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 w14:paraId="620B6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 w14:paraId="55095B5D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 w14:paraId="00F126C8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14:paraId="2ED0EF4C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14:paraId="3ACFC959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14:paraId="523FD3E6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14:paraId="63C56AD4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 w14:paraId="3C149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7417C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FEACB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1C44185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6FCC55B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67155ADC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339170CB">
            <w:pPr>
              <w:jc w:val="right"/>
            </w:pPr>
            <w:r>
              <w:t>0.00</w:t>
            </w:r>
          </w:p>
        </w:tc>
      </w:tr>
      <w:tr w14:paraId="27AC7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4F1855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545318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3884DE7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61A1902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3594F020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672729BA">
            <w:pPr>
              <w:jc w:val="right"/>
            </w:pPr>
            <w:r>
              <w:t>0.00</w:t>
            </w:r>
          </w:p>
        </w:tc>
      </w:tr>
      <w:tr w14:paraId="09A77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0C90C8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4ED150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5C46EF3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32A74848">
            <w:pPr>
              <w:jc w:val="right"/>
            </w:pPr>
          </w:p>
        </w:tc>
        <w:tc>
          <w:tcPr>
            <w:tcW w:w="1653" w:type="dxa"/>
            <w:vAlign w:val="center"/>
          </w:tcPr>
          <w:p w14:paraId="330A9417">
            <w:pPr>
              <w:jc w:val="right"/>
            </w:pPr>
          </w:p>
        </w:tc>
        <w:tc>
          <w:tcPr>
            <w:tcW w:w="1705" w:type="dxa"/>
            <w:vAlign w:val="center"/>
          </w:tcPr>
          <w:p w14:paraId="0DE1F0F6">
            <w:pPr>
              <w:jc w:val="right"/>
            </w:pPr>
          </w:p>
        </w:tc>
      </w:tr>
      <w:tr w14:paraId="528FB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11CC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83895A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2FD643F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9586BD2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6C5027F1">
            <w:pPr>
              <w:jc w:val="right"/>
            </w:pPr>
            <w:r>
              <w:t>988,695.03</w:t>
            </w:r>
          </w:p>
        </w:tc>
        <w:tc>
          <w:tcPr>
            <w:tcW w:w="1705" w:type="dxa"/>
            <w:vAlign w:val="center"/>
          </w:tcPr>
          <w:p w14:paraId="45490403">
            <w:pPr>
              <w:jc w:val="right"/>
            </w:pPr>
            <w:r>
              <w:t>13.86</w:t>
            </w:r>
          </w:p>
        </w:tc>
      </w:tr>
      <w:tr w14:paraId="416CA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E67168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7071B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E5FBDB5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3D5C9FD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238781B3">
            <w:pPr>
              <w:jc w:val="right"/>
            </w:pPr>
            <w:r>
              <w:t>6,841,963.36</w:t>
            </w:r>
          </w:p>
        </w:tc>
        <w:tc>
          <w:tcPr>
            <w:tcW w:w="1705" w:type="dxa"/>
            <w:vAlign w:val="center"/>
          </w:tcPr>
          <w:p w14:paraId="2D3DAAA6">
            <w:pPr>
              <w:jc w:val="right"/>
            </w:pPr>
            <w:r>
              <w:t>95.91</w:t>
            </w:r>
          </w:p>
        </w:tc>
      </w:tr>
      <w:tr w14:paraId="2B689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2C38ACE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2AC0939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0ED41DC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28710EC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5828757D">
            <w:pPr>
              <w:jc w:val="right"/>
            </w:pPr>
            <w:r>
              <w:t>6,415,540.14</w:t>
            </w:r>
          </w:p>
        </w:tc>
        <w:tc>
          <w:tcPr>
            <w:tcW w:w="1705" w:type="dxa"/>
            <w:vAlign w:val="center"/>
          </w:tcPr>
          <w:p w14:paraId="2F1AFAF2">
            <w:pPr>
              <w:jc w:val="right"/>
            </w:pPr>
            <w:r>
              <w:t>89.94</w:t>
            </w:r>
          </w:p>
        </w:tc>
      </w:tr>
      <w:tr w14:paraId="62477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1137A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DD7CC9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1AB4003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016FE5F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6B37DA42">
            <w:pPr>
              <w:jc w:val="right"/>
            </w:pPr>
            <w:r>
              <w:t>426,423.22</w:t>
            </w:r>
          </w:p>
        </w:tc>
        <w:tc>
          <w:tcPr>
            <w:tcW w:w="1705" w:type="dxa"/>
            <w:vAlign w:val="center"/>
          </w:tcPr>
          <w:p w14:paraId="19D5A0BC">
            <w:pPr>
              <w:jc w:val="right"/>
            </w:pPr>
            <w:r>
              <w:t>5.98</w:t>
            </w:r>
          </w:p>
        </w:tc>
      </w:tr>
      <w:tr w14:paraId="2ED82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94DF6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6AF3AE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4AFCA15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593ED92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52FAEFAD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5A84CA85">
            <w:pPr>
              <w:jc w:val="right"/>
            </w:pPr>
            <w:r>
              <w:t>0.00</w:t>
            </w:r>
          </w:p>
        </w:tc>
      </w:tr>
      <w:tr w14:paraId="1580A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FD786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3CEEC0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2FFECC8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44F82F46">
            <w:pPr>
              <w:jc w:val="right"/>
            </w:pPr>
          </w:p>
        </w:tc>
        <w:tc>
          <w:tcPr>
            <w:tcW w:w="1653" w:type="dxa"/>
            <w:vAlign w:val="center"/>
          </w:tcPr>
          <w:p w14:paraId="4FF7C311">
            <w:pPr>
              <w:jc w:val="right"/>
            </w:pPr>
          </w:p>
        </w:tc>
        <w:tc>
          <w:tcPr>
            <w:tcW w:w="1705" w:type="dxa"/>
            <w:vAlign w:val="center"/>
          </w:tcPr>
          <w:p w14:paraId="12DF018B">
            <w:pPr>
              <w:jc w:val="right"/>
            </w:pPr>
          </w:p>
        </w:tc>
      </w:tr>
      <w:tr w14:paraId="4E756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6FDB5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6D27B8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22628F5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72449F30">
            <w:pPr>
              <w:jc w:val="right"/>
            </w:pPr>
          </w:p>
        </w:tc>
        <w:tc>
          <w:tcPr>
            <w:tcW w:w="1653" w:type="dxa"/>
            <w:vAlign w:val="center"/>
          </w:tcPr>
          <w:p w14:paraId="1F4A2976">
            <w:pPr>
              <w:jc w:val="right"/>
            </w:pPr>
          </w:p>
        </w:tc>
        <w:tc>
          <w:tcPr>
            <w:tcW w:w="1705" w:type="dxa"/>
            <w:vAlign w:val="center"/>
          </w:tcPr>
          <w:p w14:paraId="748FE483">
            <w:pPr>
              <w:jc w:val="right"/>
            </w:pPr>
          </w:p>
        </w:tc>
      </w:tr>
      <w:tr w14:paraId="2133A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AA9E1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10007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55170D9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969AC71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0A374E3B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4F844D89">
            <w:pPr>
              <w:jc w:val="right"/>
            </w:pPr>
            <w:r>
              <w:t>0.00</w:t>
            </w:r>
          </w:p>
        </w:tc>
      </w:tr>
      <w:tr w14:paraId="7BBE6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7C379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AFCB4E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627F2B1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0BA5FD1C">
            <w:pPr>
              <w:jc w:val="right"/>
            </w:pPr>
          </w:p>
        </w:tc>
        <w:tc>
          <w:tcPr>
            <w:tcW w:w="1653" w:type="dxa"/>
            <w:vAlign w:val="center"/>
          </w:tcPr>
          <w:p w14:paraId="05185A7A">
            <w:pPr>
              <w:jc w:val="right"/>
            </w:pPr>
          </w:p>
        </w:tc>
        <w:tc>
          <w:tcPr>
            <w:tcW w:w="1705" w:type="dxa"/>
            <w:vAlign w:val="center"/>
          </w:tcPr>
          <w:p w14:paraId="1D2AF92E">
            <w:pPr>
              <w:jc w:val="right"/>
            </w:pPr>
          </w:p>
        </w:tc>
      </w:tr>
      <w:tr w14:paraId="008C6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7D82C4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A377AD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3E1120A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F99A050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23758CC2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1DCCC20D">
            <w:pPr>
              <w:jc w:val="right"/>
            </w:pPr>
            <w:r>
              <w:t>0.00</w:t>
            </w:r>
          </w:p>
        </w:tc>
      </w:tr>
      <w:tr w14:paraId="3479A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EE56E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36B6D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E0E8226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787D5E5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0ABFFAF6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73F595D5">
            <w:pPr>
              <w:jc w:val="right"/>
            </w:pPr>
            <w:r>
              <w:t>0.00</w:t>
            </w:r>
          </w:p>
        </w:tc>
      </w:tr>
      <w:tr w14:paraId="15BB9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BF6FF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437C8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E3D161A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6908CBFC">
            <w:pPr>
              <w:jc w:val="right"/>
            </w:pPr>
          </w:p>
        </w:tc>
        <w:tc>
          <w:tcPr>
            <w:tcW w:w="1653" w:type="dxa"/>
            <w:vAlign w:val="center"/>
          </w:tcPr>
          <w:p w14:paraId="06C18793">
            <w:pPr>
              <w:jc w:val="right"/>
            </w:pPr>
          </w:p>
        </w:tc>
        <w:tc>
          <w:tcPr>
            <w:tcW w:w="1705" w:type="dxa"/>
            <w:vAlign w:val="center"/>
          </w:tcPr>
          <w:p w14:paraId="1E70ADED">
            <w:pPr>
              <w:jc w:val="right"/>
            </w:pPr>
          </w:p>
        </w:tc>
      </w:tr>
      <w:tr w14:paraId="1B02E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3A68F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52DA39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AE5C22A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D9D9D06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5C0742BB">
            <w:pPr>
              <w:jc w:val="right"/>
            </w:pPr>
            <w:r>
              <w:t>34,754.56</w:t>
            </w:r>
          </w:p>
        </w:tc>
        <w:tc>
          <w:tcPr>
            <w:tcW w:w="1705" w:type="dxa"/>
            <w:vAlign w:val="center"/>
          </w:tcPr>
          <w:p w14:paraId="2D251121">
            <w:pPr>
              <w:jc w:val="right"/>
            </w:pPr>
            <w:r>
              <w:t>0.49</w:t>
            </w:r>
          </w:p>
        </w:tc>
      </w:tr>
      <w:tr w14:paraId="7576F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D55A7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E39C99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C7A8912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5128317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7BFE7175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48C0B755">
            <w:pPr>
              <w:jc w:val="right"/>
            </w:pPr>
            <w:r>
              <w:t>0.00</w:t>
            </w:r>
          </w:p>
        </w:tc>
      </w:tr>
      <w:tr w14:paraId="123D5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540628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F344CD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DD6D1D6">
            <w:pPr>
              <w:jc w:val="right"/>
            </w:pPr>
            <w:r>
              <w:t>7,133,478.45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05FA5D1"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 w14:paraId="6F635782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0B13F6D5">
            <w:pPr>
              <w:jc w:val="right"/>
            </w:pPr>
            <w:r>
              <w:t>0.00</w:t>
            </w:r>
          </w:p>
        </w:tc>
      </w:tr>
      <w:tr w14:paraId="663A0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A4BAC8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B4E00D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BBDAB9B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1976693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3D514BBA">
            <w:pPr>
              <w:jc w:val="right"/>
            </w:pPr>
            <w:r>
              <w:t>714.68</w:t>
            </w:r>
          </w:p>
        </w:tc>
        <w:tc>
          <w:tcPr>
            <w:tcW w:w="1705" w:type="dxa"/>
            <w:vAlign w:val="center"/>
          </w:tcPr>
          <w:p w14:paraId="4955D42E">
            <w:pPr>
              <w:jc w:val="right"/>
            </w:pPr>
            <w:r>
              <w:t>0.01</w:t>
            </w:r>
          </w:p>
        </w:tc>
      </w:tr>
      <w:tr w14:paraId="5FE6A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 w14:paraId="4E6902F9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 w14:paraId="5F10152B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14:paraId="367ECA27">
            <w:pPr>
              <w:jc w:val="right"/>
            </w:pPr>
            <w:r>
              <w:t>7,133,478.45</w:t>
            </w:r>
          </w:p>
        </w:tc>
        <w:tc>
          <w:tcPr>
            <w:tcW w:w="1749" w:type="dxa"/>
            <w:shd w:val="clear" w:color="auto" w:fill="auto"/>
          </w:tcPr>
          <w:p w14:paraId="0D55BA7B"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 w14:paraId="01E9186F">
            <w:pPr>
              <w:jc w:val="right"/>
            </w:pPr>
            <w:r>
              <w:t>7,866,127.64</w:t>
            </w:r>
          </w:p>
        </w:tc>
        <w:tc>
          <w:tcPr>
            <w:tcW w:w="1705" w:type="dxa"/>
          </w:tcPr>
          <w:p w14:paraId="34219637">
            <w:pPr>
              <w:jc w:val="right"/>
            </w:pPr>
            <w:r>
              <w:t>110.27</w:t>
            </w:r>
          </w:p>
        </w:tc>
      </w:tr>
    </w:tbl>
    <w:p w14:paraId="106EFE38">
      <w:pPr>
        <w:ind w:left="420" w:leftChars="200"/>
        <w:jc w:val="left"/>
        <w:rPr>
          <w:rFonts w:ascii="宋体" w:hAnsi="宋体"/>
          <w:sz w:val="24"/>
        </w:rPr>
      </w:pPr>
    </w:p>
    <w:p w14:paraId="758EE554"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 w14:paraId="1147A4E8"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 w14:paraId="3271CF47">
      <w:pPr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 w:eastAsia="宋体"/>
          <w:szCs w:val="21"/>
        </w:rPr>
        <w:t>报告期内管理人合理安排资产结构，严格按照产品说明书约定的投资范围、比例等要求进行投资管理，流动性风险可控。</w:t>
      </w:r>
    </w:p>
    <w:p w14:paraId="568C63C4">
      <w:pPr>
        <w:widowControl/>
        <w:jc w:val="left"/>
        <w:rPr>
          <w:rFonts w:ascii="宋体" w:hAnsi="宋体"/>
          <w:sz w:val="24"/>
        </w:rPr>
      </w:pPr>
    </w:p>
    <w:p w14:paraId="70D3E4C7"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 w14:paraId="654F1D96"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 w14:paraId="27C1A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 w14:paraId="6343BE7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14:paraId="102BE3C8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17937629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14:paraId="3905AE53">
            <w:pPr>
              <w:jc w:val="left"/>
              <w:rPr>
                <w:rFonts w:hint="eastAsia" w:ascii="宋体" w:hAns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占产品资产净值比例（%）</w:t>
            </w:r>
          </w:p>
        </w:tc>
      </w:tr>
      <w:tr w14:paraId="638DF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 w14:paraId="4213A4D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303E4E3C">
            <w:pPr>
              <w:rPr>
                <w:szCs w:val="21"/>
              </w:rPr>
            </w:pPr>
            <w:r>
              <w:rPr>
                <w:szCs w:val="21"/>
              </w:rPr>
              <w:t>中信证券丰收信益6号集合资产管理计划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9F2F067">
            <w:pPr>
              <w:jc w:val="right"/>
            </w:pPr>
            <w:r>
              <w:t>7,133,478.45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39A8FA40">
            <w:pPr>
              <w:jc w:val="right"/>
            </w:pPr>
            <w:bookmarkStart w:id="3" w:name="OLE_LINK5"/>
            <w:bookmarkStart w:id="4" w:name="OLE_LINK6"/>
            <w:r>
              <w:t>100.01</w:t>
            </w:r>
            <w:bookmarkEnd w:id="3"/>
            <w:bookmarkEnd w:id="4"/>
          </w:p>
        </w:tc>
      </w:tr>
    </w:tbl>
    <w:p w14:paraId="38338404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4D573AAE"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注：前十项资产明细仅包含证券投资、场外投资，不包含银行活期存款、存出保证金、清算备付金等资产。</w:t>
      </w:r>
    </w:p>
    <w:p w14:paraId="78A09F41"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 w14:paraId="4B82E226"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 w14:paraId="6BEE84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62BCE4"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588EC"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D81ADD"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1F5ED">
            <w:pPr>
              <w:spacing w:before="100" w:beforeAutospacing="1" w:after="100" w:afterAutospacing="1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占产品资产净值比例（%）</w:t>
            </w:r>
          </w:p>
        </w:tc>
      </w:tr>
      <w:tr w14:paraId="134921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2D6EF"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E3E58">
            <w:pPr>
              <w:rPr>
                <w:sz w:val="20"/>
              </w:rPr>
            </w:pPr>
            <w:r>
              <w:rPr>
                <w:szCs w:val="21"/>
              </w:rPr>
              <w:t>财通安瑞短债债券A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B0B95">
            <w:pPr>
              <w:jc w:val="right"/>
              <w:rPr>
                <w:rFonts w:eastAsia="Times New Roman"/>
                <w:sz w:val="20"/>
              </w:rPr>
            </w:pPr>
            <w:r>
              <w:t>341,150.46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BCC82">
            <w:pPr>
              <w:jc w:val="right"/>
              <w:rPr>
                <w:rFonts w:eastAsia="Times New Roman"/>
                <w:sz w:val="20"/>
              </w:rPr>
            </w:pPr>
            <w:r>
              <w:t>4.78</w:t>
            </w:r>
          </w:p>
        </w:tc>
      </w:tr>
      <w:tr w14:paraId="0E4DB9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2FD0E"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69D00">
            <w:pPr>
              <w:rPr>
                <w:sz w:val="20"/>
              </w:rPr>
            </w:pPr>
            <w:r>
              <w:rPr>
                <w:szCs w:val="21"/>
              </w:rPr>
              <w:t>易方达稳健收益债券B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60220">
            <w:pPr>
              <w:jc w:val="right"/>
              <w:rPr>
                <w:rFonts w:eastAsia="Times New Roman"/>
                <w:sz w:val="20"/>
              </w:rPr>
            </w:pPr>
            <w:r>
              <w:t>250,788.58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50C15">
            <w:pPr>
              <w:jc w:val="right"/>
              <w:rPr>
                <w:rFonts w:eastAsia="Times New Roman"/>
                <w:sz w:val="20"/>
              </w:rPr>
            </w:pPr>
            <w:r>
              <w:t>3.52</w:t>
            </w:r>
          </w:p>
        </w:tc>
      </w:tr>
      <w:tr w14:paraId="451E32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7D8F5"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CFCC0">
            <w:pPr>
              <w:rPr>
                <w:sz w:val="20"/>
              </w:rPr>
            </w:pPr>
            <w:r>
              <w:rPr>
                <w:szCs w:val="21"/>
              </w:rPr>
              <w:t>易方达双债增强债券C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FA8E1">
            <w:pPr>
              <w:jc w:val="right"/>
              <w:rPr>
                <w:rFonts w:eastAsia="Times New Roman"/>
                <w:sz w:val="20"/>
              </w:rPr>
            </w:pPr>
            <w:r>
              <w:t>250,546.93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A16F5">
            <w:pPr>
              <w:jc w:val="right"/>
              <w:rPr>
                <w:rFonts w:eastAsia="Times New Roman"/>
                <w:sz w:val="20"/>
              </w:rPr>
            </w:pPr>
            <w:r>
              <w:t>3.51</w:t>
            </w:r>
          </w:p>
        </w:tc>
      </w:tr>
      <w:tr w14:paraId="0C8808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7B44E"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DCF91">
            <w:pPr>
              <w:rPr>
                <w:sz w:val="20"/>
              </w:rPr>
            </w:pPr>
            <w:r>
              <w:rPr>
                <w:szCs w:val="21"/>
              </w:rPr>
              <w:t>土地01优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5EB0A">
            <w:pPr>
              <w:jc w:val="right"/>
              <w:rPr>
                <w:rFonts w:eastAsia="Times New Roman"/>
                <w:sz w:val="20"/>
              </w:rPr>
            </w:pPr>
            <w:r>
              <w:t>147,446.95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DCDE5">
            <w:pPr>
              <w:jc w:val="right"/>
              <w:rPr>
                <w:rFonts w:eastAsia="Times New Roman"/>
                <w:sz w:val="20"/>
              </w:rPr>
            </w:pPr>
            <w:r>
              <w:t>2.07</w:t>
            </w:r>
          </w:p>
        </w:tc>
      </w:tr>
      <w:tr w14:paraId="427C84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5D677"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F74B5">
            <w:pPr>
              <w:rPr>
                <w:sz w:val="20"/>
              </w:rPr>
            </w:pPr>
            <w:r>
              <w:rPr>
                <w:szCs w:val="21"/>
              </w:rPr>
              <w:t>财通安瑞短债债券C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546CB">
            <w:pPr>
              <w:jc w:val="right"/>
              <w:rPr>
                <w:rFonts w:eastAsia="Times New Roman"/>
                <w:sz w:val="20"/>
              </w:rPr>
            </w:pPr>
            <w:r>
              <w:t>146,209.07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C592E">
            <w:pPr>
              <w:jc w:val="right"/>
              <w:rPr>
                <w:rFonts w:eastAsia="Times New Roman"/>
                <w:sz w:val="20"/>
              </w:rPr>
            </w:pPr>
            <w:r>
              <w:t>2.05</w:t>
            </w:r>
          </w:p>
        </w:tc>
      </w:tr>
      <w:tr w14:paraId="118022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C0ACA"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E01A5">
            <w:pPr>
              <w:rPr>
                <w:sz w:val="20"/>
              </w:rPr>
            </w:pPr>
            <w:r>
              <w:rPr>
                <w:szCs w:val="21"/>
              </w:rPr>
              <w:t>21恒丰银行永续债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0E920">
            <w:pPr>
              <w:jc w:val="right"/>
              <w:rPr>
                <w:rFonts w:eastAsia="Times New Roman"/>
                <w:sz w:val="20"/>
              </w:rPr>
            </w:pPr>
            <w:r>
              <w:t>144,804.73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27E08">
            <w:pPr>
              <w:jc w:val="right"/>
              <w:rPr>
                <w:rFonts w:eastAsia="Times New Roman"/>
                <w:sz w:val="20"/>
              </w:rPr>
            </w:pPr>
            <w:r>
              <w:t>2.03</w:t>
            </w:r>
          </w:p>
        </w:tc>
      </w:tr>
      <w:tr w14:paraId="2F5B02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1A36C"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9E848">
            <w:pPr>
              <w:rPr>
                <w:sz w:val="20"/>
              </w:rPr>
            </w:pPr>
            <w:r>
              <w:rPr>
                <w:szCs w:val="21"/>
              </w:rPr>
              <w:t>23唐山银行永续债02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1E281">
            <w:pPr>
              <w:jc w:val="right"/>
              <w:rPr>
                <w:rFonts w:eastAsia="Times New Roman"/>
                <w:sz w:val="20"/>
              </w:rPr>
            </w:pPr>
            <w:r>
              <w:t>134,673.54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7BE38">
            <w:pPr>
              <w:jc w:val="right"/>
              <w:rPr>
                <w:rFonts w:eastAsia="Times New Roman"/>
                <w:sz w:val="20"/>
              </w:rPr>
            </w:pPr>
            <w:r>
              <w:t>1.89</w:t>
            </w:r>
          </w:p>
        </w:tc>
      </w:tr>
      <w:tr w14:paraId="7ECB73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F212E"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86999">
            <w:pPr>
              <w:rPr>
                <w:sz w:val="20"/>
              </w:rPr>
            </w:pPr>
            <w:r>
              <w:rPr>
                <w:szCs w:val="21"/>
              </w:rPr>
              <w:t>21鄞州农商永续债01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4F920">
            <w:pPr>
              <w:jc w:val="right"/>
              <w:rPr>
                <w:rFonts w:eastAsia="Times New Roman"/>
                <w:sz w:val="20"/>
              </w:rPr>
            </w:pPr>
            <w:r>
              <w:t>128,200.67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08E7A">
            <w:pPr>
              <w:jc w:val="right"/>
              <w:rPr>
                <w:rFonts w:eastAsia="Times New Roman"/>
                <w:sz w:val="20"/>
              </w:rPr>
            </w:pPr>
            <w:r>
              <w:t>1.80</w:t>
            </w:r>
          </w:p>
        </w:tc>
      </w:tr>
      <w:tr w14:paraId="4FAC7A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610F5"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863B2">
            <w:pPr>
              <w:rPr>
                <w:sz w:val="20"/>
              </w:rPr>
            </w:pPr>
            <w:r>
              <w:rPr>
                <w:szCs w:val="21"/>
              </w:rPr>
              <w:t>22建工Y6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50164">
            <w:pPr>
              <w:jc w:val="right"/>
              <w:rPr>
                <w:rFonts w:eastAsia="Times New Roman"/>
                <w:sz w:val="20"/>
              </w:rPr>
            </w:pPr>
            <w:r>
              <w:t>127,800.37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57D82">
            <w:pPr>
              <w:jc w:val="right"/>
              <w:rPr>
                <w:rFonts w:eastAsia="Times New Roman"/>
                <w:sz w:val="20"/>
              </w:rPr>
            </w:pPr>
            <w:r>
              <w:t>1.79</w:t>
            </w:r>
          </w:p>
        </w:tc>
      </w:tr>
      <w:tr w14:paraId="61B836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FE701"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9493D">
            <w:pPr>
              <w:rPr>
                <w:sz w:val="20"/>
              </w:rPr>
            </w:pPr>
            <w:r>
              <w:rPr>
                <w:szCs w:val="21"/>
              </w:rPr>
              <w:t>20三峡银行永续债01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7BA5C">
            <w:pPr>
              <w:jc w:val="right"/>
              <w:rPr>
                <w:rFonts w:eastAsia="Times New Roman"/>
                <w:sz w:val="20"/>
              </w:rPr>
            </w:pPr>
            <w:r>
              <w:t>125,914.86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06DFB">
            <w:pPr>
              <w:jc w:val="right"/>
              <w:rPr>
                <w:rFonts w:eastAsia="Times New Roman"/>
                <w:sz w:val="20"/>
              </w:rPr>
            </w:pPr>
            <w:r>
              <w:t>1.77</w:t>
            </w:r>
          </w:p>
        </w:tc>
      </w:tr>
    </w:tbl>
    <w:p w14:paraId="09A182DB"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注：前十项资产明细仅包含证券投资、场外投资，不包含银行活期存款、存出保证金、清算备付金等资产。</w:t>
      </w:r>
    </w:p>
    <w:p w14:paraId="0F15518A">
      <w:pPr>
        <w:pStyle w:val="40"/>
      </w:pPr>
      <w:r>
        <w:t>托管人报告</w:t>
      </w:r>
    </w:p>
    <w:p w14:paraId="5A3DE29B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 w14:paraId="155FEDD9">
      <w:pPr>
        <w:jc w:val="left"/>
        <w:rPr>
          <w:rFonts w:asciiTheme="minorEastAsia" w:hAnsiTheme="minorEastAsia" w:eastAsiaTheme="minorEastAsia"/>
          <w:szCs w:val="21"/>
        </w:rPr>
      </w:pPr>
    </w:p>
    <w:p w14:paraId="4285D4ED">
      <w:pPr>
        <w:jc w:val="right"/>
        <w:rPr>
          <w:rFonts w:ascii="宋体" w:hAnsi="宋体"/>
          <w:sz w:val="24"/>
        </w:rPr>
      </w:pPr>
    </w:p>
    <w:p w14:paraId="56434249">
      <w:pPr>
        <w:jc w:val="right"/>
        <w:rPr>
          <w:rFonts w:ascii="宋体" w:hAnsi="宋体"/>
          <w:sz w:val="24"/>
        </w:rPr>
      </w:pPr>
    </w:p>
    <w:p w14:paraId="2EA09488">
      <w:pPr>
        <w:jc w:val="right"/>
        <w:rPr>
          <w:rFonts w:ascii="宋体" w:hAnsi="宋体"/>
          <w:sz w:val="24"/>
        </w:rPr>
      </w:pPr>
    </w:p>
    <w:p w14:paraId="0BE70733">
      <w:pPr>
        <w:jc w:val="right"/>
        <w:rPr>
          <w:rFonts w:ascii="宋体" w:hAnsi="宋体"/>
          <w:sz w:val="24"/>
        </w:rPr>
      </w:pPr>
    </w:p>
    <w:p w14:paraId="6D137A77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浙江桐庐农村商业银行股份有限公司</w:t>
      </w:r>
    </w:p>
    <w:p w14:paraId="730E4639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2025-01-15</w:t>
      </w:r>
      <w:bookmarkStart w:id="5" w:name="_GoBack"/>
      <w:bookmarkEnd w:id="5"/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62DEEA"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 w14:paraId="6CBC741A"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DEA280"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 w14:paraId="657013B9"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0C672580"/>
    <w:rsid w:val="1DD13355"/>
    <w:rsid w:val="1F246194"/>
    <w:rsid w:val="30D863E3"/>
    <w:rsid w:val="35844C1F"/>
    <w:rsid w:val="378A66D0"/>
    <w:rsid w:val="63BE4DA7"/>
    <w:rsid w:val="6CB6511A"/>
    <w:rsid w:val="72A65BB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Char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Char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Char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xbrltitle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B689-16BA-4565-9A6E-625CBFB7C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402</Words>
  <Characters>462</Characters>
  <Lines>14</Lines>
  <Paragraphs>4</Paragraphs>
  <TotalTime>0</TotalTime>
  <ScaleCrop>false</ScaleCrop>
  <LinksUpToDate>false</LinksUpToDate>
  <CharactersWithSpaces>464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叶淑珊</cp:lastModifiedBy>
  <cp:lastPrinted>2411-12-31T16:00:00Z</cp:lastPrinted>
  <dcterms:modified xsi:type="dcterms:W3CDTF">2025-01-15T08:52:12Z</dcterms:modified>
  <dc:title>gongGaoMingCheng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D87577B2AB004D78AF4EDE32973003DC</vt:lpwstr>
  </property>
  <property fmtid="{D5CDD505-2E9C-101B-9397-08002B2CF9AE}" pid="6" name="KSOTemplateDocerSaveRecord">
    <vt:lpwstr>eyJoZGlkIjoiOWIxZTQ0Y2U3OTQ2NWY3NzMxNjc2MWQ1NzU0NTVlYmMiLCJ1c2VySWQiOiI0MTk3MDc1NTcifQ==</vt:lpwstr>
  </property>
</Properties>
</file>