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4A51EC76">
      <w:pPr>
        <w:rPr>
          <w:sz w:val="48"/>
        </w:rPr>
      </w:pPr>
    </w:p>
    <w:p w14:paraId="140B7826">
      <w:pPr>
        <w:rPr>
          <w:sz w:val="48"/>
        </w:rPr>
      </w:pPr>
    </w:p>
    <w:p w14:paraId="156ED307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hint="eastAsia" w:ascii="宋体" w:hAnsi="宋体"/>
          <w:b/>
          <w:bCs/>
          <w:sz w:val="48"/>
          <w:szCs w:val="30"/>
        </w:rPr>
        <w:t>桐庐农商银行丰收信福封闭净值型2024年第25期理财产品</w:t>
      </w:r>
    </w:p>
    <w:p w14:paraId="2E40EC57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2024年第4季度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 w14:paraId="52E6BA5E">
      <w:pPr>
        <w:jc w:val="center"/>
        <w:rPr>
          <w:rFonts w:ascii="宋体" w:hAnsi="宋体"/>
          <w:b/>
          <w:bCs/>
          <w:sz w:val="28"/>
          <w:szCs w:val="30"/>
        </w:rPr>
      </w:pPr>
    </w:p>
    <w:p w14:paraId="4400D50B">
      <w:pPr>
        <w:jc w:val="center"/>
        <w:rPr>
          <w:rFonts w:ascii="宋体" w:hAnsi="宋体"/>
          <w:sz w:val="28"/>
          <w:szCs w:val="30"/>
        </w:rPr>
      </w:pPr>
    </w:p>
    <w:p w14:paraId="3D3CC5E7">
      <w:pPr>
        <w:jc w:val="center"/>
        <w:rPr>
          <w:rFonts w:ascii="宋体" w:hAnsi="宋体"/>
          <w:sz w:val="28"/>
          <w:szCs w:val="30"/>
        </w:rPr>
      </w:pPr>
    </w:p>
    <w:p w14:paraId="158DE9AD">
      <w:pPr>
        <w:jc w:val="center"/>
        <w:rPr>
          <w:rFonts w:ascii="宋体" w:hAnsi="宋体"/>
          <w:sz w:val="28"/>
          <w:szCs w:val="30"/>
        </w:rPr>
      </w:pPr>
    </w:p>
    <w:p w14:paraId="44F6744B">
      <w:pPr>
        <w:jc w:val="center"/>
        <w:rPr>
          <w:rFonts w:ascii="宋体" w:hAnsi="宋体"/>
          <w:sz w:val="28"/>
          <w:szCs w:val="30"/>
        </w:rPr>
      </w:pPr>
    </w:p>
    <w:p w14:paraId="760E8FC1">
      <w:pPr>
        <w:jc w:val="center"/>
        <w:rPr>
          <w:rFonts w:ascii="宋体" w:hAnsi="宋体"/>
          <w:sz w:val="28"/>
          <w:szCs w:val="30"/>
        </w:rPr>
      </w:pPr>
    </w:p>
    <w:p w14:paraId="724E3C60">
      <w:pPr>
        <w:jc w:val="center"/>
        <w:rPr>
          <w:rFonts w:ascii="宋体" w:hAnsi="宋体"/>
          <w:sz w:val="28"/>
          <w:szCs w:val="30"/>
        </w:rPr>
      </w:pPr>
    </w:p>
    <w:p w14:paraId="6A5C1AF8">
      <w:pPr>
        <w:jc w:val="center"/>
        <w:rPr>
          <w:rFonts w:ascii="宋体" w:hAnsi="宋体"/>
          <w:sz w:val="28"/>
          <w:szCs w:val="30"/>
        </w:rPr>
      </w:pPr>
    </w:p>
    <w:p w14:paraId="0D590B87">
      <w:pPr>
        <w:jc w:val="center"/>
        <w:rPr>
          <w:rFonts w:ascii="宋体" w:hAnsi="宋体"/>
          <w:sz w:val="28"/>
          <w:szCs w:val="30"/>
        </w:rPr>
      </w:pPr>
    </w:p>
    <w:p w14:paraId="2938A4CF">
      <w:pPr>
        <w:jc w:val="center"/>
        <w:rPr>
          <w:rFonts w:ascii="宋体" w:hAnsi="宋体"/>
          <w:sz w:val="28"/>
          <w:szCs w:val="30"/>
        </w:rPr>
      </w:pPr>
    </w:p>
    <w:p w14:paraId="074E81C5">
      <w:pPr>
        <w:jc w:val="center"/>
        <w:rPr>
          <w:rFonts w:ascii="宋体" w:hAnsi="宋体"/>
          <w:sz w:val="28"/>
          <w:szCs w:val="30"/>
        </w:rPr>
      </w:pPr>
    </w:p>
    <w:p w14:paraId="669713D6">
      <w:pPr>
        <w:jc w:val="center"/>
        <w:rPr>
          <w:rFonts w:ascii="宋体" w:hAnsi="宋体"/>
          <w:sz w:val="28"/>
          <w:szCs w:val="30"/>
        </w:rPr>
      </w:pPr>
    </w:p>
    <w:p w14:paraId="14F07A0F"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产品管理人：浙江桐庐农村商业银行股份有限公司</w:t>
      </w:r>
    </w:p>
    <w:p w14:paraId="187D02FC">
      <w:pPr>
        <w:ind w:firstLine="1687" w:firstLineChars="600"/>
        <w:jc w:val="left"/>
        <w:rPr>
          <w:rFonts w:ascii="宋体" w:hAnsi="宋体"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</w:t>
      </w:r>
      <w:r>
        <w:rPr>
          <w:rFonts w:hint="eastAsia" w:ascii="宋体" w:hAnsi="宋体"/>
          <w:b/>
          <w:bCs/>
          <w:sz w:val="28"/>
          <w:szCs w:val="30"/>
        </w:rPr>
        <w:t>招商银行股份有限公司杭州分行</w:t>
      </w:r>
    </w:p>
    <w:p w14:paraId="50E08F4F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36170F8F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0BF60371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5FE4D749">
      <w:pPr>
        <w:rPr>
          <w:rFonts w:ascii="宋体" w:hAnsi="宋体"/>
          <w:sz w:val="28"/>
          <w:szCs w:val="30"/>
        </w:rPr>
      </w:pPr>
    </w:p>
    <w:p w14:paraId="5ACDF53A">
      <w:pPr>
        <w:jc w:val="center"/>
        <w:rPr>
          <w:rFonts w:ascii="宋体" w:hAnsi="宋体"/>
          <w:b/>
          <w:bCs/>
          <w:sz w:val="28"/>
          <w:szCs w:val="30"/>
        </w:rPr>
      </w:pPr>
    </w:p>
    <w:p w14:paraId="4E28796A"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重要提示</w:t>
      </w:r>
    </w:p>
    <w:p w14:paraId="613F5168"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产品托管人</w:t>
      </w:r>
      <w:r>
        <w:rPr>
          <w:rFonts w:ascii="宋体" w:hAnsi="宋体"/>
          <w:szCs w:val="21"/>
        </w:rPr>
        <w:t>招商银行股份有限公司杭州分行</w:t>
      </w:r>
      <w:r>
        <w:rPr>
          <w:rFonts w:hint="eastAsia" w:ascii="宋体" w:hAnsi="宋体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 w14:paraId="134EB7F2"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产品管理人承诺以诚实信用、勤勉尽责的原则管理和运用理财资产，但不保证一定盈利。产品的过往业绩并不代表其未来表现。投资有风险，投资者在作出投资决策前应仔细阅读本产品的发行文件。</w:t>
      </w:r>
    </w:p>
    <w:p w14:paraId="291A5EF6"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本报告中财务资料未经审计。</w:t>
      </w:r>
    </w:p>
    <w:p w14:paraId="0523A173"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hint="eastAsia" w:ascii="宋体" w:hAnsi="宋体"/>
          <w:szCs w:val="21"/>
        </w:rPr>
        <w:t>自2024-10-01起至2024-12-31</w:t>
      </w:r>
      <w:r>
        <w:rPr>
          <w:rFonts w:ascii="宋体" w:hAnsi="宋体"/>
          <w:szCs w:val="21"/>
        </w:rPr>
        <w:t>止。</w:t>
      </w:r>
    </w:p>
    <w:p w14:paraId="0CCADE26">
      <w:pPr>
        <w:pStyle w:val="40"/>
      </w:pPr>
      <w:r>
        <w:rPr>
          <w:rFonts w:hint="eastAsia"/>
          <w:lang w:eastAsia="zh-CN"/>
        </w:rPr>
        <w:t>产品</w:t>
      </w:r>
      <w:r>
        <w:rPr>
          <w:rFonts w:hint="eastAsia"/>
        </w:rPr>
        <w:t>基本情况</w:t>
      </w:r>
      <w:r>
        <w:rPr>
          <w:rFonts w:hint="eastAsia"/>
          <w:lang w:eastAsia="zh-CN"/>
        </w:rPr>
        <w:t xml:space="preserve"> 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 w14:paraId="4F864E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5CA9E61F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 w14:paraId="53768E6D"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信息</w:t>
            </w:r>
          </w:p>
        </w:tc>
      </w:tr>
      <w:tr w14:paraId="772C13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665C7215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 w14:paraId="7881C90F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桐庐农商银行丰收信福封闭净值型2024年第25期理财产品</w:t>
            </w:r>
          </w:p>
        </w:tc>
      </w:tr>
      <w:tr w14:paraId="5E888C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5D1BA210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 w14:paraId="650AF1FF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C1123124000024</w:t>
            </w:r>
          </w:p>
        </w:tc>
      </w:tr>
      <w:tr w14:paraId="6F494D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4E5A28FD">
            <w:pPr>
              <w:ind w:right="-107" w:rightChars="-5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 w14:paraId="060A2A43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浙江桐庐农村商业银行股份有限公司</w:t>
            </w:r>
          </w:p>
        </w:tc>
      </w:tr>
      <w:tr w14:paraId="3BDDD1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692013F5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 w14:paraId="12E81A5A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招商银行股份有限公司杭州分行</w:t>
            </w:r>
          </w:p>
        </w:tc>
      </w:tr>
      <w:tr w14:paraId="39B01C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6B7C813C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 w14:paraId="26F4F436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公募封闭式净值型银行理财</w:t>
            </w:r>
            <w:r>
              <w:rPr>
                <w:rFonts w:ascii="宋体" w:hAnsi="宋体"/>
              </w:rPr>
              <w:tab/>
            </w:r>
          </w:p>
        </w:tc>
      </w:tr>
      <w:tr w14:paraId="0345E0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7C262C2F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 w14:paraId="0CC19D50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2024-07-11</w:t>
            </w:r>
          </w:p>
        </w:tc>
      </w:tr>
      <w:tr w14:paraId="180A9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771B3830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 w14:paraId="44CDA483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2025-07-11</w:t>
            </w:r>
          </w:p>
        </w:tc>
      </w:tr>
      <w:tr w14:paraId="322104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38" w:type="dxa"/>
            <w:vAlign w:val="center"/>
          </w:tcPr>
          <w:p w14:paraId="0E73BEC1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 w14:paraId="6763BC2E"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hint="eastAsia" w:ascii="宋体" w:hAnsi="宋体"/>
              </w:rPr>
              <w:t>5,970,000.00</w:t>
            </w:r>
            <w:bookmarkEnd w:id="0"/>
          </w:p>
        </w:tc>
      </w:tr>
      <w:tr w14:paraId="0D8E0E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5223A046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 w14:paraId="15F7CB1E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[2.4%-3.8%]/年</w:t>
            </w:r>
          </w:p>
        </w:tc>
      </w:tr>
      <w:tr w14:paraId="64F27D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761BB63E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 w14:paraId="2FB70195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</w:tbl>
    <w:p w14:paraId="2467CBDC">
      <w:pPr>
        <w:pStyle w:val="40"/>
        <w:rPr>
          <w:lang w:eastAsia="zh-CN"/>
        </w:rPr>
      </w:pPr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>
        <w:rPr>
          <w:rFonts w:hint="eastAsia"/>
        </w:rPr>
        <w:t>表现</w:t>
      </w:r>
    </w:p>
    <w:tbl>
      <w:tblPr>
        <w:tblStyle w:val="17"/>
        <w:tblW w:w="8956" w:type="dxa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3"/>
        <w:gridCol w:w="5103"/>
      </w:tblGrid>
      <w:tr w14:paraId="78E45E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3853" w:type="dxa"/>
            <w:shd w:val="clear" w:color="auto" w:fill="D9D9D9"/>
            <w:vAlign w:val="center"/>
          </w:tcPr>
          <w:p w14:paraId="463D3083"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 w14:paraId="199D6F11"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净值增长率（%）</w:t>
            </w:r>
          </w:p>
        </w:tc>
      </w:tr>
      <w:tr w14:paraId="472C45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 w14:paraId="16D16629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当期（</w:t>
            </w:r>
            <w:r>
              <w:rPr>
                <w:rFonts w:ascii="宋体" w:hAnsi="宋体"/>
              </w:rPr>
              <w:t>2024-10-01</w:t>
            </w:r>
            <w:r>
              <w:rPr>
                <w:rFonts w:hint="eastAsia" w:ascii="宋体" w:hAnsi="宋体"/>
              </w:rPr>
              <w:t>至</w:t>
            </w:r>
            <w:r>
              <w:rPr>
                <w:rFonts w:ascii="宋体" w:hAnsi="宋体"/>
              </w:rPr>
              <w:t>2024-12-31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5103" w:type="dxa"/>
            <w:vAlign w:val="center"/>
          </w:tcPr>
          <w:p w14:paraId="45F622D5">
            <w:pPr>
              <w:jc w:val="right"/>
            </w:pPr>
            <w:r>
              <w:t>1.73</w:t>
            </w:r>
          </w:p>
        </w:tc>
      </w:tr>
      <w:tr w14:paraId="3996AD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 w14:paraId="12245008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自产品成立日至今</w:t>
            </w:r>
          </w:p>
        </w:tc>
        <w:tc>
          <w:tcPr>
            <w:tcW w:w="5103" w:type="dxa"/>
            <w:vAlign w:val="center"/>
          </w:tcPr>
          <w:p w14:paraId="050583DD">
            <w:pPr>
              <w:jc w:val="right"/>
            </w:pPr>
            <w:r>
              <w:rPr>
                <w:rFonts w:hint="eastAsia"/>
              </w:rPr>
              <w:t>1.72</w:t>
            </w:r>
            <w:bookmarkStart w:id="1" w:name="OLE_LINK7"/>
            <w:bookmarkEnd w:id="1"/>
            <w:bookmarkStart w:id="2" w:name="OLE_LINK4"/>
            <w:bookmarkEnd w:id="2"/>
          </w:p>
        </w:tc>
      </w:tr>
    </w:tbl>
    <w:p w14:paraId="30E19C45">
      <w:pPr>
        <w:spacing w:line="36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 w14:paraId="6B598999">
      <w:pPr>
        <w:pStyle w:val="40"/>
      </w:pPr>
      <w:r>
        <w:rPr>
          <w:rFonts w:hint="eastAsia"/>
        </w:rPr>
        <w:t>主要财务指标</w:t>
      </w:r>
    </w:p>
    <w:p w14:paraId="1852C52D"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 w14:paraId="01815C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3838" w:type="dxa"/>
            <w:shd w:val="clear" w:color="auto" w:fill="D9D9D9"/>
            <w:vAlign w:val="center"/>
          </w:tcPr>
          <w:p w14:paraId="16A91EEC"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/>
                <w:b/>
                <w:bCs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 w14:paraId="05D59446">
            <w:pPr>
              <w:jc w:val="left"/>
              <w:rPr>
                <w:b/>
              </w:rPr>
            </w:pPr>
            <w:r>
              <w:rPr>
                <w:b/>
              </w:rPr>
              <w:t>2024-10-01</w:t>
            </w:r>
            <w:r>
              <w:rPr>
                <w:rFonts w:hint="eastAsia"/>
                <w:b/>
              </w:rPr>
              <w:t xml:space="preserve">至 </w:t>
            </w:r>
            <w:r>
              <w:rPr>
                <w:b/>
              </w:rPr>
              <w:t>2024-12-31</w:t>
            </w:r>
          </w:p>
        </w:tc>
      </w:tr>
      <w:tr w14:paraId="365E37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4BD6A5F0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 w14:paraId="1508DC86">
            <w:pPr>
              <w:jc w:val="right"/>
            </w:pPr>
            <w:r>
              <w:t>-227.16</w:t>
            </w:r>
          </w:p>
        </w:tc>
      </w:tr>
      <w:tr w14:paraId="0068BF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449311DD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 w14:paraId="0C4B7AF4">
            <w:pPr>
              <w:jc w:val="right"/>
            </w:pPr>
            <w:r>
              <w:t>103,553.80</w:t>
            </w:r>
          </w:p>
        </w:tc>
      </w:tr>
      <w:tr w14:paraId="7C16B6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02B3AFC5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 w14:paraId="3CEC5AA8">
            <w:pPr>
              <w:jc w:val="right"/>
            </w:pPr>
            <w:r>
              <w:t>6,072,835.25</w:t>
            </w:r>
          </w:p>
        </w:tc>
      </w:tr>
      <w:tr w14:paraId="68EAC2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0162A782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 w14:paraId="2EC6EB8A">
            <w:pPr>
              <w:jc w:val="right"/>
            </w:pPr>
            <w:r>
              <w:t>1.01722533</w:t>
            </w:r>
          </w:p>
        </w:tc>
      </w:tr>
    </w:tbl>
    <w:p w14:paraId="4B6C7227">
      <w:pPr>
        <w:tabs>
          <w:tab w:val="left" w:pos="3135"/>
        </w:tabs>
        <w:ind w:left="420" w:leftChars="200"/>
      </w:pPr>
    </w:p>
    <w:p w14:paraId="1F013A9B">
      <w:pPr>
        <w:pStyle w:val="40"/>
      </w:pPr>
      <w:r>
        <w:rPr>
          <w:rFonts w:hint="eastAsia"/>
        </w:rPr>
        <w:t>投资组合情况及</w:t>
      </w:r>
      <w:r>
        <w:t>流动性风险分析</w:t>
      </w:r>
    </w:p>
    <w:p w14:paraId="39AED4F7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 w14:paraId="039CAD90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 w14:paraId="798371DE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 w14:paraId="626879A7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 w14:paraId="12FCCAB1">
      <w:pPr>
        <w:pStyle w:val="41"/>
        <w:spacing w:before="156" w:after="156"/>
      </w:pPr>
      <w:r>
        <w:rPr>
          <w:rFonts w:hint="eastAsia"/>
          <w:b w:val="0"/>
        </w:rPr>
        <w:t>期末资产组合情况</w:t>
      </w:r>
    </w:p>
    <w:p w14:paraId="00103214">
      <w:pPr>
        <w:jc w:val="right"/>
      </w:pPr>
    </w:p>
    <w:p w14:paraId="250D9E81">
      <w:pPr>
        <w:jc w:val="right"/>
      </w:pPr>
    </w:p>
    <w:p w14:paraId="7BDA9601">
      <w:pPr>
        <w:jc w:val="right"/>
      </w:pPr>
      <w:r>
        <w:rPr>
          <w:rFonts w:hint="eastAsia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 w14:paraId="30A86E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 w14:paraId="7DE2F337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 w14:paraId="3761F664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 w14:paraId="37137EF0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 w14:paraId="6FB1E8CD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 w14:paraId="79FAC5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 w14:paraId="3EC9790C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 w14:paraId="2707DF84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 w14:paraId="36154E51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 w14:paraId="35A9C612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 w14:paraId="4EB75EC2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 w14:paraId="3C1AD836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</w:tr>
      <w:tr w14:paraId="17CD3C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835BC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9393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4439A2C7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09941B25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1B31F492"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 w14:paraId="15EBD16A">
            <w:pPr>
              <w:jc w:val="right"/>
            </w:pPr>
            <w:r>
              <w:t>0.00</w:t>
            </w:r>
          </w:p>
        </w:tc>
      </w:tr>
      <w:tr w14:paraId="1E4440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45718F8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3E769C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172FD79E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7ACAC2C6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06A0E0C5"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 w14:paraId="0786BBFF">
            <w:pPr>
              <w:jc w:val="right"/>
            </w:pPr>
            <w:r>
              <w:t>0.00</w:t>
            </w:r>
          </w:p>
        </w:tc>
      </w:tr>
      <w:tr w14:paraId="7FA11C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545FF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5893A1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7C0DE77E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687B28D2">
            <w:pPr>
              <w:jc w:val="right"/>
            </w:pPr>
          </w:p>
        </w:tc>
        <w:tc>
          <w:tcPr>
            <w:tcW w:w="1653" w:type="dxa"/>
            <w:vAlign w:val="center"/>
          </w:tcPr>
          <w:p w14:paraId="4AE4B0DB">
            <w:pPr>
              <w:jc w:val="right"/>
            </w:pPr>
          </w:p>
        </w:tc>
        <w:tc>
          <w:tcPr>
            <w:tcW w:w="1705" w:type="dxa"/>
            <w:vAlign w:val="center"/>
          </w:tcPr>
          <w:p w14:paraId="29EB7865">
            <w:pPr>
              <w:jc w:val="right"/>
            </w:pPr>
          </w:p>
        </w:tc>
      </w:tr>
      <w:tr w14:paraId="1F249A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500E1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DFA129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21DB4896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07F882F3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3C1412FA">
            <w:pPr>
              <w:jc w:val="right"/>
            </w:pPr>
            <w:r>
              <w:t>841,749.80</w:t>
            </w:r>
          </w:p>
        </w:tc>
        <w:tc>
          <w:tcPr>
            <w:tcW w:w="1705" w:type="dxa"/>
            <w:vAlign w:val="center"/>
          </w:tcPr>
          <w:p w14:paraId="499802E3">
            <w:pPr>
              <w:jc w:val="right"/>
            </w:pPr>
            <w:r>
              <w:t>13.86</w:t>
            </w:r>
          </w:p>
        </w:tc>
      </w:tr>
      <w:tr w14:paraId="0B419F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AE59B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D83DDE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29881CE5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01477CB2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3F1C9C29">
            <w:pPr>
              <w:jc w:val="right"/>
            </w:pPr>
            <w:r>
              <w:t>5,825,073.53</w:t>
            </w:r>
          </w:p>
        </w:tc>
        <w:tc>
          <w:tcPr>
            <w:tcW w:w="1705" w:type="dxa"/>
            <w:vAlign w:val="center"/>
          </w:tcPr>
          <w:p w14:paraId="286A2BB8">
            <w:pPr>
              <w:jc w:val="right"/>
            </w:pPr>
            <w:r>
              <w:t>95.91</w:t>
            </w:r>
          </w:p>
        </w:tc>
      </w:tr>
      <w:tr w14:paraId="6E8467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6E094C0C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4733657A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591D7FD8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415ADB5A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478CBF3C">
            <w:pPr>
              <w:jc w:val="right"/>
            </w:pPr>
            <w:r>
              <w:t>5,462,027.65</w:t>
            </w:r>
          </w:p>
        </w:tc>
        <w:tc>
          <w:tcPr>
            <w:tcW w:w="1705" w:type="dxa"/>
            <w:vAlign w:val="center"/>
          </w:tcPr>
          <w:p w14:paraId="0C682C45">
            <w:pPr>
              <w:jc w:val="right"/>
            </w:pPr>
            <w:r>
              <w:t>89.94</w:t>
            </w:r>
          </w:p>
        </w:tc>
      </w:tr>
      <w:tr w14:paraId="7900AC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7C6C8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EFA6EB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4F034E59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2D05D967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2ED4F4E8">
            <w:pPr>
              <w:jc w:val="right"/>
            </w:pPr>
            <w:r>
              <w:t>363,045.88</w:t>
            </w:r>
          </w:p>
        </w:tc>
        <w:tc>
          <w:tcPr>
            <w:tcW w:w="1705" w:type="dxa"/>
            <w:vAlign w:val="center"/>
          </w:tcPr>
          <w:p w14:paraId="659558EF">
            <w:pPr>
              <w:jc w:val="right"/>
            </w:pPr>
            <w:r>
              <w:t>5.98</w:t>
            </w:r>
          </w:p>
        </w:tc>
      </w:tr>
      <w:tr w14:paraId="49B0F6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497A8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90BC69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448A82BE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12E95A04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69C4EAEC"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 w14:paraId="047F18F5">
            <w:pPr>
              <w:jc w:val="right"/>
            </w:pPr>
            <w:r>
              <w:t>0.00</w:t>
            </w:r>
          </w:p>
        </w:tc>
      </w:tr>
      <w:tr w14:paraId="4DDD9F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58D944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65D511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57686AA7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4D3C56FF">
            <w:pPr>
              <w:jc w:val="right"/>
            </w:pPr>
          </w:p>
        </w:tc>
        <w:tc>
          <w:tcPr>
            <w:tcW w:w="1653" w:type="dxa"/>
            <w:vAlign w:val="center"/>
          </w:tcPr>
          <w:p w14:paraId="5048FC1E">
            <w:pPr>
              <w:jc w:val="right"/>
            </w:pPr>
          </w:p>
        </w:tc>
        <w:tc>
          <w:tcPr>
            <w:tcW w:w="1705" w:type="dxa"/>
            <w:vAlign w:val="center"/>
          </w:tcPr>
          <w:p w14:paraId="083F3CD4">
            <w:pPr>
              <w:jc w:val="right"/>
            </w:pPr>
          </w:p>
        </w:tc>
      </w:tr>
      <w:tr w14:paraId="021792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D4CFC8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258A77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77C74BEE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542ACC1C">
            <w:pPr>
              <w:jc w:val="right"/>
            </w:pPr>
          </w:p>
        </w:tc>
        <w:tc>
          <w:tcPr>
            <w:tcW w:w="1653" w:type="dxa"/>
            <w:vAlign w:val="center"/>
          </w:tcPr>
          <w:p w14:paraId="0E96A24A">
            <w:pPr>
              <w:jc w:val="right"/>
            </w:pPr>
          </w:p>
        </w:tc>
        <w:tc>
          <w:tcPr>
            <w:tcW w:w="1705" w:type="dxa"/>
            <w:vAlign w:val="center"/>
          </w:tcPr>
          <w:p w14:paraId="3F5C9296">
            <w:pPr>
              <w:jc w:val="right"/>
            </w:pPr>
          </w:p>
        </w:tc>
      </w:tr>
      <w:tr w14:paraId="1E999C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8CDD57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F08AFF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539EC27D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4F4D1BFB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0934D06C"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 w14:paraId="7C9A1DF7">
            <w:pPr>
              <w:jc w:val="right"/>
            </w:pPr>
            <w:r>
              <w:t>0.00</w:t>
            </w:r>
          </w:p>
        </w:tc>
      </w:tr>
      <w:tr w14:paraId="6777CC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AA3B14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C4FA6E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0F51DFB3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68CA8588">
            <w:pPr>
              <w:jc w:val="right"/>
            </w:pPr>
          </w:p>
        </w:tc>
        <w:tc>
          <w:tcPr>
            <w:tcW w:w="1653" w:type="dxa"/>
            <w:vAlign w:val="center"/>
          </w:tcPr>
          <w:p w14:paraId="4A275B02">
            <w:pPr>
              <w:jc w:val="right"/>
            </w:pPr>
          </w:p>
        </w:tc>
        <w:tc>
          <w:tcPr>
            <w:tcW w:w="1705" w:type="dxa"/>
            <w:vAlign w:val="center"/>
          </w:tcPr>
          <w:p w14:paraId="4CC49CBB">
            <w:pPr>
              <w:jc w:val="right"/>
            </w:pPr>
          </w:p>
        </w:tc>
      </w:tr>
      <w:tr w14:paraId="131A8C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9EC52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A76584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39EF9254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57BC3B2F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5FBB2755"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 w14:paraId="5DD46E32">
            <w:pPr>
              <w:jc w:val="right"/>
            </w:pPr>
            <w:r>
              <w:t>0.00</w:t>
            </w:r>
          </w:p>
        </w:tc>
      </w:tr>
      <w:tr w14:paraId="2FECC4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5ECAD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72DCDF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77BF2CF5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624631F2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6BDEA61B"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 w14:paraId="6A7CF576">
            <w:pPr>
              <w:jc w:val="right"/>
            </w:pPr>
            <w:r>
              <w:t>0.00</w:t>
            </w:r>
          </w:p>
        </w:tc>
      </w:tr>
      <w:tr w14:paraId="3B3480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1C0F08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D08C8D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417991A0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4847C3F7">
            <w:pPr>
              <w:jc w:val="right"/>
            </w:pPr>
          </w:p>
        </w:tc>
        <w:tc>
          <w:tcPr>
            <w:tcW w:w="1653" w:type="dxa"/>
            <w:vAlign w:val="center"/>
          </w:tcPr>
          <w:p w14:paraId="6EEF1FB4">
            <w:pPr>
              <w:jc w:val="right"/>
            </w:pPr>
          </w:p>
        </w:tc>
        <w:tc>
          <w:tcPr>
            <w:tcW w:w="1705" w:type="dxa"/>
            <w:vAlign w:val="center"/>
          </w:tcPr>
          <w:p w14:paraId="0DE2A735">
            <w:pPr>
              <w:jc w:val="right"/>
            </w:pPr>
          </w:p>
        </w:tc>
      </w:tr>
      <w:tr w14:paraId="5D8AE5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9AD4E3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7BD2B2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57448FF4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5AC32AD3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1EAD24C7">
            <w:pPr>
              <w:jc w:val="right"/>
            </w:pPr>
            <w:r>
              <w:t>29,589.15</w:t>
            </w:r>
          </w:p>
        </w:tc>
        <w:tc>
          <w:tcPr>
            <w:tcW w:w="1705" w:type="dxa"/>
            <w:vAlign w:val="center"/>
          </w:tcPr>
          <w:p w14:paraId="2DAB16A2">
            <w:pPr>
              <w:jc w:val="right"/>
            </w:pPr>
            <w:r>
              <w:t>0.49</w:t>
            </w:r>
          </w:p>
        </w:tc>
      </w:tr>
      <w:tr w14:paraId="7BFDC4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3E5C23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4709EC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3593B60F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5A50C338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25B6EAFC"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 w14:paraId="64DEE6B3">
            <w:pPr>
              <w:jc w:val="right"/>
            </w:pPr>
            <w:r>
              <w:t>0.00</w:t>
            </w:r>
          </w:p>
        </w:tc>
      </w:tr>
      <w:tr w14:paraId="69EFCA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9656D8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4F5970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1B3D07C5">
            <w:pPr>
              <w:jc w:val="right"/>
            </w:pPr>
            <w:r>
              <w:t>6,073,262.06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54C6A7AD">
            <w:pPr>
              <w:jc w:val="right"/>
            </w:pPr>
            <w:r>
              <w:t>100.00</w:t>
            </w:r>
          </w:p>
        </w:tc>
        <w:tc>
          <w:tcPr>
            <w:tcW w:w="1653" w:type="dxa"/>
            <w:vAlign w:val="center"/>
          </w:tcPr>
          <w:p w14:paraId="1D50E2CC"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 w14:paraId="0BED8A98">
            <w:pPr>
              <w:jc w:val="right"/>
            </w:pPr>
            <w:r>
              <w:t>0.00</w:t>
            </w:r>
          </w:p>
        </w:tc>
      </w:tr>
      <w:tr w14:paraId="033FC0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2AC12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DE1F12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2A12DF4C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43589C2F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3064C512">
            <w:pPr>
              <w:jc w:val="right"/>
            </w:pPr>
            <w:r>
              <w:t>608.46</w:t>
            </w:r>
          </w:p>
        </w:tc>
        <w:tc>
          <w:tcPr>
            <w:tcW w:w="1705" w:type="dxa"/>
            <w:vAlign w:val="center"/>
          </w:tcPr>
          <w:p w14:paraId="360C487D">
            <w:pPr>
              <w:jc w:val="right"/>
            </w:pPr>
            <w:r>
              <w:t>0.01</w:t>
            </w:r>
          </w:p>
        </w:tc>
      </w:tr>
      <w:tr w14:paraId="7E3ACD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 w14:paraId="49CC0F53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 w14:paraId="600CAB0F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 w14:paraId="262C0A7A">
            <w:pPr>
              <w:jc w:val="right"/>
            </w:pPr>
            <w:r>
              <w:t>6,073,262.06</w:t>
            </w:r>
          </w:p>
        </w:tc>
        <w:tc>
          <w:tcPr>
            <w:tcW w:w="1749" w:type="dxa"/>
            <w:shd w:val="clear" w:color="auto" w:fill="auto"/>
          </w:tcPr>
          <w:p w14:paraId="32B74F88">
            <w:pPr>
              <w:jc w:val="right"/>
            </w:pPr>
            <w:r>
              <w:t>100.00</w:t>
            </w:r>
          </w:p>
        </w:tc>
        <w:tc>
          <w:tcPr>
            <w:tcW w:w="1653" w:type="dxa"/>
          </w:tcPr>
          <w:p w14:paraId="096C0547">
            <w:pPr>
              <w:jc w:val="right"/>
            </w:pPr>
            <w:r>
              <w:t>6,697,020.94</w:t>
            </w:r>
          </w:p>
        </w:tc>
        <w:tc>
          <w:tcPr>
            <w:tcW w:w="1705" w:type="dxa"/>
          </w:tcPr>
          <w:p w14:paraId="13D8A904">
            <w:pPr>
              <w:jc w:val="right"/>
            </w:pPr>
            <w:r>
              <w:t>110.27</w:t>
            </w:r>
          </w:p>
        </w:tc>
      </w:tr>
    </w:tbl>
    <w:p w14:paraId="526A5C5A">
      <w:pPr>
        <w:ind w:left="420" w:leftChars="200"/>
        <w:jc w:val="left"/>
        <w:rPr>
          <w:rFonts w:ascii="宋体" w:hAnsi="宋体"/>
          <w:sz w:val="24"/>
        </w:rPr>
      </w:pPr>
    </w:p>
    <w:p w14:paraId="52D4EA60">
      <w:pPr>
        <w:ind w:left="420" w:leftChars="20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Cs w:val="21"/>
        </w:rPr>
        <w:t>注1：间接投资占产品总资产的比例（%）为占本产品总资产的比例（%）。</w:t>
      </w:r>
    </w:p>
    <w:p w14:paraId="539E3F2B"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  <w:lang w:eastAsia="zh-CN"/>
        </w:rPr>
        <w:t>性</w:t>
      </w:r>
      <w:r>
        <w:rPr>
          <w:b w:val="0"/>
        </w:rPr>
        <w:t>风险分析</w:t>
      </w:r>
    </w:p>
    <w:p w14:paraId="0CE7B91B">
      <w:pPr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="宋体" w:hAnsi="宋体"/>
          <w:sz w:val="24"/>
        </w:rPr>
        <w:t xml:space="preserve">   </w:t>
      </w:r>
      <w:r>
        <w:rPr>
          <w:rFonts w:hint="eastAsia" w:ascii="宋体" w:hAnsi="宋体" w:eastAsia="宋体"/>
          <w:szCs w:val="21"/>
        </w:rPr>
        <w:t>报告期内管理人合理安排资产结构，严格按照产品说明书约定的投资范围、比例等要求进行投资管理，流动性风险可控。</w:t>
      </w:r>
    </w:p>
    <w:p w14:paraId="78822082">
      <w:pPr>
        <w:widowControl/>
        <w:jc w:val="left"/>
        <w:rPr>
          <w:rFonts w:ascii="宋体" w:hAnsi="宋体"/>
          <w:sz w:val="24"/>
        </w:rPr>
      </w:pPr>
    </w:p>
    <w:p w14:paraId="53128751"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 w14:paraId="0A33545E"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 w14:paraId="102AAC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 w14:paraId="46B6C346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 w14:paraId="36E2D4BB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 w14:paraId="2E4099EE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 w14:paraId="6B9FC518">
            <w:pPr>
              <w:jc w:val="left"/>
              <w:rPr>
                <w:rFonts w:hint="eastAsia" w:ascii="宋体" w:hAnsi="宋体" w:eastAsia="宋体"/>
                <w:b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占产品资产净值比例（%）</w:t>
            </w:r>
          </w:p>
        </w:tc>
      </w:tr>
      <w:tr w14:paraId="5A5652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 w14:paraId="5E29D939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49B3B5C1">
            <w:pPr>
              <w:rPr>
                <w:szCs w:val="21"/>
              </w:rPr>
            </w:pPr>
            <w:r>
              <w:rPr>
                <w:szCs w:val="21"/>
              </w:rPr>
              <w:t>中信证券丰收信益6号集合资产管理计划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A6CA9AC">
            <w:pPr>
              <w:jc w:val="right"/>
            </w:pPr>
            <w:r>
              <w:t>6,073,262.06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473873D5">
            <w:pPr>
              <w:jc w:val="right"/>
            </w:pPr>
            <w:bookmarkStart w:id="3" w:name="OLE_LINK6"/>
            <w:bookmarkStart w:id="4" w:name="OLE_LINK5"/>
            <w:r>
              <w:t>100.01</w:t>
            </w:r>
            <w:bookmarkEnd w:id="3"/>
            <w:bookmarkEnd w:id="4"/>
          </w:p>
        </w:tc>
      </w:tr>
    </w:tbl>
    <w:p w14:paraId="5FBD153A"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 w14:paraId="64AE1E8C">
      <w:pPr>
        <w:ind w:left="424" w:leftChars="202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注：前十项资产明细仅包含证券投资、场外投资，不包含银行活期存款、存出保证金、清算备付金等资产。</w:t>
      </w:r>
    </w:p>
    <w:p w14:paraId="543E483E"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报告期末占资产净值比例大小排序的前十项资产明细（穿透后）</w:t>
      </w:r>
    </w:p>
    <w:p w14:paraId="16C8C2AD">
      <w:pPr>
        <w:spacing w:before="100" w:beforeAutospacing="1" w:after="100" w:afterAutospacing="1"/>
        <w:jc w:val="right"/>
      </w:pPr>
      <w:r>
        <w:rPr>
          <w:rFonts w:hint="eastAsia"/>
        </w:rPr>
        <w:t>金额单位：元</w:t>
      </w:r>
    </w:p>
    <w:tbl>
      <w:tblPr>
        <w:tblStyle w:val="17"/>
        <w:tblW w:w="9060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77"/>
        <w:gridCol w:w="3159"/>
        <w:gridCol w:w="2693"/>
        <w:gridCol w:w="2431"/>
      </w:tblGrid>
      <w:tr w14:paraId="1427D4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  <w:jc w:val="center"/>
        </w:trPr>
        <w:tc>
          <w:tcPr>
            <w:tcW w:w="7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3CB3C2">
            <w:pPr>
              <w:spacing w:before="100" w:beforeAutospacing="1" w:after="100" w:afterAutospacing="1"/>
              <w:jc w:val="center"/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315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088637">
            <w:pPr>
              <w:spacing w:before="100" w:beforeAutospacing="1" w:after="100" w:afterAutospacing="1"/>
              <w:jc w:val="left"/>
            </w:pPr>
            <w:r>
              <w:rPr>
                <w:rFonts w:hint="eastAsia"/>
                <w:b/>
                <w:bCs/>
              </w:rPr>
              <w:t>资产名称</w:t>
            </w:r>
          </w:p>
        </w:tc>
        <w:tc>
          <w:tcPr>
            <w:tcW w:w="269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5B5049"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金额</w:t>
            </w:r>
          </w:p>
        </w:tc>
        <w:tc>
          <w:tcPr>
            <w:tcW w:w="243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ECF4DD">
            <w:pPr>
              <w:spacing w:before="100" w:beforeAutospacing="1" w:after="100" w:afterAutospacing="1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占产品资产净值比例（%）</w:t>
            </w:r>
          </w:p>
        </w:tc>
      </w:tr>
      <w:tr w14:paraId="061C73C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BA7BA">
            <w:pPr>
              <w:spacing w:before="100" w:beforeAutospacing="1" w:after="100" w:afterAutospacing="1"/>
            </w:pPr>
            <w:r>
              <w:t>1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9FEBF">
            <w:pPr>
              <w:rPr>
                <w:sz w:val="20"/>
              </w:rPr>
            </w:pPr>
            <w:r>
              <w:rPr>
                <w:szCs w:val="21"/>
              </w:rPr>
              <w:t>财通安瑞短债债券A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B5A62">
            <w:pPr>
              <w:jc w:val="right"/>
              <w:rPr>
                <w:rFonts w:eastAsia="Times New Roman"/>
                <w:sz w:val="20"/>
              </w:rPr>
            </w:pPr>
            <w:r>
              <w:t>290,446.82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19608">
            <w:pPr>
              <w:jc w:val="right"/>
              <w:rPr>
                <w:rFonts w:eastAsia="Times New Roman"/>
                <w:sz w:val="20"/>
              </w:rPr>
            </w:pPr>
            <w:r>
              <w:t>4.78</w:t>
            </w:r>
          </w:p>
        </w:tc>
      </w:tr>
      <w:tr w14:paraId="4D4D6E2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3C6CD">
            <w:pPr>
              <w:spacing w:before="100" w:beforeAutospacing="1" w:after="100" w:afterAutospacing="1"/>
            </w:pPr>
            <w:r>
              <w:t>2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E5A610">
            <w:pPr>
              <w:rPr>
                <w:sz w:val="20"/>
              </w:rPr>
            </w:pPr>
            <w:r>
              <w:rPr>
                <w:szCs w:val="21"/>
              </w:rPr>
              <w:t>易方达稳健收益债券B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DB4E9">
            <w:pPr>
              <w:jc w:val="right"/>
              <w:rPr>
                <w:rFonts w:eastAsia="Times New Roman"/>
                <w:sz w:val="20"/>
              </w:rPr>
            </w:pPr>
            <w:r>
              <w:t>213,515.01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72A2C">
            <w:pPr>
              <w:jc w:val="right"/>
              <w:rPr>
                <w:rFonts w:eastAsia="Times New Roman"/>
                <w:sz w:val="20"/>
              </w:rPr>
            </w:pPr>
            <w:r>
              <w:t>3.52</w:t>
            </w:r>
          </w:p>
        </w:tc>
      </w:tr>
      <w:tr w14:paraId="729640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3759B8">
            <w:pPr>
              <w:spacing w:before="100" w:beforeAutospacing="1" w:after="100" w:afterAutospacing="1"/>
            </w:pPr>
            <w:r>
              <w:t>3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8610F">
            <w:pPr>
              <w:rPr>
                <w:sz w:val="20"/>
              </w:rPr>
            </w:pPr>
            <w:r>
              <w:rPr>
                <w:szCs w:val="21"/>
              </w:rPr>
              <w:t>易方达双债增强债券C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56D0C">
            <w:pPr>
              <w:jc w:val="right"/>
              <w:rPr>
                <w:rFonts w:eastAsia="Times New Roman"/>
                <w:sz w:val="20"/>
              </w:rPr>
            </w:pPr>
            <w:r>
              <w:t>213,309.28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F2C63">
            <w:pPr>
              <w:jc w:val="right"/>
              <w:rPr>
                <w:rFonts w:eastAsia="Times New Roman"/>
                <w:sz w:val="20"/>
              </w:rPr>
            </w:pPr>
            <w:r>
              <w:t>3.51</w:t>
            </w:r>
          </w:p>
        </w:tc>
      </w:tr>
      <w:tr w14:paraId="33B6B07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A2C81">
            <w:pPr>
              <w:spacing w:before="100" w:beforeAutospacing="1" w:after="100" w:afterAutospacing="1"/>
            </w:pPr>
            <w:r>
              <w:t>4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0ED32">
            <w:pPr>
              <w:rPr>
                <w:sz w:val="20"/>
              </w:rPr>
            </w:pPr>
            <w:r>
              <w:rPr>
                <w:szCs w:val="21"/>
              </w:rPr>
              <w:t>土地01优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9438D1">
            <w:pPr>
              <w:jc w:val="right"/>
              <w:rPr>
                <w:rFonts w:eastAsia="Times New Roman"/>
                <w:sz w:val="20"/>
              </w:rPr>
            </w:pPr>
            <w:r>
              <w:t>125,532.58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EC958">
            <w:pPr>
              <w:jc w:val="right"/>
              <w:rPr>
                <w:rFonts w:eastAsia="Times New Roman"/>
                <w:sz w:val="20"/>
              </w:rPr>
            </w:pPr>
            <w:r>
              <w:t>2.07</w:t>
            </w:r>
          </w:p>
        </w:tc>
      </w:tr>
      <w:tr w14:paraId="74D354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844EE7">
            <w:pPr>
              <w:spacing w:before="100" w:beforeAutospacing="1" w:after="100" w:afterAutospacing="1"/>
            </w:pPr>
            <w:r>
              <w:t>5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F5210">
            <w:pPr>
              <w:rPr>
                <w:sz w:val="20"/>
              </w:rPr>
            </w:pPr>
            <w:r>
              <w:rPr>
                <w:szCs w:val="21"/>
              </w:rPr>
              <w:t>财通安瑞短债债券C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09AA9">
            <w:pPr>
              <w:jc w:val="right"/>
              <w:rPr>
                <w:rFonts w:eastAsia="Times New Roman"/>
                <w:sz w:val="20"/>
              </w:rPr>
            </w:pPr>
            <w:r>
              <w:t>124,478.68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B7F64">
            <w:pPr>
              <w:jc w:val="right"/>
              <w:rPr>
                <w:rFonts w:eastAsia="Times New Roman"/>
                <w:sz w:val="20"/>
              </w:rPr>
            </w:pPr>
            <w:r>
              <w:t>2.05</w:t>
            </w:r>
          </w:p>
        </w:tc>
      </w:tr>
      <w:tr w14:paraId="3D7A676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8E7A91">
            <w:pPr>
              <w:spacing w:before="100" w:beforeAutospacing="1" w:after="100" w:afterAutospacing="1"/>
            </w:pPr>
            <w:r>
              <w:t>6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F21D0">
            <w:pPr>
              <w:rPr>
                <w:sz w:val="20"/>
              </w:rPr>
            </w:pPr>
            <w:r>
              <w:rPr>
                <w:szCs w:val="21"/>
              </w:rPr>
              <w:t>21恒丰银行永续债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314CF6">
            <w:pPr>
              <w:jc w:val="right"/>
              <w:rPr>
                <w:rFonts w:eastAsia="Times New Roman"/>
                <w:sz w:val="20"/>
              </w:rPr>
            </w:pPr>
            <w:r>
              <w:t>123,283.06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6C03FD">
            <w:pPr>
              <w:jc w:val="right"/>
              <w:rPr>
                <w:rFonts w:eastAsia="Times New Roman"/>
                <w:sz w:val="20"/>
              </w:rPr>
            </w:pPr>
            <w:r>
              <w:t>2.03</w:t>
            </w:r>
          </w:p>
        </w:tc>
      </w:tr>
      <w:tr w14:paraId="11A724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EB3421">
            <w:pPr>
              <w:spacing w:before="100" w:beforeAutospacing="1" w:after="100" w:afterAutospacing="1"/>
            </w:pPr>
            <w:r>
              <w:t>7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D19748">
            <w:pPr>
              <w:rPr>
                <w:sz w:val="20"/>
              </w:rPr>
            </w:pPr>
            <w:r>
              <w:rPr>
                <w:szCs w:val="21"/>
              </w:rPr>
              <w:t>23唐山银行永续债02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114D2">
            <w:pPr>
              <w:jc w:val="right"/>
              <w:rPr>
                <w:rFonts w:eastAsia="Times New Roman"/>
                <w:sz w:val="20"/>
              </w:rPr>
            </w:pPr>
            <w:r>
              <w:t>114,657.63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EEEEB">
            <w:pPr>
              <w:jc w:val="right"/>
              <w:rPr>
                <w:rFonts w:eastAsia="Times New Roman"/>
                <w:sz w:val="20"/>
              </w:rPr>
            </w:pPr>
            <w:r>
              <w:t>1.89</w:t>
            </w:r>
          </w:p>
        </w:tc>
      </w:tr>
      <w:tr w14:paraId="7E7F791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970DA2">
            <w:pPr>
              <w:spacing w:before="100" w:beforeAutospacing="1" w:after="100" w:afterAutospacing="1"/>
            </w:pPr>
            <w:r>
              <w:t>8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738B5">
            <w:pPr>
              <w:rPr>
                <w:sz w:val="20"/>
              </w:rPr>
            </w:pPr>
            <w:r>
              <w:rPr>
                <w:szCs w:val="21"/>
              </w:rPr>
              <w:t>21鄞州农商永续债01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DF302">
            <w:pPr>
              <w:jc w:val="right"/>
              <w:rPr>
                <w:rFonts w:eastAsia="Times New Roman"/>
                <w:sz w:val="20"/>
              </w:rPr>
            </w:pPr>
            <w:r>
              <w:t>109,146.79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3F22A">
            <w:pPr>
              <w:jc w:val="right"/>
              <w:rPr>
                <w:rFonts w:eastAsia="Times New Roman"/>
                <w:sz w:val="20"/>
              </w:rPr>
            </w:pPr>
            <w:r>
              <w:t>1.80</w:t>
            </w:r>
          </w:p>
        </w:tc>
      </w:tr>
      <w:tr w14:paraId="7D66B1F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670C5">
            <w:pPr>
              <w:spacing w:before="100" w:beforeAutospacing="1" w:after="100" w:afterAutospacing="1"/>
            </w:pPr>
            <w:r>
              <w:t>9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2CDA8">
            <w:pPr>
              <w:rPr>
                <w:sz w:val="20"/>
              </w:rPr>
            </w:pPr>
            <w:r>
              <w:rPr>
                <w:szCs w:val="21"/>
              </w:rPr>
              <w:t>22建工Y6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635E4">
            <w:pPr>
              <w:jc w:val="right"/>
              <w:rPr>
                <w:rFonts w:eastAsia="Times New Roman"/>
                <w:sz w:val="20"/>
              </w:rPr>
            </w:pPr>
            <w:r>
              <w:t>108,805.98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C28C1E">
            <w:pPr>
              <w:jc w:val="right"/>
              <w:rPr>
                <w:rFonts w:eastAsia="Times New Roman"/>
                <w:sz w:val="20"/>
              </w:rPr>
            </w:pPr>
            <w:r>
              <w:t>1.79</w:t>
            </w:r>
          </w:p>
        </w:tc>
      </w:tr>
      <w:tr w14:paraId="4DF873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DB6DEA">
            <w:pPr>
              <w:spacing w:before="100" w:beforeAutospacing="1" w:after="100" w:afterAutospacing="1"/>
            </w:pPr>
            <w:r>
              <w:t>10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8F7E0C">
            <w:pPr>
              <w:rPr>
                <w:sz w:val="20"/>
              </w:rPr>
            </w:pPr>
            <w:r>
              <w:rPr>
                <w:szCs w:val="21"/>
              </w:rPr>
              <w:t>20三峡银行永续债01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2E59BC">
            <w:pPr>
              <w:jc w:val="right"/>
              <w:rPr>
                <w:rFonts w:eastAsia="Times New Roman"/>
                <w:sz w:val="20"/>
              </w:rPr>
            </w:pPr>
            <w:r>
              <w:t>107,200.71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EB0284">
            <w:pPr>
              <w:jc w:val="right"/>
              <w:rPr>
                <w:rFonts w:eastAsia="Times New Roman"/>
                <w:sz w:val="20"/>
              </w:rPr>
            </w:pPr>
            <w:r>
              <w:t>1.77</w:t>
            </w:r>
          </w:p>
        </w:tc>
      </w:tr>
    </w:tbl>
    <w:p w14:paraId="05B1801F">
      <w:pPr>
        <w:spacing w:before="100" w:beforeAutospacing="1" w:after="100" w:afterAutospacing="1"/>
      </w:pPr>
      <w:r>
        <w:rPr>
          <w:rFonts w:hint="eastAsia"/>
        </w:rPr>
        <w:t>注：前十项资产明细仅包含证券投资、场外投资，不包含银行活期存款、存出保证金、清算备付金等资产。</w:t>
      </w:r>
    </w:p>
    <w:p w14:paraId="1045B3B8">
      <w:pPr>
        <w:pStyle w:val="40"/>
      </w:pPr>
      <w:r>
        <w:t>托管人报告</w:t>
      </w:r>
    </w:p>
    <w:p w14:paraId="4F480F46"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招商银行具备完善的公司治理结构、内部稽核监控制度和风险控制制度，我行在履行托管职责中，严格遵守有关法律法规、托管协议的规定，尽职尽责地履行托管义务并安全保管托管资产。</w:t>
      </w:r>
    </w:p>
    <w:p w14:paraId="39ADF077">
      <w:pPr>
        <w:jc w:val="left"/>
        <w:rPr>
          <w:rFonts w:asciiTheme="minorEastAsia" w:hAnsiTheme="minorEastAsia" w:eastAsiaTheme="minorEastAsia"/>
          <w:szCs w:val="21"/>
        </w:rPr>
      </w:pPr>
    </w:p>
    <w:p w14:paraId="21A99FE8">
      <w:pPr>
        <w:jc w:val="right"/>
        <w:rPr>
          <w:rFonts w:ascii="宋体" w:hAnsi="宋体"/>
          <w:sz w:val="24"/>
        </w:rPr>
      </w:pPr>
    </w:p>
    <w:p w14:paraId="26B5C401">
      <w:pPr>
        <w:jc w:val="right"/>
        <w:rPr>
          <w:rFonts w:ascii="宋体" w:hAnsi="宋体"/>
          <w:sz w:val="24"/>
        </w:rPr>
      </w:pPr>
    </w:p>
    <w:p w14:paraId="234B3FD5">
      <w:pPr>
        <w:jc w:val="right"/>
        <w:rPr>
          <w:rFonts w:ascii="宋体" w:hAnsi="宋体"/>
          <w:sz w:val="24"/>
        </w:rPr>
      </w:pPr>
    </w:p>
    <w:p w14:paraId="5524296E">
      <w:pPr>
        <w:jc w:val="right"/>
        <w:rPr>
          <w:rFonts w:ascii="宋体" w:hAnsi="宋体"/>
          <w:sz w:val="24"/>
        </w:rPr>
      </w:pPr>
    </w:p>
    <w:p w14:paraId="3BC1CB89"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浙江桐庐农村商业银行股份有限公司</w:t>
      </w:r>
    </w:p>
    <w:p w14:paraId="276E6AAA"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2025-01-15</w:t>
      </w:r>
      <w:bookmarkStart w:id="5" w:name="_GoBack"/>
      <w:bookmarkEnd w:id="5"/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DBCCDA">
    <w:pPr>
      <w:pStyle w:val="10"/>
      <w:framePr w:wrap="around" w:vAnchor="text" w:hAnchor="margin" w:xAlign="right"/>
      <w:rPr>
        <w:rStyle w:val="20"/>
      </w:rPr>
    </w:pPr>
    <w:r>
      <w:rPr>
        <w:rStyle w:val="20"/>
        <w:rFonts w:hint="eastAsia"/>
      </w:rPr>
      <w:t xml:space="preserve"> </w:t>
    </w:r>
  </w:p>
  <w:p w14:paraId="06A536E7"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236C75">
    <w:pPr>
      <w:pStyle w:val="10"/>
      <w:framePr w:wrap="around" w:vAnchor="text" w:hAnchor="margin" w:xAlign="right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 w14:paraId="62AF411A"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456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1668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13BD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003A8"/>
    <w:rsid w:val="001178EF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82115"/>
    <w:rsid w:val="0019201F"/>
    <w:rsid w:val="00193840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2D4"/>
    <w:rsid w:val="001E1A37"/>
    <w:rsid w:val="001E27AF"/>
    <w:rsid w:val="001E2A08"/>
    <w:rsid w:val="001E4B7A"/>
    <w:rsid w:val="001E7354"/>
    <w:rsid w:val="001E73F7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7180C"/>
    <w:rsid w:val="00285198"/>
    <w:rsid w:val="0028673C"/>
    <w:rsid w:val="00291837"/>
    <w:rsid w:val="00293CED"/>
    <w:rsid w:val="002A1060"/>
    <w:rsid w:val="002A5581"/>
    <w:rsid w:val="002A6967"/>
    <w:rsid w:val="002B18D0"/>
    <w:rsid w:val="002B1BF7"/>
    <w:rsid w:val="002B2425"/>
    <w:rsid w:val="002B5C75"/>
    <w:rsid w:val="002B6AB0"/>
    <w:rsid w:val="002B6D92"/>
    <w:rsid w:val="002C0D52"/>
    <w:rsid w:val="002D2E99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40F2"/>
    <w:rsid w:val="003170E3"/>
    <w:rsid w:val="003176DF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798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349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216"/>
    <w:rsid w:val="00415C27"/>
    <w:rsid w:val="004169FD"/>
    <w:rsid w:val="00420876"/>
    <w:rsid w:val="0042283D"/>
    <w:rsid w:val="00430538"/>
    <w:rsid w:val="004332EF"/>
    <w:rsid w:val="00436399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A7E27"/>
    <w:rsid w:val="004B02F2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E5C17"/>
    <w:rsid w:val="004F0ECB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2CD"/>
    <w:rsid w:val="00527A49"/>
    <w:rsid w:val="005310A6"/>
    <w:rsid w:val="0053595B"/>
    <w:rsid w:val="00537901"/>
    <w:rsid w:val="00540DE6"/>
    <w:rsid w:val="00542A91"/>
    <w:rsid w:val="0054387B"/>
    <w:rsid w:val="005465B6"/>
    <w:rsid w:val="00552EA5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50DF"/>
    <w:rsid w:val="005C6300"/>
    <w:rsid w:val="005D0C97"/>
    <w:rsid w:val="005D13A8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4F5A"/>
    <w:rsid w:val="00665902"/>
    <w:rsid w:val="006664D5"/>
    <w:rsid w:val="00667384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55BF"/>
    <w:rsid w:val="00697DB7"/>
    <w:rsid w:val="006A307A"/>
    <w:rsid w:val="006B0B91"/>
    <w:rsid w:val="006B24E7"/>
    <w:rsid w:val="006B554E"/>
    <w:rsid w:val="006B5B87"/>
    <w:rsid w:val="006C21A8"/>
    <w:rsid w:val="006C483B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6F7150"/>
    <w:rsid w:val="00710788"/>
    <w:rsid w:val="00710F9C"/>
    <w:rsid w:val="00711860"/>
    <w:rsid w:val="00714D1B"/>
    <w:rsid w:val="00717029"/>
    <w:rsid w:val="00720312"/>
    <w:rsid w:val="0072202C"/>
    <w:rsid w:val="0072288E"/>
    <w:rsid w:val="007229F0"/>
    <w:rsid w:val="00730BF8"/>
    <w:rsid w:val="007313AE"/>
    <w:rsid w:val="00735E33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1A28"/>
    <w:rsid w:val="00762F4A"/>
    <w:rsid w:val="007633CA"/>
    <w:rsid w:val="007663F0"/>
    <w:rsid w:val="00767B4B"/>
    <w:rsid w:val="00774DB3"/>
    <w:rsid w:val="00777511"/>
    <w:rsid w:val="00782BD3"/>
    <w:rsid w:val="00783A2D"/>
    <w:rsid w:val="00783C30"/>
    <w:rsid w:val="00786516"/>
    <w:rsid w:val="0078701B"/>
    <w:rsid w:val="0079003D"/>
    <w:rsid w:val="00790F54"/>
    <w:rsid w:val="00792C55"/>
    <w:rsid w:val="0079349C"/>
    <w:rsid w:val="007957D3"/>
    <w:rsid w:val="007963A4"/>
    <w:rsid w:val="007A3942"/>
    <w:rsid w:val="007A41FE"/>
    <w:rsid w:val="007A4FF1"/>
    <w:rsid w:val="007A5C4C"/>
    <w:rsid w:val="007A6008"/>
    <w:rsid w:val="007A66E8"/>
    <w:rsid w:val="007A67A8"/>
    <w:rsid w:val="007A6D6E"/>
    <w:rsid w:val="007B5B14"/>
    <w:rsid w:val="007C00B5"/>
    <w:rsid w:val="007C271F"/>
    <w:rsid w:val="007D4695"/>
    <w:rsid w:val="007D5F69"/>
    <w:rsid w:val="007D7D2D"/>
    <w:rsid w:val="007E24A8"/>
    <w:rsid w:val="007E6BBB"/>
    <w:rsid w:val="007F0CC4"/>
    <w:rsid w:val="007F261A"/>
    <w:rsid w:val="007F4389"/>
    <w:rsid w:val="00805841"/>
    <w:rsid w:val="008067E9"/>
    <w:rsid w:val="00810BDB"/>
    <w:rsid w:val="008138C2"/>
    <w:rsid w:val="008207FC"/>
    <w:rsid w:val="00824A1A"/>
    <w:rsid w:val="0082723D"/>
    <w:rsid w:val="00830FB1"/>
    <w:rsid w:val="008318D4"/>
    <w:rsid w:val="00832C2D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56079"/>
    <w:rsid w:val="008631C4"/>
    <w:rsid w:val="00863246"/>
    <w:rsid w:val="008647E2"/>
    <w:rsid w:val="00865A3B"/>
    <w:rsid w:val="00867C1C"/>
    <w:rsid w:val="00871807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17EB0"/>
    <w:rsid w:val="009200D9"/>
    <w:rsid w:val="00924290"/>
    <w:rsid w:val="0093136C"/>
    <w:rsid w:val="009361E0"/>
    <w:rsid w:val="00940851"/>
    <w:rsid w:val="0094353A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798"/>
    <w:rsid w:val="009D7F30"/>
    <w:rsid w:val="009E272C"/>
    <w:rsid w:val="009E7949"/>
    <w:rsid w:val="009F1173"/>
    <w:rsid w:val="009F2CE7"/>
    <w:rsid w:val="009F6300"/>
    <w:rsid w:val="00A03DAA"/>
    <w:rsid w:val="00A04E16"/>
    <w:rsid w:val="00A053A7"/>
    <w:rsid w:val="00A07072"/>
    <w:rsid w:val="00A1398C"/>
    <w:rsid w:val="00A16209"/>
    <w:rsid w:val="00A179D8"/>
    <w:rsid w:val="00A17F78"/>
    <w:rsid w:val="00A217B1"/>
    <w:rsid w:val="00A226D6"/>
    <w:rsid w:val="00A2617B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2258"/>
    <w:rsid w:val="00A73CCB"/>
    <w:rsid w:val="00A754BF"/>
    <w:rsid w:val="00A80900"/>
    <w:rsid w:val="00A9256F"/>
    <w:rsid w:val="00A94073"/>
    <w:rsid w:val="00A95724"/>
    <w:rsid w:val="00A97609"/>
    <w:rsid w:val="00A97CC1"/>
    <w:rsid w:val="00AA0964"/>
    <w:rsid w:val="00AA0D73"/>
    <w:rsid w:val="00AB7956"/>
    <w:rsid w:val="00AB7F1E"/>
    <w:rsid w:val="00AC0253"/>
    <w:rsid w:val="00AC5BD9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19E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97D08"/>
    <w:rsid w:val="00BA2FE9"/>
    <w:rsid w:val="00BB2C8E"/>
    <w:rsid w:val="00BB3836"/>
    <w:rsid w:val="00BC6F6D"/>
    <w:rsid w:val="00BC79AA"/>
    <w:rsid w:val="00BC7BE2"/>
    <w:rsid w:val="00BD01DA"/>
    <w:rsid w:val="00BD1DC0"/>
    <w:rsid w:val="00BD70E0"/>
    <w:rsid w:val="00BE1D4B"/>
    <w:rsid w:val="00BE2BF0"/>
    <w:rsid w:val="00BE491C"/>
    <w:rsid w:val="00BE4F1C"/>
    <w:rsid w:val="00BE6F0A"/>
    <w:rsid w:val="00BE7278"/>
    <w:rsid w:val="00BE7B71"/>
    <w:rsid w:val="00BF2E9E"/>
    <w:rsid w:val="00BF4819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403"/>
    <w:rsid w:val="00C34D32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B1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2AE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3BE1"/>
    <w:rsid w:val="00D57ABE"/>
    <w:rsid w:val="00D60D0A"/>
    <w:rsid w:val="00D63034"/>
    <w:rsid w:val="00D664DF"/>
    <w:rsid w:val="00D72C48"/>
    <w:rsid w:val="00D7572D"/>
    <w:rsid w:val="00D76EC7"/>
    <w:rsid w:val="00D806F7"/>
    <w:rsid w:val="00D84E5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76C"/>
    <w:rsid w:val="00DC0BCD"/>
    <w:rsid w:val="00DC63EA"/>
    <w:rsid w:val="00DC7755"/>
    <w:rsid w:val="00DD0776"/>
    <w:rsid w:val="00DD2D10"/>
    <w:rsid w:val="00DD493A"/>
    <w:rsid w:val="00DE0BA7"/>
    <w:rsid w:val="00DE6E8C"/>
    <w:rsid w:val="00DF1B60"/>
    <w:rsid w:val="00DF64FE"/>
    <w:rsid w:val="00DF70DD"/>
    <w:rsid w:val="00E05CBD"/>
    <w:rsid w:val="00E0685D"/>
    <w:rsid w:val="00E133C1"/>
    <w:rsid w:val="00E13A22"/>
    <w:rsid w:val="00E22023"/>
    <w:rsid w:val="00E24F4A"/>
    <w:rsid w:val="00E24F6C"/>
    <w:rsid w:val="00E25FBD"/>
    <w:rsid w:val="00E26554"/>
    <w:rsid w:val="00E27C54"/>
    <w:rsid w:val="00E33DFC"/>
    <w:rsid w:val="00E36DC0"/>
    <w:rsid w:val="00E37A28"/>
    <w:rsid w:val="00E40C11"/>
    <w:rsid w:val="00E504F9"/>
    <w:rsid w:val="00E5307C"/>
    <w:rsid w:val="00E5314E"/>
    <w:rsid w:val="00E538A2"/>
    <w:rsid w:val="00E61DCA"/>
    <w:rsid w:val="00E65FF2"/>
    <w:rsid w:val="00E67113"/>
    <w:rsid w:val="00E67390"/>
    <w:rsid w:val="00E71726"/>
    <w:rsid w:val="00E732A5"/>
    <w:rsid w:val="00E757CD"/>
    <w:rsid w:val="00E76293"/>
    <w:rsid w:val="00E773EF"/>
    <w:rsid w:val="00E824E1"/>
    <w:rsid w:val="00E841D0"/>
    <w:rsid w:val="00E84CB6"/>
    <w:rsid w:val="00E8759A"/>
    <w:rsid w:val="00E915A7"/>
    <w:rsid w:val="00E934B9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FD6"/>
    <w:rsid w:val="00F34D29"/>
    <w:rsid w:val="00F35C2C"/>
    <w:rsid w:val="00F44F0C"/>
    <w:rsid w:val="00F45974"/>
    <w:rsid w:val="00F45EFD"/>
    <w:rsid w:val="00F51B8A"/>
    <w:rsid w:val="00F53A4B"/>
    <w:rsid w:val="00F64D16"/>
    <w:rsid w:val="00F65B50"/>
    <w:rsid w:val="00F66697"/>
    <w:rsid w:val="00F66D00"/>
    <w:rsid w:val="00F67B3D"/>
    <w:rsid w:val="00F733D2"/>
    <w:rsid w:val="00F867C5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E54"/>
    <w:rsid w:val="00FB3F6A"/>
    <w:rsid w:val="00FB6F1F"/>
    <w:rsid w:val="00FC749F"/>
    <w:rsid w:val="00FD2905"/>
    <w:rsid w:val="00FE1CEA"/>
    <w:rsid w:val="00FE3C8E"/>
    <w:rsid w:val="00FE3E86"/>
    <w:rsid w:val="00FE4490"/>
    <w:rsid w:val="00FE51F2"/>
    <w:rsid w:val="00FE52AD"/>
    <w:rsid w:val="00FE5547"/>
    <w:rsid w:val="00FE5CB2"/>
    <w:rsid w:val="00FF15E9"/>
    <w:rsid w:val="00FF6973"/>
    <w:rsid w:val="1DD13355"/>
    <w:rsid w:val="1F246194"/>
    <w:rsid w:val="307D4C70"/>
    <w:rsid w:val="30D863E3"/>
    <w:rsid w:val="35844C1F"/>
    <w:rsid w:val="378A66D0"/>
    <w:rsid w:val="63BE4DA7"/>
    <w:rsid w:val="6CB6511A"/>
    <w:rsid w:val="72A65BB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iPriority="22" w:name="Strong"/>
    <w:lsdException w:qFormat="1" w:uiPriority="2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 w:eastAsia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 w:eastAsia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 w:eastAsia="zh-CN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 w:eastAsia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 w:eastAsia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Char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Char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Char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Char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Char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Char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Char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Char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  <w:style w:type="paragraph" w:customStyle="1" w:styleId="51">
    <w:name w:val="xbrltitle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3EB689-16BA-4565-9A6E-625CBFB7C1C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5</Pages>
  <Words>176</Words>
  <Characters>183</Characters>
  <Lines>14</Lines>
  <Paragraphs>4</Paragraphs>
  <TotalTime>0</TotalTime>
  <ScaleCrop>false</ScaleCrop>
  <LinksUpToDate>false</LinksUpToDate>
  <CharactersWithSpaces>183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2021-04-23T07:42:00Z</dcterms:created>
  <dc:creator>yss</dc:creator>
  <cp:lastModifiedBy>叶淑珊</cp:lastModifiedBy>
  <cp:lastPrinted>2411-12-31T16:00:00Z</cp:lastPrinted>
  <dcterms:modified xsi:type="dcterms:W3CDTF">2025-01-15T08:52:02Z</dcterms:modified>
  <dc:title>gongGaoMingCheng</dc:title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Generator">
    <vt:lpwstr>NPOI</vt:lpwstr>
  </property>
  <property fmtid="{D5CDD505-2E9C-101B-9397-08002B2CF9AE}" pid="4" name="Generator Version">
    <vt:lpwstr>2.2.1</vt:lpwstr>
  </property>
  <property fmtid="{D5CDD505-2E9C-101B-9397-08002B2CF9AE}" pid="5" name="ICV">
    <vt:lpwstr>D87577B2AB004D78AF4EDE32973003DC</vt:lpwstr>
  </property>
  <property fmtid="{D5CDD505-2E9C-101B-9397-08002B2CF9AE}" pid="6" name="KSOTemplateDocerSaveRecord">
    <vt:lpwstr>eyJoZGlkIjoiOWIxZTQ0Y2U3OTQ2NWY3NzMxNjc2MWQ1NzU0NTVlYmMiLCJ1c2VySWQiOiI0MTk3MDc1NTcifQ==</vt:lpwstr>
  </property>
</Properties>
</file>